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B8" w:rsidRPr="004405C5" w:rsidRDefault="007350B8" w:rsidP="0012609D">
      <w:pPr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AA1985" w:rsidRPr="00AA1985" w:rsidRDefault="0016509A" w:rsidP="00AA1985">
      <w:pPr>
        <w:ind w:firstLine="851"/>
        <w:jc w:val="center"/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AA1985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AA1985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 xml:space="preserve"> </w:t>
      </w:r>
    </w:p>
    <w:p w:rsidR="00736413" w:rsidRPr="00E25BED" w:rsidRDefault="00E25BED" w:rsidP="00E25BED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E25BED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UA-2021-08-12-005164-a</w:t>
      </w:r>
    </w:p>
    <w:p w:rsidR="00E25BED" w:rsidRPr="00E25BED" w:rsidRDefault="00E25BED" w:rsidP="00E25BED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7D58FD" w:rsidRPr="00AA1985" w:rsidRDefault="0031392D" w:rsidP="007D58FD">
      <w:pPr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AA1985" w:rsidRPr="00AA1985">
        <w:rPr>
          <w:rFonts w:ascii="Times New Roman" w:hAnsi="Times New Roman"/>
          <w:b/>
          <w:i/>
          <w:sz w:val="28"/>
          <w:szCs w:val="28"/>
        </w:rPr>
        <w:t>Насоси шнекового типу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>
        <w:rPr>
          <w:rFonts w:ascii="Times New Roman" w:hAnsi="Times New Roman"/>
          <w:b/>
          <w:color w:val="454545"/>
          <w:sz w:val="28"/>
          <w:szCs w:val="28"/>
          <w:shd w:val="clear" w:color="auto" w:fill="F0F5F2"/>
        </w:rPr>
        <w:t>:</w:t>
      </w:r>
    </w:p>
    <w:p w:rsidR="00AA1985" w:rsidRPr="00AA1985" w:rsidRDefault="00E64CF1" w:rsidP="00D51B7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AA1985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обумовлена 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sz w:val="28"/>
          <w:szCs w:val="28"/>
          <w:lang w:val="uk-UA"/>
        </w:rPr>
        <w:t>у забезпеченні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виробничих потреб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забезпечення паливно-мастильними матеріалами та </w:t>
      </w:r>
      <w:proofErr w:type="spellStart"/>
      <w:r w:rsidR="00AA1985">
        <w:rPr>
          <w:rFonts w:ascii="Times New Roman" w:hAnsi="Times New Roman"/>
          <w:sz w:val="28"/>
          <w:szCs w:val="28"/>
          <w:lang w:val="uk-UA"/>
        </w:rPr>
        <w:t>спецрідинами</w:t>
      </w:r>
      <w:proofErr w:type="spellEnd"/>
      <w:r w:rsidR="00AA1985">
        <w:rPr>
          <w:rFonts w:ascii="Times New Roman" w:hAnsi="Times New Roman"/>
          <w:sz w:val="28"/>
          <w:szCs w:val="28"/>
          <w:lang w:val="uk-UA"/>
        </w:rPr>
        <w:t xml:space="preserve"> служби ПММ 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 w:eastAsia="en-US"/>
        </w:rPr>
        <w:t>з п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ерекачування </w:t>
      </w:r>
      <w:proofErr w:type="spellStart"/>
      <w:r w:rsidR="00AA1985" w:rsidRPr="00AA1985">
        <w:rPr>
          <w:rFonts w:ascii="Times New Roman" w:hAnsi="Times New Roman"/>
          <w:color w:val="000000"/>
          <w:sz w:val="28"/>
          <w:szCs w:val="28"/>
          <w:lang w:val="uk-UA"/>
        </w:rPr>
        <w:t>протильодотворної</w:t>
      </w:r>
      <w:proofErr w:type="spellEnd"/>
      <w:r w:rsidR="00AA1985" w:rsidRPr="00AA1985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рідини для </w:t>
      </w:r>
      <w:proofErr w:type="spellStart"/>
      <w:r w:rsidR="00AA1985" w:rsidRPr="00AA1985">
        <w:rPr>
          <w:rFonts w:ascii="Times New Roman" w:hAnsi="Times New Roman"/>
          <w:color w:val="000000"/>
          <w:sz w:val="28"/>
          <w:szCs w:val="28"/>
          <w:lang w:val="uk-UA"/>
        </w:rPr>
        <w:t>протикригової</w:t>
      </w:r>
      <w:proofErr w:type="spellEnd"/>
      <w:r w:rsidR="00AA1985" w:rsidRPr="00AA1985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обробки повітряних суден (ТИП-ІІ)</w:t>
      </w:r>
      <w:r w:rsidR="00AA198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AA1985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із розрахунку </w:t>
      </w:r>
      <w:r>
        <w:rPr>
          <w:rFonts w:ascii="Times New Roman" w:hAnsi="Times New Roman"/>
          <w:sz w:val="28"/>
          <w:szCs w:val="28"/>
          <w:lang w:val="uk-UA"/>
        </w:rPr>
        <w:t xml:space="preserve">наявних потреб для виконання окремих задач </w:t>
      </w:r>
      <w:r w:rsidR="00AA1985">
        <w:rPr>
          <w:rFonts w:ascii="Times New Roman" w:hAnsi="Times New Roman"/>
          <w:sz w:val="28"/>
          <w:szCs w:val="28"/>
          <w:lang w:val="uk-UA"/>
        </w:rPr>
        <w:t>відділу ЗПММ та СР СПММ</w:t>
      </w:r>
      <w:r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</w:p>
    <w:p w:rsidR="00AA1985" w:rsidRPr="00AA1985" w:rsidRDefault="00E64CF1" w:rsidP="00AA198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="00AA1985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складається з </w:t>
      </w:r>
      <w:r w:rsidR="00AA1985" w:rsidRPr="00AA1985">
        <w:rPr>
          <w:rFonts w:ascii="Times New Roman" w:hAnsi="Times New Roman"/>
          <w:sz w:val="28"/>
          <w:szCs w:val="28"/>
          <w:lang w:val="uk-UA"/>
        </w:rPr>
        <w:t>у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 w:eastAsia="en-US"/>
        </w:rPr>
        <w:t>комплектування по одному насосу на АЗС-2 та на АЗС-3 для обслуговування спеціалізованого транспорту ДП МА «Бориспіль».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2</w:t>
      </w:r>
      <w:r w:rsidR="007D58FD" w:rsidRPr="00D51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Default="005D7417" w:rsidP="00A36E6D">
      <w:pPr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Pr="00A36E6D" w:rsidRDefault="00422D43" w:rsidP="007046BE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36E6D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7046BE" w:rsidRPr="00A36E6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046BE" w:rsidRPr="00A36E6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«Насоси шнекового типу»</w:t>
      </w:r>
      <w:r w:rsidR="007046BE" w:rsidRPr="00A36E6D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тип насосу – горизонтальний;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тип кріплення – станина;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виробнича потужність при номінальному режимі роботи  від 25-30 м</w:t>
      </w:r>
      <w:r w:rsidRPr="00A36E6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36E6D">
        <w:rPr>
          <w:rFonts w:ascii="Times New Roman" w:hAnsi="Times New Roman"/>
          <w:sz w:val="28"/>
          <w:szCs w:val="28"/>
          <w:lang w:val="uk-UA"/>
        </w:rPr>
        <w:t>/год;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- тиск на виході </w:t>
      </w:r>
      <w:r w:rsidRPr="00A36E6D">
        <w:rPr>
          <w:rFonts w:ascii="Times New Roman" w:hAnsi="Times New Roman"/>
          <w:i/>
          <w:sz w:val="28"/>
          <w:szCs w:val="28"/>
          <w:lang w:val="uk-UA"/>
        </w:rPr>
        <w:t>не більше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– 6 бар;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- матеріал ротора (марка сталі) – </w:t>
      </w:r>
      <w:proofErr w:type="spellStart"/>
      <w:r w:rsidRPr="00A36E6D">
        <w:rPr>
          <w:rFonts w:ascii="Times New Roman" w:hAnsi="Times New Roman"/>
          <w:sz w:val="28"/>
          <w:szCs w:val="28"/>
          <w:lang w:val="uk-UA"/>
        </w:rPr>
        <w:t>Aisi</w:t>
      </w:r>
      <w:proofErr w:type="spellEnd"/>
      <w:r w:rsidRPr="00A36E6D">
        <w:rPr>
          <w:rFonts w:ascii="Times New Roman" w:hAnsi="Times New Roman"/>
          <w:sz w:val="28"/>
          <w:szCs w:val="28"/>
          <w:lang w:val="uk-UA"/>
        </w:rPr>
        <w:t xml:space="preserve"> 304;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статор, тип еластоміра – EPDM (хімічно стійка гума);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температурні умови експлуатації – від мінус 30 °С до плюс 30 °С;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- ущільнення приводного валу – </w:t>
      </w:r>
      <w:proofErr w:type="spellStart"/>
      <w:r w:rsidRPr="00A36E6D">
        <w:rPr>
          <w:rFonts w:ascii="Times New Roman" w:hAnsi="Times New Roman"/>
          <w:sz w:val="28"/>
          <w:szCs w:val="28"/>
          <w:lang w:val="uk-UA"/>
        </w:rPr>
        <w:t>сальнікове</w:t>
      </w:r>
      <w:proofErr w:type="spellEnd"/>
      <w:r w:rsidRPr="00A36E6D">
        <w:rPr>
          <w:rFonts w:ascii="Times New Roman" w:hAnsi="Times New Roman"/>
          <w:sz w:val="28"/>
          <w:szCs w:val="28"/>
          <w:lang w:val="uk-UA"/>
        </w:rPr>
        <w:t>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вхідні та вихідні патрубки різьбового типу відповідно до з’єднувальних елементів рукавів;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матеріал корпусу - нержавіюча сталь.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тип електроприводу – трифазний асинхронний;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ступінь захисту електродвигуна</w:t>
      </w:r>
      <w:r w:rsidRPr="00A36E6D">
        <w:rPr>
          <w:rFonts w:ascii="Times New Roman" w:hAnsi="Times New Roman"/>
          <w:i/>
          <w:sz w:val="28"/>
          <w:szCs w:val="28"/>
          <w:lang w:val="uk-UA"/>
        </w:rPr>
        <w:t xml:space="preserve"> не менше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IP54, напруга – 380 В;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- потужність електроприводу – </w:t>
      </w:r>
      <w:r w:rsidRPr="00A36E6D">
        <w:rPr>
          <w:rFonts w:ascii="Times New Roman" w:hAnsi="Times New Roman"/>
          <w:i/>
          <w:sz w:val="28"/>
          <w:szCs w:val="28"/>
          <w:lang w:val="uk-UA"/>
        </w:rPr>
        <w:t>не більше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7,5 кВт;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температурні умови експлуатації – від мінус 30 °С до плюс 30 °С.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u w:val="single"/>
          <w:lang w:val="uk-UA"/>
        </w:rPr>
      </w:pPr>
      <w:r w:rsidRPr="00A36E6D">
        <w:rPr>
          <w:rFonts w:ascii="Times New Roman" w:hAnsi="Times New Roman"/>
          <w:sz w:val="28"/>
          <w:szCs w:val="28"/>
          <w:u w:val="single"/>
          <w:lang w:val="uk-UA"/>
        </w:rPr>
        <w:t>В комплект для кожного насосу входить: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i/>
          <w:sz w:val="28"/>
          <w:szCs w:val="28"/>
          <w:lang w:val="uk-UA"/>
        </w:rPr>
        <w:t>1 Рукав для перекачки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хімічних речовин з металевим кордом довжиною </w:t>
      </w:r>
      <w:r w:rsidRPr="00A36E6D">
        <w:rPr>
          <w:rFonts w:ascii="Times New Roman" w:hAnsi="Times New Roman"/>
          <w:i/>
          <w:sz w:val="28"/>
          <w:szCs w:val="28"/>
          <w:lang w:val="uk-UA"/>
        </w:rPr>
        <w:t>не менше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5 м - 2 шт.;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діаметр рукавів на вході – 50 мм;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діаметр рукавів на виході – 80 мм;</w:t>
      </w:r>
    </w:p>
    <w:p w:rsidR="007046BE" w:rsidRPr="00A36E6D" w:rsidRDefault="007046BE" w:rsidP="007046BE">
      <w:pPr>
        <w:pStyle w:val="af4"/>
        <w:ind w:left="39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наявність на рукавах з’єднувальних елементів типу DIN 28450;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з’єднувальні елементи виготовленні з нержавіючої сталі, латуні або алюмінієвих сплавів;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lastRenderedPageBreak/>
        <w:t>- матеріал рукавів стійкий до агресивного середовища (</w:t>
      </w:r>
      <w:proofErr w:type="spellStart"/>
      <w:r w:rsidRPr="00A36E6D">
        <w:rPr>
          <w:rFonts w:ascii="Times New Roman" w:hAnsi="Times New Roman"/>
          <w:sz w:val="28"/>
          <w:szCs w:val="28"/>
          <w:lang w:val="uk-UA"/>
        </w:rPr>
        <w:t>маслобензостійка</w:t>
      </w:r>
      <w:proofErr w:type="spellEnd"/>
      <w:r w:rsidRPr="00A36E6D">
        <w:rPr>
          <w:rFonts w:ascii="Times New Roman" w:hAnsi="Times New Roman"/>
          <w:sz w:val="28"/>
          <w:szCs w:val="28"/>
          <w:lang w:val="uk-UA"/>
        </w:rPr>
        <w:t xml:space="preserve"> гума).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i/>
          <w:sz w:val="28"/>
          <w:szCs w:val="28"/>
          <w:lang w:val="uk-UA"/>
        </w:rPr>
        <w:t>2 Кабельний барабан з кабелем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для підключення до енергомережі підприємства: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 - кабель КГНВ 5х2,5;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 - довжина кабелю 50 метрів.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i/>
          <w:sz w:val="28"/>
          <w:szCs w:val="28"/>
          <w:lang w:val="uk-UA"/>
        </w:rPr>
        <w:t>3 Щит місцевого управління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(ЩМУ):</w:t>
      </w:r>
    </w:p>
    <w:p w:rsidR="007046BE" w:rsidRPr="00A36E6D" w:rsidRDefault="007046BE" w:rsidP="007046BE">
      <w:pPr>
        <w:pStyle w:val="af4"/>
        <w:ind w:left="181" w:hanging="181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номінальний струм – 20А.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i/>
          <w:sz w:val="28"/>
          <w:szCs w:val="28"/>
          <w:lang w:val="uk-UA"/>
        </w:rPr>
        <w:t>4 Пересувна платформа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для розміщення насосного агрегату та додаткового обладнання, що укомплектована: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 xml:space="preserve">- поворотними колесами діаметром </w:t>
      </w:r>
      <w:r w:rsidRPr="00A36E6D">
        <w:rPr>
          <w:rFonts w:ascii="Times New Roman" w:hAnsi="Times New Roman"/>
          <w:i/>
          <w:sz w:val="28"/>
          <w:szCs w:val="28"/>
          <w:lang w:val="uk-UA"/>
        </w:rPr>
        <w:t>не менше</w:t>
      </w:r>
      <w:r w:rsidRPr="00A36E6D">
        <w:rPr>
          <w:rFonts w:ascii="Times New Roman" w:hAnsi="Times New Roman"/>
          <w:sz w:val="28"/>
          <w:szCs w:val="28"/>
          <w:lang w:val="uk-UA"/>
        </w:rPr>
        <w:t xml:space="preserve"> 200 мм;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- гальмівним механізмом.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7046BE" w:rsidRPr="00A36E6D" w:rsidRDefault="007046BE" w:rsidP="007046BE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A36E6D">
        <w:rPr>
          <w:rFonts w:ascii="Times New Roman" w:hAnsi="Times New Roman"/>
          <w:sz w:val="28"/>
          <w:szCs w:val="28"/>
          <w:lang w:val="uk-UA"/>
        </w:rPr>
        <w:t>Насосний агрегат та все обладнання, що входить до комплекту розміщені та надійно закріплені на пересувній платформі та захищені від опадів.</w:t>
      </w:r>
    </w:p>
    <w:p w:rsidR="007046BE" w:rsidRPr="00A36E6D" w:rsidRDefault="007046BE" w:rsidP="007046BE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505DA8" w:rsidRPr="00816440" w:rsidRDefault="00816440" w:rsidP="00A36E6D">
      <w:pPr>
        <w:pStyle w:val="af4"/>
        <w:ind w:firstLine="851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360514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6BE">
        <w:rPr>
          <w:rFonts w:ascii="Times New Roman" w:hAnsi="Times New Roman"/>
          <w:sz w:val="28"/>
          <w:szCs w:val="28"/>
          <w:lang w:val="uk-UA"/>
        </w:rPr>
        <w:t xml:space="preserve">аналогічного товару підрозділами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індексу інфляції, </w:t>
      </w:r>
      <w:r>
        <w:rPr>
          <w:rFonts w:ascii="Times New Roman" w:hAnsi="Times New Roman"/>
          <w:sz w:val="28"/>
          <w:szCs w:val="28"/>
          <w:lang w:val="uk-UA"/>
        </w:rPr>
        <w:t xml:space="preserve">умов оплати, логістики 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r w:rsidR="007046BE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7046BE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r w:rsidR="007046BE" w:rsidRPr="00AA1985">
        <w:rPr>
          <w:rFonts w:ascii="Times New Roman" w:hAnsi="Times New Roman"/>
          <w:b/>
          <w:i/>
          <w:sz w:val="28"/>
          <w:szCs w:val="28"/>
          <w:lang w:val="uk-UA"/>
        </w:rPr>
        <w:t>«Насоси шнекового типу</w:t>
      </w:r>
      <w:r w:rsidR="007046BE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274B50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97" w:rsidRDefault="00752497">
      <w:r>
        <w:separator/>
      </w:r>
    </w:p>
  </w:endnote>
  <w:endnote w:type="continuationSeparator" w:id="0">
    <w:p w:rsidR="00752497" w:rsidRDefault="007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A36E6D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A36E6D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97" w:rsidRDefault="00752497">
      <w:r>
        <w:separator/>
      </w:r>
    </w:p>
  </w:footnote>
  <w:footnote w:type="continuationSeparator" w:id="0">
    <w:p w:rsidR="00752497" w:rsidRDefault="0075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710876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3E461A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1625"/>
    <w:rsid w:val="00043746"/>
    <w:rsid w:val="000473B8"/>
    <w:rsid w:val="00050207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0CD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2497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36E6D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5CE9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4BFE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BED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85D09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241-073A-459C-BA7B-E52647A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2021-08-16T07:22:00Z</dcterms:created>
  <dcterms:modified xsi:type="dcterms:W3CDTF">2021-08-16T07:22:00Z</dcterms:modified>
</cp:coreProperties>
</file>