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F2098D"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E77D9F" w:rsidRPr="007101A5" w:rsidTr="00212515">
        <w:tc>
          <w:tcPr>
            <w:tcW w:w="487" w:type="pct"/>
          </w:tcPr>
          <w:p w:rsidR="00E77D9F" w:rsidRPr="00E77D9F" w:rsidRDefault="00E77D9F" w:rsidP="00E77D9F">
            <w:pPr>
              <w:widowControl w:val="0"/>
              <w:ind w:right="-11"/>
              <w:jc w:val="center"/>
              <w:rPr>
                <w:sz w:val="22"/>
                <w:szCs w:val="22"/>
                <w:lang w:val="uk-UA" w:eastAsia="uk-UA"/>
              </w:rPr>
            </w:pPr>
            <w:r w:rsidRPr="00E77D9F">
              <w:rPr>
                <w:sz w:val="22"/>
                <w:szCs w:val="22"/>
                <w:lang w:val="uk-UA"/>
              </w:rPr>
              <w:t xml:space="preserve">п. 3.09 </w:t>
            </w:r>
            <w:r w:rsidRPr="00E77D9F">
              <w:rPr>
                <w:sz w:val="22"/>
                <w:szCs w:val="22"/>
                <w:lang w:val="uk-UA" w:eastAsia="uk-UA"/>
              </w:rPr>
              <w:t>(2023)</w:t>
            </w:r>
          </w:p>
        </w:tc>
        <w:tc>
          <w:tcPr>
            <w:tcW w:w="1527" w:type="pct"/>
          </w:tcPr>
          <w:p w:rsidR="00E77D9F" w:rsidRPr="00E77D9F" w:rsidRDefault="00E77D9F" w:rsidP="00E77D9F">
            <w:pPr>
              <w:widowControl w:val="0"/>
              <w:rPr>
                <w:bCs/>
                <w:sz w:val="22"/>
                <w:szCs w:val="22"/>
                <w:lang w:val="uk-UA"/>
              </w:rPr>
            </w:pPr>
            <w:r w:rsidRPr="00E77D9F">
              <w:rPr>
                <w:b/>
                <w:sz w:val="22"/>
                <w:szCs w:val="22"/>
                <w:lang w:val="uk-UA"/>
              </w:rPr>
              <w:t xml:space="preserve">Сорбент, </w:t>
            </w:r>
            <w:r w:rsidRPr="00E77D9F">
              <w:rPr>
                <w:sz w:val="22"/>
                <w:szCs w:val="22"/>
                <w:lang w:val="uk-UA"/>
              </w:rPr>
              <w:t>код ДК 021:2015 - 24210000-9 - Оксиди, пероксиди та гідроксиди</w:t>
            </w:r>
          </w:p>
        </w:tc>
        <w:tc>
          <w:tcPr>
            <w:tcW w:w="947" w:type="pct"/>
          </w:tcPr>
          <w:p w:rsidR="00E77D9F" w:rsidRPr="00E77D9F" w:rsidRDefault="00E77D9F" w:rsidP="00E77D9F">
            <w:pPr>
              <w:widowControl w:val="0"/>
              <w:jc w:val="center"/>
              <w:rPr>
                <w:sz w:val="22"/>
                <w:szCs w:val="22"/>
                <w:lang w:val="uk-UA"/>
              </w:rPr>
            </w:pPr>
            <w:r w:rsidRPr="00E77D9F">
              <w:rPr>
                <w:sz w:val="22"/>
                <w:szCs w:val="22"/>
                <w:lang w:val="uk-UA"/>
              </w:rPr>
              <w:t xml:space="preserve">118 480,00 </w:t>
            </w:r>
          </w:p>
          <w:p w:rsidR="00E77D9F" w:rsidRPr="00E77D9F" w:rsidRDefault="00E77D9F" w:rsidP="00E77D9F">
            <w:pPr>
              <w:widowControl w:val="0"/>
              <w:jc w:val="center"/>
              <w:rPr>
                <w:sz w:val="22"/>
                <w:szCs w:val="22"/>
                <w:lang w:val="uk-UA"/>
              </w:rPr>
            </w:pPr>
            <w:r w:rsidRPr="00E77D9F">
              <w:rPr>
                <w:sz w:val="22"/>
                <w:szCs w:val="22"/>
                <w:lang w:val="uk-UA"/>
              </w:rPr>
              <w:t>грн. з ПДВ</w:t>
            </w:r>
          </w:p>
        </w:tc>
        <w:tc>
          <w:tcPr>
            <w:tcW w:w="1102" w:type="pct"/>
          </w:tcPr>
          <w:p w:rsidR="00E77D9F" w:rsidRPr="00E77D9F" w:rsidRDefault="00E77D9F" w:rsidP="00E77D9F">
            <w:pPr>
              <w:widowControl w:val="0"/>
              <w:jc w:val="center"/>
              <w:rPr>
                <w:sz w:val="22"/>
                <w:szCs w:val="22"/>
                <w:lang w:val="uk-UA"/>
              </w:rPr>
            </w:pPr>
            <w:r w:rsidRPr="00E77D9F">
              <w:rPr>
                <w:sz w:val="22"/>
                <w:szCs w:val="22"/>
                <w:lang w:val="uk-UA"/>
              </w:rPr>
              <w:t>98 733,33</w:t>
            </w:r>
          </w:p>
          <w:p w:rsidR="00E77D9F" w:rsidRPr="00E77D9F" w:rsidRDefault="00E77D9F" w:rsidP="00E77D9F">
            <w:pPr>
              <w:widowControl w:val="0"/>
              <w:jc w:val="center"/>
              <w:rPr>
                <w:sz w:val="22"/>
                <w:szCs w:val="22"/>
                <w:lang w:val="uk-UA"/>
              </w:rPr>
            </w:pPr>
            <w:r w:rsidRPr="00E77D9F">
              <w:rPr>
                <w:sz w:val="22"/>
                <w:szCs w:val="22"/>
                <w:lang w:val="uk-UA"/>
              </w:rPr>
              <w:t xml:space="preserve">грн. без ПДВ </w:t>
            </w:r>
          </w:p>
        </w:tc>
        <w:tc>
          <w:tcPr>
            <w:tcW w:w="936" w:type="pct"/>
          </w:tcPr>
          <w:p w:rsidR="00E77D9F" w:rsidRPr="007101A5" w:rsidRDefault="00E77D9F" w:rsidP="00E77D9F">
            <w:pPr>
              <w:widowControl w:val="0"/>
              <w:jc w:val="center"/>
              <w:rPr>
                <w:color w:val="0000FF"/>
                <w:sz w:val="22"/>
                <w:szCs w:val="22"/>
                <w:lang w:val="uk-UA"/>
              </w:rPr>
            </w:pPr>
            <w:r w:rsidRPr="00E77D9F">
              <w:rPr>
                <w:b/>
                <w:sz w:val="22"/>
                <w:szCs w:val="22"/>
                <w:lang w:val="uk-UA"/>
              </w:rPr>
              <w:t>UA-2023-01-10-006790-a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E77D9F" w:rsidRPr="00E77D9F" w:rsidTr="00E77D9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77D9F" w:rsidRPr="00E77D9F" w:rsidRDefault="00E77D9F" w:rsidP="00E77D9F">
            <w:pPr>
              <w:rPr>
                <w:lang w:val="uk-UA"/>
              </w:rPr>
            </w:pPr>
            <w:r w:rsidRPr="00E77D9F">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77D9F" w:rsidRPr="00E77D9F" w:rsidRDefault="00E77D9F" w:rsidP="00E77D9F">
            <w:pPr>
              <w:rPr>
                <w:lang w:val="uk-UA"/>
              </w:rPr>
            </w:pPr>
            <w:r w:rsidRPr="00E77D9F">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77D9F" w:rsidRPr="00E77D9F" w:rsidRDefault="00E77D9F" w:rsidP="00E77D9F">
            <w:pPr>
              <w:widowControl w:val="0"/>
              <w:ind w:right="162" w:firstLine="368"/>
              <w:jc w:val="both"/>
              <w:rPr>
                <w:lang w:val="uk-UA"/>
              </w:rPr>
            </w:pPr>
            <w:r w:rsidRPr="00E77D9F">
              <w:rPr>
                <w:b/>
                <w:i/>
                <w:lang w:val="uk-UA"/>
              </w:rPr>
              <w:t>Визначення потреби в закупівлі:</w:t>
            </w:r>
            <w:r w:rsidRPr="00E77D9F">
              <w:rPr>
                <w:lang w:val="uk-UA"/>
              </w:rPr>
              <w:t xml:space="preserve"> Закупівля зумовлена необхідністю локалізації та ліквідації розливів ПММ на штучних покриттях аеродрому.</w:t>
            </w:r>
          </w:p>
          <w:p w:rsidR="00E77D9F" w:rsidRPr="00E77D9F" w:rsidRDefault="00E77D9F" w:rsidP="00E77D9F">
            <w:pPr>
              <w:widowControl w:val="0"/>
              <w:ind w:right="162" w:firstLine="368"/>
              <w:jc w:val="both"/>
              <w:rPr>
                <w:lang w:val="uk-UA"/>
              </w:rPr>
            </w:pPr>
            <w:r w:rsidRPr="00E77D9F">
              <w:rPr>
                <w:b/>
                <w:i/>
                <w:lang w:val="uk-UA"/>
              </w:rPr>
              <w:t>Обґрунтування технічних та якісних характеристик предмета закупівлі:</w:t>
            </w:r>
            <w:r w:rsidRPr="00E77D9F">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E77D9F" w:rsidRPr="00E77D9F" w:rsidRDefault="00E77D9F" w:rsidP="00E77D9F">
            <w:pPr>
              <w:widowControl w:val="0"/>
              <w:ind w:right="162" w:firstLine="368"/>
              <w:jc w:val="both"/>
              <w:rPr>
                <w:i/>
                <w:lang w:val="uk-UA"/>
              </w:rPr>
            </w:pPr>
            <w:r w:rsidRPr="00E77D9F">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E77D9F" w:rsidRPr="00E77D9F" w:rsidTr="00E77D9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77D9F" w:rsidRPr="00E77D9F" w:rsidRDefault="00E77D9F" w:rsidP="00E77D9F">
            <w:pPr>
              <w:rPr>
                <w:bCs/>
                <w:lang w:val="uk-UA"/>
              </w:rPr>
            </w:pPr>
            <w:r w:rsidRPr="00E77D9F">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77D9F" w:rsidRPr="00E77D9F" w:rsidRDefault="00E77D9F" w:rsidP="00E77D9F">
            <w:pPr>
              <w:rPr>
                <w:lang w:val="uk-UA"/>
              </w:rPr>
            </w:pPr>
            <w:r w:rsidRPr="00E77D9F">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77D9F" w:rsidRPr="00E77D9F" w:rsidRDefault="00E77D9F" w:rsidP="00E77D9F">
            <w:pPr>
              <w:widowControl w:val="0"/>
              <w:ind w:right="162" w:firstLine="368"/>
              <w:jc w:val="both"/>
              <w:rPr>
                <w:lang w:val="uk-UA"/>
              </w:rPr>
            </w:pPr>
            <w:r w:rsidRPr="00E77D9F">
              <w:rPr>
                <w:b/>
                <w:i/>
                <w:lang w:val="uk-UA"/>
              </w:rPr>
              <w:t>Обґрунтування очікуваної вартості предмета закупівлі:</w:t>
            </w:r>
            <w:r w:rsidRPr="00E77D9F">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77D9F">
              <w:rPr>
                <w:lang w:val="uk-UA"/>
              </w:rPr>
              <w:t>закупівель</w:t>
            </w:r>
            <w:proofErr w:type="spellEnd"/>
            <w:r w:rsidRPr="00E77D9F">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77D9F" w:rsidRPr="00E77D9F" w:rsidRDefault="00E77D9F" w:rsidP="00E77D9F">
            <w:pPr>
              <w:widowControl w:val="0"/>
              <w:ind w:firstLine="368"/>
              <w:jc w:val="both"/>
              <w:rPr>
                <w:lang w:val="uk-UA"/>
              </w:rPr>
            </w:pPr>
            <w:r w:rsidRPr="00E77D9F">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E77D9F" w:rsidRPr="00E77D9F" w:rsidRDefault="00E77D9F" w:rsidP="00E77D9F">
            <w:pPr>
              <w:widowControl w:val="0"/>
              <w:ind w:firstLine="368"/>
              <w:jc w:val="both"/>
              <w:rPr>
                <w:lang w:val="uk-UA"/>
              </w:rPr>
            </w:pPr>
            <w:r w:rsidRPr="00E77D9F">
              <w:rPr>
                <w:b/>
                <w:i/>
                <w:lang w:val="uk-UA"/>
              </w:rPr>
              <w:lastRenderedPageBreak/>
              <w:t>Обґрунтування обсягів закупівлі:</w:t>
            </w:r>
            <w:r w:rsidRPr="00E77D9F">
              <w:rPr>
                <w:b/>
                <w:lang w:val="uk-UA"/>
              </w:rPr>
              <w:t xml:space="preserve"> </w:t>
            </w:r>
            <w:r w:rsidRPr="00E77D9F">
              <w:rPr>
                <w:lang w:val="uk-UA"/>
              </w:rPr>
              <w:t>Обсяги визначено відповідно до очікуваної потреби.</w:t>
            </w:r>
          </w:p>
        </w:tc>
      </w:tr>
      <w:tr w:rsidR="00E77D9F" w:rsidRPr="00E77D9F" w:rsidTr="00E77D9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77D9F" w:rsidRPr="00E77D9F" w:rsidRDefault="00E77D9F" w:rsidP="00E77D9F">
            <w:pPr>
              <w:rPr>
                <w:bCs/>
                <w:lang w:val="uk-UA"/>
              </w:rPr>
            </w:pPr>
            <w:r w:rsidRPr="00E77D9F">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E77D9F" w:rsidRPr="00E77D9F" w:rsidRDefault="00E77D9F" w:rsidP="00E77D9F">
            <w:pPr>
              <w:rPr>
                <w:lang w:val="uk-UA"/>
              </w:rPr>
            </w:pPr>
            <w:r w:rsidRPr="00E77D9F">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77D9F" w:rsidRPr="00E77D9F" w:rsidRDefault="00E77D9F" w:rsidP="00E77D9F">
            <w:pPr>
              <w:widowControl w:val="0"/>
              <w:jc w:val="both"/>
              <w:rPr>
                <w:b/>
                <w:lang w:val="uk-UA"/>
              </w:rPr>
            </w:pPr>
            <w:r w:rsidRPr="00E77D9F">
              <w:rPr>
                <w:b/>
                <w:lang w:val="uk-UA"/>
              </w:rPr>
              <w:t>Спосіб проведення моніторингу ринку</w:t>
            </w:r>
          </w:p>
          <w:p w:rsidR="00E77D9F" w:rsidRPr="00E77D9F" w:rsidRDefault="00E77D9F" w:rsidP="00E77D9F">
            <w:pPr>
              <w:widowControl w:val="0"/>
              <w:jc w:val="both"/>
              <w:rPr>
                <w:lang w:val="uk-UA"/>
              </w:rPr>
            </w:pPr>
            <w:r w:rsidRPr="00E77D9F">
              <w:rPr>
                <w:lang w:val="uk-UA"/>
              </w:rPr>
              <w:t>Було проведено моніторинг ринку (направлено низку запитів підприємствам, що виготовляють та постачають відповідну продукцію на наступні електронні пошти:</w:t>
            </w:r>
          </w:p>
          <w:p w:rsidR="00E77D9F" w:rsidRPr="00E77D9F" w:rsidRDefault="00E77D9F" w:rsidP="00E77D9F">
            <w:pPr>
              <w:widowControl w:val="0"/>
              <w:jc w:val="both"/>
              <w:rPr>
                <w:lang w:val="uk-UA"/>
              </w:rPr>
            </w:pPr>
            <w:r w:rsidRPr="00E77D9F">
              <w:rPr>
                <w:lang w:val="uk-UA"/>
              </w:rPr>
              <w:t>'nika-olga@ukr.net' ЧП «</w:t>
            </w:r>
            <w:proofErr w:type="spellStart"/>
            <w:r w:rsidRPr="00E77D9F">
              <w:rPr>
                <w:lang w:val="uk-UA"/>
              </w:rPr>
              <w:t>Никатрейд</w:t>
            </w:r>
            <w:proofErr w:type="spellEnd"/>
            <w:r w:rsidRPr="00E77D9F">
              <w:rPr>
                <w:lang w:val="uk-UA"/>
              </w:rPr>
              <w:t>»;</w:t>
            </w:r>
          </w:p>
          <w:p w:rsidR="00E77D9F" w:rsidRPr="00E77D9F" w:rsidRDefault="00E77D9F" w:rsidP="00E77D9F">
            <w:pPr>
              <w:widowControl w:val="0"/>
              <w:jc w:val="both"/>
              <w:rPr>
                <w:lang w:val="uk-UA"/>
              </w:rPr>
            </w:pPr>
            <w:r w:rsidRPr="00E77D9F">
              <w:rPr>
                <w:lang w:val="uk-UA"/>
              </w:rPr>
              <w:t>'lifed76@gmail.com' ФОП  Лисий Ф.Л.;</w:t>
            </w:r>
          </w:p>
          <w:p w:rsidR="00E77D9F" w:rsidRPr="00E77D9F" w:rsidRDefault="00E77D9F" w:rsidP="00E77D9F">
            <w:pPr>
              <w:widowControl w:val="0"/>
              <w:jc w:val="both"/>
              <w:rPr>
                <w:lang w:val="uk-UA"/>
              </w:rPr>
            </w:pPr>
            <w:r w:rsidRPr="00E77D9F">
              <w:rPr>
                <w:lang w:val="uk-UA"/>
              </w:rPr>
              <w:t>'dstfl.office@gmail.com' ТОВ «ДС ТЕХНОЛОГІЯ ДЛЯ ЖИТТЯ»</w:t>
            </w:r>
          </w:p>
          <w:p w:rsidR="00E77D9F" w:rsidRPr="00E77D9F" w:rsidRDefault="00E77D9F" w:rsidP="00E77D9F">
            <w:pPr>
              <w:widowControl w:val="0"/>
              <w:jc w:val="both"/>
              <w:rPr>
                <w:lang w:val="uk-UA"/>
              </w:rPr>
            </w:pPr>
            <w:r w:rsidRPr="00E77D9F">
              <w:rPr>
                <w:lang w:val="uk-UA"/>
              </w:rPr>
              <w:t>'contact@econadin.com' (ТОВ «</w:t>
            </w:r>
            <w:proofErr w:type="spellStart"/>
            <w:r w:rsidRPr="00E77D9F">
              <w:rPr>
                <w:lang w:val="uk-UA"/>
              </w:rPr>
              <w:t>Еконадин</w:t>
            </w:r>
            <w:proofErr w:type="spellEnd"/>
            <w:r w:rsidRPr="00E77D9F">
              <w:rPr>
                <w:lang w:val="uk-UA"/>
              </w:rPr>
              <w:t xml:space="preserve"> </w:t>
            </w:r>
            <w:proofErr w:type="spellStart"/>
            <w:r w:rsidRPr="00E77D9F">
              <w:rPr>
                <w:lang w:val="uk-UA"/>
              </w:rPr>
              <w:t>технлоджі</w:t>
            </w:r>
            <w:proofErr w:type="spellEnd"/>
            <w:r w:rsidRPr="00E77D9F">
              <w:rPr>
                <w:lang w:val="uk-UA"/>
              </w:rPr>
              <w:t>»)</w:t>
            </w:r>
          </w:p>
          <w:p w:rsidR="00E77D9F" w:rsidRPr="00E77D9F" w:rsidRDefault="00E77D9F" w:rsidP="00E77D9F">
            <w:pPr>
              <w:widowControl w:val="0"/>
              <w:jc w:val="both"/>
              <w:rPr>
                <w:lang w:val="uk-UA"/>
              </w:rPr>
            </w:pPr>
            <w:r w:rsidRPr="00E77D9F">
              <w:rPr>
                <w:lang w:val="uk-UA"/>
              </w:rPr>
              <w:t>'rema_office@ukr.net' ТОВ «НВО «РЕМА»</w:t>
            </w:r>
          </w:p>
          <w:p w:rsidR="00E77D9F" w:rsidRPr="00E77D9F" w:rsidRDefault="00E77D9F" w:rsidP="00E77D9F">
            <w:pPr>
              <w:widowControl w:val="0"/>
              <w:jc w:val="both"/>
              <w:rPr>
                <w:lang w:val="uk-UA"/>
              </w:rPr>
            </w:pPr>
            <w:r w:rsidRPr="00E77D9F">
              <w:rPr>
                <w:lang w:val="uk-UA"/>
              </w:rPr>
              <w:t>'marsoft@ukr.net' ТОВАРИСТВО З ОБМЕЖЕНОЮ ВІДПОВІДАЛЬНІСТЮ «МАРСОФТ».</w:t>
            </w:r>
          </w:p>
          <w:p w:rsidR="00E77D9F" w:rsidRPr="00E77D9F" w:rsidRDefault="00E77D9F" w:rsidP="00E77D9F">
            <w:pPr>
              <w:widowControl w:val="0"/>
              <w:jc w:val="both"/>
              <w:rPr>
                <w:lang w:val="uk-UA"/>
              </w:rPr>
            </w:pPr>
            <w:r w:rsidRPr="00E77D9F">
              <w:rPr>
                <w:lang w:val="uk-UA"/>
              </w:rPr>
              <w:t>Відповідно для розрахунку очікуваної вартості  використано пропозицію ТОВ «</w:t>
            </w:r>
            <w:proofErr w:type="spellStart"/>
            <w:r w:rsidRPr="00E77D9F">
              <w:rPr>
                <w:lang w:val="uk-UA"/>
              </w:rPr>
              <w:t>Марсофт</w:t>
            </w:r>
            <w:proofErr w:type="spellEnd"/>
            <w:r w:rsidRPr="00E77D9F">
              <w:rPr>
                <w:lang w:val="uk-UA"/>
              </w:rPr>
              <w:t xml:space="preserve">» та  інформацію щодо попередніх </w:t>
            </w:r>
            <w:proofErr w:type="spellStart"/>
            <w:r w:rsidRPr="00E77D9F">
              <w:rPr>
                <w:lang w:val="uk-UA"/>
              </w:rPr>
              <w:t>закупівель</w:t>
            </w:r>
            <w:proofErr w:type="spellEnd"/>
            <w:r w:rsidRPr="00E77D9F">
              <w:rPr>
                <w:lang w:val="uk-UA"/>
              </w:rPr>
              <w:t xml:space="preserve"> підприємства та інформацію з відкритих джерел - інтернету</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25"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30" w:type="dxa"/>
          <w:left w:w="60" w:type="dxa"/>
          <w:bottom w:w="30" w:type="dxa"/>
          <w:right w:w="30" w:type="dxa"/>
        </w:tblCellMar>
        <w:tblLook w:val="0000" w:firstRow="0" w:lastRow="0" w:firstColumn="0" w:lastColumn="0" w:noHBand="0" w:noVBand="0"/>
      </w:tblPr>
      <w:tblGrid>
        <w:gridCol w:w="567"/>
        <w:gridCol w:w="1353"/>
        <w:gridCol w:w="992"/>
        <w:gridCol w:w="992"/>
        <w:gridCol w:w="4537"/>
        <w:gridCol w:w="1984"/>
      </w:tblGrid>
      <w:tr w:rsidR="00E77D9F" w:rsidRPr="008D7F8A" w:rsidTr="00574715">
        <w:tc>
          <w:tcPr>
            <w:tcW w:w="567" w:type="dxa"/>
            <w:shd w:val="clear" w:color="auto" w:fill="DEEAF6" w:themeFill="accent1" w:themeFillTint="33"/>
          </w:tcPr>
          <w:p w:rsidR="00E77D9F" w:rsidRPr="002D63F5" w:rsidRDefault="00E77D9F" w:rsidP="00574715">
            <w:pPr>
              <w:widowControl w:val="0"/>
              <w:rPr>
                <w:b/>
                <w:sz w:val="22"/>
                <w:szCs w:val="22"/>
                <w:lang w:val="uk-UA"/>
              </w:rPr>
            </w:pPr>
            <w:r w:rsidRPr="002D63F5">
              <w:rPr>
                <w:b/>
                <w:sz w:val="22"/>
                <w:szCs w:val="22"/>
                <w:lang w:val="uk-UA"/>
              </w:rPr>
              <w:t>№ п/п</w:t>
            </w:r>
          </w:p>
        </w:tc>
        <w:tc>
          <w:tcPr>
            <w:tcW w:w="1353" w:type="dxa"/>
            <w:shd w:val="clear" w:color="auto" w:fill="DEEAF6" w:themeFill="accent1" w:themeFillTint="33"/>
          </w:tcPr>
          <w:p w:rsidR="00E77D9F" w:rsidRPr="002D63F5" w:rsidRDefault="00E77D9F" w:rsidP="00574715">
            <w:pPr>
              <w:widowControl w:val="0"/>
              <w:jc w:val="center"/>
              <w:rPr>
                <w:b/>
                <w:sz w:val="22"/>
                <w:szCs w:val="22"/>
                <w:lang w:val="uk-UA"/>
              </w:rPr>
            </w:pPr>
            <w:r w:rsidRPr="002D63F5">
              <w:rPr>
                <w:b/>
                <w:sz w:val="22"/>
                <w:szCs w:val="22"/>
                <w:lang w:val="uk-UA"/>
              </w:rPr>
              <w:t xml:space="preserve">Найменування </w:t>
            </w:r>
          </w:p>
          <w:p w:rsidR="00E77D9F" w:rsidRPr="002D63F5" w:rsidRDefault="00E77D9F" w:rsidP="00574715">
            <w:pPr>
              <w:widowControl w:val="0"/>
              <w:jc w:val="center"/>
              <w:rPr>
                <w:b/>
                <w:sz w:val="22"/>
                <w:szCs w:val="22"/>
                <w:lang w:val="uk-UA"/>
              </w:rPr>
            </w:pPr>
            <w:r w:rsidRPr="002D63F5">
              <w:rPr>
                <w:b/>
                <w:sz w:val="22"/>
                <w:szCs w:val="22"/>
                <w:lang w:val="uk-UA"/>
              </w:rPr>
              <w:t xml:space="preserve">товару </w:t>
            </w:r>
          </w:p>
        </w:tc>
        <w:tc>
          <w:tcPr>
            <w:tcW w:w="992" w:type="dxa"/>
            <w:shd w:val="clear" w:color="auto" w:fill="DEEAF6" w:themeFill="accent1" w:themeFillTint="33"/>
          </w:tcPr>
          <w:p w:rsidR="00E77D9F" w:rsidRPr="002D63F5" w:rsidRDefault="00E77D9F" w:rsidP="00574715">
            <w:pPr>
              <w:widowControl w:val="0"/>
              <w:jc w:val="center"/>
              <w:rPr>
                <w:b/>
                <w:sz w:val="22"/>
                <w:szCs w:val="22"/>
                <w:lang w:val="uk-UA"/>
              </w:rPr>
            </w:pPr>
            <w:r w:rsidRPr="002D63F5">
              <w:rPr>
                <w:b/>
                <w:sz w:val="22"/>
                <w:szCs w:val="22"/>
                <w:lang w:val="uk-UA"/>
              </w:rPr>
              <w:t>Од.</w:t>
            </w:r>
          </w:p>
          <w:p w:rsidR="00E77D9F" w:rsidRPr="002D63F5" w:rsidRDefault="00E77D9F" w:rsidP="00574715">
            <w:pPr>
              <w:widowControl w:val="0"/>
              <w:jc w:val="center"/>
              <w:rPr>
                <w:b/>
                <w:sz w:val="22"/>
                <w:szCs w:val="22"/>
                <w:lang w:val="uk-UA"/>
              </w:rPr>
            </w:pPr>
            <w:r w:rsidRPr="002D63F5">
              <w:rPr>
                <w:b/>
                <w:sz w:val="22"/>
                <w:szCs w:val="22"/>
                <w:lang w:val="uk-UA"/>
              </w:rPr>
              <w:t>виміру</w:t>
            </w:r>
          </w:p>
        </w:tc>
        <w:tc>
          <w:tcPr>
            <w:tcW w:w="992" w:type="dxa"/>
            <w:shd w:val="clear" w:color="auto" w:fill="DEEAF6" w:themeFill="accent1" w:themeFillTint="33"/>
          </w:tcPr>
          <w:p w:rsidR="00E77D9F" w:rsidRPr="002D63F5" w:rsidRDefault="00E77D9F" w:rsidP="00574715">
            <w:pPr>
              <w:widowControl w:val="0"/>
              <w:jc w:val="center"/>
              <w:rPr>
                <w:b/>
                <w:sz w:val="22"/>
                <w:szCs w:val="22"/>
                <w:lang w:val="uk-UA"/>
              </w:rPr>
            </w:pPr>
            <w:r w:rsidRPr="002D63F5">
              <w:rPr>
                <w:b/>
                <w:sz w:val="22"/>
                <w:szCs w:val="22"/>
                <w:lang w:val="uk-UA"/>
              </w:rPr>
              <w:t>Кількість</w:t>
            </w:r>
          </w:p>
        </w:tc>
        <w:tc>
          <w:tcPr>
            <w:tcW w:w="4537" w:type="dxa"/>
            <w:shd w:val="clear" w:color="auto" w:fill="DEEAF6" w:themeFill="accent1" w:themeFillTint="33"/>
          </w:tcPr>
          <w:p w:rsidR="00E77D9F" w:rsidRPr="002D63F5" w:rsidRDefault="00E77D9F" w:rsidP="00574715">
            <w:pPr>
              <w:widowControl w:val="0"/>
              <w:jc w:val="center"/>
              <w:rPr>
                <w:b/>
                <w:sz w:val="22"/>
                <w:szCs w:val="22"/>
                <w:lang w:val="uk-UA"/>
              </w:rPr>
            </w:pPr>
            <w:r w:rsidRPr="002D63F5">
              <w:rPr>
                <w:b/>
                <w:sz w:val="22"/>
                <w:szCs w:val="22"/>
                <w:lang w:val="uk-UA"/>
              </w:rPr>
              <w:t>Технічні та інші характеристики</w:t>
            </w:r>
          </w:p>
          <w:p w:rsidR="00E77D9F" w:rsidRPr="002D63F5" w:rsidRDefault="00E77D9F" w:rsidP="00574715">
            <w:pPr>
              <w:widowControl w:val="0"/>
              <w:jc w:val="center"/>
              <w:rPr>
                <w:b/>
                <w:sz w:val="22"/>
                <w:szCs w:val="22"/>
                <w:lang w:val="uk-UA"/>
              </w:rPr>
            </w:pPr>
            <w:r w:rsidRPr="002D63F5">
              <w:rPr>
                <w:b/>
                <w:sz w:val="22"/>
                <w:szCs w:val="22"/>
                <w:lang w:val="uk-UA"/>
              </w:rPr>
              <w:t>(технічна специфікація)</w:t>
            </w:r>
          </w:p>
          <w:p w:rsidR="00E77D9F" w:rsidRPr="002D63F5" w:rsidRDefault="00E77D9F" w:rsidP="00574715">
            <w:pPr>
              <w:widowControl w:val="0"/>
              <w:jc w:val="center"/>
              <w:rPr>
                <w:b/>
                <w:sz w:val="22"/>
                <w:szCs w:val="22"/>
                <w:lang w:val="uk-UA"/>
              </w:rPr>
            </w:pPr>
          </w:p>
        </w:tc>
        <w:tc>
          <w:tcPr>
            <w:tcW w:w="1984" w:type="dxa"/>
            <w:shd w:val="clear" w:color="auto" w:fill="DEEAF6" w:themeFill="accent1" w:themeFillTint="33"/>
          </w:tcPr>
          <w:p w:rsidR="00E77D9F" w:rsidRPr="002D63F5" w:rsidRDefault="00E77D9F" w:rsidP="00574715">
            <w:pPr>
              <w:widowControl w:val="0"/>
              <w:jc w:val="center"/>
              <w:rPr>
                <w:b/>
                <w:sz w:val="22"/>
                <w:szCs w:val="22"/>
                <w:lang w:val="uk-UA"/>
              </w:rPr>
            </w:pPr>
            <w:r w:rsidRPr="00A96FFA">
              <w:rPr>
                <w:b/>
                <w:noProof/>
                <w:sz w:val="22"/>
                <w:szCs w:val="22"/>
                <w:lang w:val="uk-UA"/>
              </w:rPr>
              <w:t>Ф</w:t>
            </w:r>
            <w:r w:rsidRPr="002D63F5">
              <w:rPr>
                <w:b/>
                <w:noProof/>
                <w:sz w:val="22"/>
                <w:szCs w:val="22"/>
                <w:lang w:val="uk-UA"/>
              </w:rPr>
              <w:t>асування</w:t>
            </w:r>
          </w:p>
        </w:tc>
      </w:tr>
      <w:tr w:rsidR="00E77D9F" w:rsidRPr="002D63F5" w:rsidTr="00574715">
        <w:tc>
          <w:tcPr>
            <w:tcW w:w="567" w:type="dxa"/>
          </w:tcPr>
          <w:p w:rsidR="00E77D9F" w:rsidRPr="002D63F5" w:rsidRDefault="00E77D9F" w:rsidP="00E77D9F">
            <w:pPr>
              <w:numPr>
                <w:ilvl w:val="0"/>
                <w:numId w:val="26"/>
              </w:numPr>
              <w:suppressAutoHyphens/>
              <w:contextualSpacing/>
              <w:rPr>
                <w:b/>
                <w:bCs/>
                <w:sz w:val="22"/>
                <w:szCs w:val="22"/>
                <w:lang w:val="uk-UA"/>
              </w:rPr>
            </w:pPr>
          </w:p>
        </w:tc>
        <w:tc>
          <w:tcPr>
            <w:tcW w:w="1353" w:type="dxa"/>
          </w:tcPr>
          <w:p w:rsidR="00E77D9F" w:rsidRPr="002D63F5" w:rsidRDefault="00E77D9F" w:rsidP="00574715">
            <w:pPr>
              <w:jc w:val="center"/>
              <w:rPr>
                <w:color w:val="000000"/>
                <w:sz w:val="22"/>
                <w:szCs w:val="22"/>
                <w:lang w:val="uk-UA" w:eastAsia="uk-UA"/>
              </w:rPr>
            </w:pPr>
            <w:r w:rsidRPr="002D63F5">
              <w:rPr>
                <w:color w:val="000000"/>
                <w:sz w:val="22"/>
                <w:szCs w:val="22"/>
                <w:lang w:val="uk-UA" w:eastAsia="uk-UA"/>
              </w:rPr>
              <w:t>Сорбент</w:t>
            </w:r>
          </w:p>
        </w:tc>
        <w:tc>
          <w:tcPr>
            <w:tcW w:w="992" w:type="dxa"/>
          </w:tcPr>
          <w:p w:rsidR="00E77D9F" w:rsidRPr="002D63F5" w:rsidRDefault="00E77D9F" w:rsidP="00574715">
            <w:pPr>
              <w:widowControl w:val="0"/>
              <w:jc w:val="center"/>
              <w:rPr>
                <w:sz w:val="22"/>
                <w:szCs w:val="22"/>
                <w:lang w:val="uk-UA"/>
              </w:rPr>
            </w:pPr>
            <w:r w:rsidRPr="002D63F5">
              <w:rPr>
                <w:sz w:val="22"/>
                <w:szCs w:val="22"/>
                <w:lang w:val="uk-UA"/>
              </w:rPr>
              <w:t>л</w:t>
            </w:r>
          </w:p>
        </w:tc>
        <w:tc>
          <w:tcPr>
            <w:tcW w:w="992" w:type="dxa"/>
          </w:tcPr>
          <w:p w:rsidR="00E77D9F" w:rsidRPr="002D63F5" w:rsidRDefault="00E77D9F" w:rsidP="00574715">
            <w:pPr>
              <w:jc w:val="center"/>
              <w:rPr>
                <w:color w:val="000000"/>
                <w:sz w:val="22"/>
                <w:szCs w:val="22"/>
                <w:highlight w:val="yellow"/>
                <w:lang w:val="uk-UA" w:eastAsia="uk-UA"/>
              </w:rPr>
            </w:pPr>
            <w:r w:rsidRPr="002D63F5">
              <w:rPr>
                <w:color w:val="000000"/>
                <w:sz w:val="22"/>
                <w:szCs w:val="22"/>
                <w:lang w:val="uk-UA" w:eastAsia="uk-UA"/>
              </w:rPr>
              <w:t>4000</w:t>
            </w:r>
          </w:p>
        </w:tc>
        <w:tc>
          <w:tcPr>
            <w:tcW w:w="4537" w:type="dxa"/>
          </w:tcPr>
          <w:p w:rsidR="00E77D9F" w:rsidRPr="002D63F5" w:rsidRDefault="00E77D9F" w:rsidP="00574715">
            <w:pPr>
              <w:jc w:val="both"/>
              <w:rPr>
                <w:color w:val="222222"/>
                <w:sz w:val="22"/>
                <w:szCs w:val="22"/>
                <w:shd w:val="clear" w:color="auto" w:fill="F8F9FA"/>
                <w:lang w:val="uk-UA"/>
              </w:rPr>
            </w:pPr>
            <w:r w:rsidRPr="002D63F5">
              <w:rPr>
                <w:b/>
                <w:color w:val="222222"/>
                <w:sz w:val="22"/>
                <w:szCs w:val="22"/>
                <w:shd w:val="clear" w:color="auto" w:fill="F8F9FA"/>
                <w:lang w:val="uk-UA"/>
              </w:rPr>
              <w:t>Технічні характеристики</w:t>
            </w:r>
            <w:r w:rsidRPr="002D63F5">
              <w:rPr>
                <w:color w:val="222222"/>
                <w:sz w:val="22"/>
                <w:szCs w:val="22"/>
                <w:shd w:val="clear" w:color="auto" w:fill="F8F9FA"/>
                <w:lang w:val="uk-UA"/>
              </w:rPr>
              <w:t xml:space="preserve">: </w:t>
            </w:r>
          </w:p>
          <w:p w:rsidR="00E77D9F" w:rsidRPr="002D63F5" w:rsidRDefault="00E77D9F" w:rsidP="00E77D9F">
            <w:pPr>
              <w:numPr>
                <w:ilvl w:val="0"/>
                <w:numId w:val="27"/>
              </w:numPr>
              <w:contextualSpacing/>
              <w:jc w:val="both"/>
              <w:rPr>
                <w:color w:val="222222"/>
                <w:sz w:val="22"/>
                <w:szCs w:val="22"/>
                <w:shd w:val="clear" w:color="auto" w:fill="F8F9FA"/>
                <w:lang w:val="uk-UA"/>
              </w:rPr>
            </w:pPr>
            <w:r w:rsidRPr="002D63F5">
              <w:rPr>
                <w:color w:val="222222"/>
                <w:sz w:val="22"/>
                <w:szCs w:val="22"/>
                <w:shd w:val="clear" w:color="auto" w:fill="F8F9FA"/>
                <w:lang w:val="uk-UA"/>
              </w:rPr>
              <w:t xml:space="preserve">Фізична структура – дрібнодисперсний порошок з волокнистими включеннями; </w:t>
            </w:r>
          </w:p>
          <w:p w:rsidR="00E77D9F" w:rsidRPr="002D63F5" w:rsidRDefault="00E77D9F" w:rsidP="00E77D9F">
            <w:pPr>
              <w:numPr>
                <w:ilvl w:val="0"/>
                <w:numId w:val="27"/>
              </w:numPr>
              <w:contextualSpacing/>
              <w:jc w:val="both"/>
              <w:rPr>
                <w:color w:val="222222"/>
                <w:sz w:val="22"/>
                <w:szCs w:val="22"/>
                <w:shd w:val="clear" w:color="auto" w:fill="F8F9FA"/>
                <w:lang w:val="uk-UA"/>
              </w:rPr>
            </w:pPr>
            <w:r w:rsidRPr="002D63F5">
              <w:rPr>
                <w:color w:val="222222"/>
                <w:sz w:val="22"/>
                <w:szCs w:val="22"/>
                <w:shd w:val="clear" w:color="auto" w:fill="F8F9FA"/>
                <w:lang w:val="uk-UA"/>
              </w:rPr>
              <w:t>Зовнішній вигляд: світло-коричневий</w:t>
            </w:r>
          </w:p>
          <w:p w:rsidR="00E77D9F" w:rsidRPr="00E77D9F" w:rsidRDefault="00E77D9F" w:rsidP="00E77D9F">
            <w:pPr>
              <w:numPr>
                <w:ilvl w:val="0"/>
                <w:numId w:val="27"/>
              </w:numPr>
              <w:contextualSpacing/>
              <w:jc w:val="both"/>
              <w:rPr>
                <w:sz w:val="22"/>
                <w:szCs w:val="22"/>
                <w:shd w:val="clear" w:color="auto" w:fill="F8F9FA"/>
                <w:lang w:val="uk-UA"/>
              </w:rPr>
            </w:pPr>
            <w:bookmarkStart w:id="0" w:name="_GoBack"/>
            <w:r w:rsidRPr="00E77D9F">
              <w:rPr>
                <w:sz w:val="22"/>
                <w:szCs w:val="22"/>
                <w:shd w:val="clear" w:color="auto" w:fill="F8F9FA"/>
                <w:lang w:val="uk-UA"/>
              </w:rPr>
              <w:t xml:space="preserve">Насипна щільність, г/л: 130-160 </w:t>
            </w:r>
            <w:r w:rsidRPr="00E77D9F">
              <w:rPr>
                <w:i/>
                <w:sz w:val="22"/>
                <w:szCs w:val="22"/>
                <w:shd w:val="clear" w:color="auto" w:fill="F8F9FA"/>
                <w:lang w:val="uk-UA"/>
              </w:rPr>
              <w:t>(Учасник повинен зазначити показник в діапазоні або конкретний показник, якщо це доцільно)</w:t>
            </w:r>
            <w:r w:rsidRPr="00E77D9F">
              <w:rPr>
                <w:sz w:val="22"/>
                <w:szCs w:val="22"/>
                <w:shd w:val="clear" w:color="auto" w:fill="F8F9FA"/>
                <w:lang w:val="uk-UA"/>
              </w:rPr>
              <w:t>;</w:t>
            </w:r>
          </w:p>
          <w:p w:rsidR="00E77D9F" w:rsidRPr="00E77D9F" w:rsidRDefault="00E77D9F" w:rsidP="00E77D9F">
            <w:pPr>
              <w:numPr>
                <w:ilvl w:val="0"/>
                <w:numId w:val="27"/>
              </w:numPr>
              <w:contextualSpacing/>
              <w:jc w:val="both"/>
              <w:rPr>
                <w:sz w:val="22"/>
                <w:szCs w:val="22"/>
                <w:shd w:val="clear" w:color="auto" w:fill="F8F9FA"/>
                <w:lang w:val="uk-UA"/>
              </w:rPr>
            </w:pPr>
            <w:r w:rsidRPr="00E77D9F">
              <w:rPr>
                <w:sz w:val="22"/>
                <w:szCs w:val="22"/>
                <w:shd w:val="clear" w:color="auto" w:fill="F8F9FA"/>
                <w:lang w:val="uk-UA"/>
              </w:rPr>
              <w:t>абсорбційна ємність в об’ємних одиницях – 1,0:0,80-0,95 (</w:t>
            </w:r>
            <w:r w:rsidRPr="00E77D9F">
              <w:rPr>
                <w:i/>
                <w:sz w:val="22"/>
                <w:szCs w:val="22"/>
                <w:shd w:val="clear" w:color="auto" w:fill="F8F9FA"/>
                <w:lang w:val="uk-UA"/>
              </w:rPr>
              <w:t>Учасник повинен зазначити показник в діапазоні або конкретний показник, якщо це доцільно</w:t>
            </w:r>
            <w:r w:rsidRPr="00E77D9F">
              <w:rPr>
                <w:sz w:val="22"/>
                <w:szCs w:val="22"/>
                <w:shd w:val="clear" w:color="auto" w:fill="F8F9FA"/>
                <w:lang w:val="uk-UA"/>
              </w:rPr>
              <w:t>);</w:t>
            </w:r>
          </w:p>
          <w:p w:rsidR="00E77D9F" w:rsidRPr="00E77D9F" w:rsidRDefault="00E77D9F" w:rsidP="00E77D9F">
            <w:pPr>
              <w:numPr>
                <w:ilvl w:val="0"/>
                <w:numId w:val="27"/>
              </w:numPr>
              <w:contextualSpacing/>
              <w:jc w:val="both"/>
              <w:rPr>
                <w:sz w:val="22"/>
                <w:szCs w:val="22"/>
                <w:shd w:val="clear" w:color="auto" w:fill="F8F9FA"/>
                <w:lang w:val="uk-UA"/>
              </w:rPr>
            </w:pPr>
            <w:r w:rsidRPr="00E77D9F">
              <w:rPr>
                <w:sz w:val="22"/>
                <w:szCs w:val="22"/>
                <w:shd w:val="clear" w:color="auto" w:fill="F8F9FA"/>
                <w:lang w:val="uk-UA"/>
              </w:rPr>
              <w:t xml:space="preserve">абсорбційна ємність по масі, кг/кг – 1:6-1:7 </w:t>
            </w:r>
            <w:r w:rsidRPr="00E77D9F">
              <w:rPr>
                <w:i/>
                <w:sz w:val="22"/>
                <w:szCs w:val="22"/>
                <w:shd w:val="clear" w:color="auto" w:fill="F8F9FA"/>
                <w:lang w:val="uk-UA"/>
              </w:rPr>
              <w:t>(Учасник повинен зазначити показник в діапазоні або конкретний показник, якщо це доцільно)</w:t>
            </w:r>
          </w:p>
          <w:p w:rsidR="00E77D9F" w:rsidRPr="00E77D9F" w:rsidRDefault="00E77D9F" w:rsidP="00E77D9F">
            <w:pPr>
              <w:numPr>
                <w:ilvl w:val="0"/>
                <w:numId w:val="27"/>
              </w:numPr>
              <w:contextualSpacing/>
              <w:jc w:val="both"/>
              <w:rPr>
                <w:sz w:val="22"/>
                <w:szCs w:val="22"/>
                <w:shd w:val="clear" w:color="auto" w:fill="F8F9FA"/>
                <w:lang w:val="uk-UA"/>
              </w:rPr>
            </w:pPr>
            <w:r w:rsidRPr="00E77D9F">
              <w:rPr>
                <w:sz w:val="22"/>
                <w:szCs w:val="22"/>
                <w:shd w:val="clear" w:color="auto" w:fill="F8F9FA"/>
                <w:lang w:val="uk-UA"/>
              </w:rPr>
              <w:t xml:space="preserve">гідрофобність – так; </w:t>
            </w:r>
          </w:p>
          <w:bookmarkEnd w:id="0"/>
          <w:p w:rsidR="00E77D9F" w:rsidRDefault="00E77D9F" w:rsidP="00E77D9F">
            <w:pPr>
              <w:numPr>
                <w:ilvl w:val="0"/>
                <w:numId w:val="27"/>
              </w:numPr>
              <w:contextualSpacing/>
              <w:jc w:val="both"/>
              <w:rPr>
                <w:color w:val="222222"/>
                <w:sz w:val="22"/>
                <w:szCs w:val="22"/>
                <w:shd w:val="clear" w:color="auto" w:fill="F8F9FA"/>
                <w:lang w:val="uk-UA"/>
              </w:rPr>
            </w:pPr>
            <w:r w:rsidRPr="002D63F5">
              <w:rPr>
                <w:color w:val="222222"/>
                <w:sz w:val="22"/>
                <w:szCs w:val="22"/>
                <w:shd w:val="clear" w:color="auto" w:fill="F8F9FA"/>
                <w:lang w:val="uk-UA"/>
              </w:rPr>
              <w:t>десорбція - практично відсутня.</w:t>
            </w:r>
          </w:p>
          <w:p w:rsidR="00E77D9F" w:rsidRPr="00AB6E63" w:rsidRDefault="00E77D9F" w:rsidP="00574715">
            <w:pPr>
              <w:tabs>
                <w:tab w:val="left" w:pos="4481"/>
              </w:tabs>
              <w:ind w:left="87" w:right="178"/>
              <w:contextualSpacing/>
              <w:jc w:val="both"/>
              <w:rPr>
                <w:b/>
                <w:color w:val="222222"/>
                <w:sz w:val="22"/>
                <w:szCs w:val="22"/>
                <w:shd w:val="clear" w:color="auto" w:fill="F8F9FA"/>
                <w:lang w:val="uk-UA"/>
              </w:rPr>
            </w:pPr>
            <w:r w:rsidRPr="00AB6E63">
              <w:rPr>
                <w:b/>
                <w:color w:val="222222"/>
                <w:sz w:val="22"/>
                <w:szCs w:val="22"/>
                <w:shd w:val="clear" w:color="auto" w:fill="F8F9FA"/>
              </w:rPr>
              <w:t xml:space="preserve">Сфера </w:t>
            </w:r>
            <w:proofErr w:type="spellStart"/>
            <w:r w:rsidRPr="00AB6E63">
              <w:rPr>
                <w:b/>
                <w:color w:val="222222"/>
                <w:sz w:val="22"/>
                <w:szCs w:val="22"/>
                <w:shd w:val="clear" w:color="auto" w:fill="F8F9FA"/>
              </w:rPr>
              <w:t>застосування</w:t>
            </w:r>
            <w:proofErr w:type="spellEnd"/>
            <w:r w:rsidRPr="00AB6E63">
              <w:rPr>
                <w:b/>
                <w:color w:val="222222"/>
                <w:sz w:val="22"/>
                <w:szCs w:val="22"/>
                <w:shd w:val="clear" w:color="auto" w:fill="F8F9FA"/>
                <w:lang w:val="uk-UA"/>
              </w:rPr>
              <w:t>:</w:t>
            </w:r>
          </w:p>
          <w:p w:rsidR="00E77D9F" w:rsidRPr="002D63F5" w:rsidRDefault="00E77D9F" w:rsidP="00574715">
            <w:pPr>
              <w:ind w:left="360"/>
              <w:contextualSpacing/>
              <w:jc w:val="both"/>
              <w:rPr>
                <w:color w:val="222222"/>
                <w:sz w:val="22"/>
                <w:szCs w:val="22"/>
                <w:shd w:val="clear" w:color="auto" w:fill="F8F9FA"/>
                <w:lang w:val="uk-UA"/>
              </w:rPr>
            </w:pPr>
            <w:proofErr w:type="spellStart"/>
            <w:r w:rsidRPr="00AB6E63">
              <w:rPr>
                <w:color w:val="222222"/>
                <w:sz w:val="22"/>
                <w:szCs w:val="22"/>
                <w:shd w:val="clear" w:color="auto" w:fill="F8F9FA"/>
              </w:rPr>
              <w:t>ліквідація</w:t>
            </w:r>
            <w:proofErr w:type="spellEnd"/>
            <w:r w:rsidRPr="00AB6E63">
              <w:rPr>
                <w:color w:val="222222"/>
                <w:sz w:val="22"/>
                <w:szCs w:val="22"/>
                <w:shd w:val="clear" w:color="auto" w:fill="F8F9FA"/>
              </w:rPr>
              <w:t xml:space="preserve"> </w:t>
            </w:r>
            <w:proofErr w:type="spellStart"/>
            <w:r w:rsidRPr="00AB6E63">
              <w:rPr>
                <w:color w:val="222222"/>
                <w:sz w:val="22"/>
                <w:szCs w:val="22"/>
                <w:shd w:val="clear" w:color="auto" w:fill="F8F9FA"/>
              </w:rPr>
              <w:t>розливів</w:t>
            </w:r>
            <w:proofErr w:type="spellEnd"/>
            <w:r w:rsidRPr="00AB6E63">
              <w:rPr>
                <w:color w:val="222222"/>
                <w:sz w:val="22"/>
                <w:szCs w:val="22"/>
                <w:shd w:val="clear" w:color="auto" w:fill="F8F9FA"/>
              </w:rPr>
              <w:t xml:space="preserve"> </w:t>
            </w:r>
            <w:proofErr w:type="spellStart"/>
            <w:r w:rsidRPr="00AB6E63">
              <w:rPr>
                <w:color w:val="222222"/>
                <w:sz w:val="22"/>
                <w:szCs w:val="22"/>
                <w:shd w:val="clear" w:color="auto" w:fill="F8F9FA"/>
              </w:rPr>
              <w:t>нафти</w:t>
            </w:r>
            <w:proofErr w:type="spellEnd"/>
            <w:r w:rsidRPr="00AB6E63">
              <w:rPr>
                <w:color w:val="222222"/>
                <w:sz w:val="22"/>
                <w:szCs w:val="22"/>
                <w:shd w:val="clear" w:color="auto" w:fill="F8F9FA"/>
              </w:rPr>
              <w:t xml:space="preserve">, </w:t>
            </w:r>
            <w:proofErr w:type="spellStart"/>
            <w:r w:rsidRPr="00AB6E63">
              <w:rPr>
                <w:color w:val="222222"/>
                <w:sz w:val="22"/>
                <w:szCs w:val="22"/>
                <w:shd w:val="clear" w:color="auto" w:fill="F8F9FA"/>
              </w:rPr>
              <w:t>нафтопродуктів</w:t>
            </w:r>
            <w:proofErr w:type="spellEnd"/>
            <w:r w:rsidRPr="00AB6E63">
              <w:rPr>
                <w:color w:val="222222"/>
                <w:sz w:val="22"/>
                <w:szCs w:val="22"/>
                <w:shd w:val="clear" w:color="auto" w:fill="F8F9FA"/>
              </w:rPr>
              <w:t xml:space="preserve">, трансформаторного </w:t>
            </w:r>
            <w:proofErr w:type="spellStart"/>
            <w:r w:rsidRPr="00AB6E63">
              <w:rPr>
                <w:color w:val="222222"/>
                <w:sz w:val="22"/>
                <w:szCs w:val="22"/>
                <w:shd w:val="clear" w:color="auto" w:fill="F8F9FA"/>
              </w:rPr>
              <w:t>мастила</w:t>
            </w:r>
            <w:proofErr w:type="spellEnd"/>
            <w:r w:rsidRPr="00AB6E63">
              <w:rPr>
                <w:color w:val="222222"/>
                <w:sz w:val="22"/>
                <w:szCs w:val="22"/>
                <w:shd w:val="clear" w:color="auto" w:fill="F8F9FA"/>
              </w:rPr>
              <w:t xml:space="preserve">, газового конденсату на </w:t>
            </w:r>
            <w:proofErr w:type="spellStart"/>
            <w:r w:rsidRPr="00AB6E63">
              <w:rPr>
                <w:color w:val="222222"/>
                <w:sz w:val="22"/>
                <w:szCs w:val="22"/>
                <w:shd w:val="clear" w:color="auto" w:fill="F8F9FA"/>
              </w:rPr>
              <w:t>різних</w:t>
            </w:r>
            <w:proofErr w:type="spellEnd"/>
            <w:r w:rsidRPr="00AB6E63">
              <w:rPr>
                <w:color w:val="222222"/>
                <w:sz w:val="22"/>
                <w:szCs w:val="22"/>
                <w:shd w:val="clear" w:color="auto" w:fill="F8F9FA"/>
              </w:rPr>
              <w:t xml:space="preserve"> </w:t>
            </w:r>
            <w:proofErr w:type="spellStart"/>
            <w:r w:rsidRPr="00AB6E63">
              <w:rPr>
                <w:color w:val="222222"/>
                <w:sz w:val="22"/>
                <w:szCs w:val="22"/>
                <w:shd w:val="clear" w:color="auto" w:fill="F8F9FA"/>
              </w:rPr>
              <w:t>поверхнях</w:t>
            </w:r>
            <w:proofErr w:type="spellEnd"/>
            <w:r w:rsidRPr="00AB6E63">
              <w:rPr>
                <w:color w:val="222222"/>
                <w:sz w:val="22"/>
                <w:szCs w:val="22"/>
                <w:shd w:val="clear" w:color="auto" w:fill="F8F9FA"/>
              </w:rPr>
              <w:t>.</w:t>
            </w:r>
          </w:p>
        </w:tc>
        <w:tc>
          <w:tcPr>
            <w:tcW w:w="1984" w:type="dxa"/>
          </w:tcPr>
          <w:p w:rsidR="00E77D9F" w:rsidRPr="002D63F5" w:rsidRDefault="00E77D9F" w:rsidP="00574715">
            <w:pPr>
              <w:jc w:val="center"/>
              <w:rPr>
                <w:b/>
                <w:color w:val="222222"/>
                <w:sz w:val="22"/>
                <w:szCs w:val="22"/>
                <w:shd w:val="clear" w:color="auto" w:fill="F8F9FA"/>
                <w:lang w:val="uk-UA"/>
              </w:rPr>
            </w:pPr>
            <w:r w:rsidRPr="002D63F5">
              <w:rPr>
                <w:color w:val="222222"/>
                <w:sz w:val="22"/>
                <w:szCs w:val="22"/>
                <w:shd w:val="clear" w:color="auto" w:fill="F8F9FA"/>
                <w:lang w:val="uk-UA"/>
              </w:rPr>
              <w:t>поліетиленові мішки</w:t>
            </w:r>
          </w:p>
        </w:tc>
      </w:tr>
    </w:tbl>
    <w:p w:rsidR="006F428D" w:rsidRPr="007101A5" w:rsidRDefault="006F428D" w:rsidP="00E77D9F">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B4" w:rsidRDefault="005746B4">
      <w:r>
        <w:separator/>
      </w:r>
    </w:p>
  </w:endnote>
  <w:endnote w:type="continuationSeparator" w:id="0">
    <w:p w:rsidR="005746B4" w:rsidRDefault="0057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F2098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C628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82944">
      <w:rPr>
        <w:sz w:val="20"/>
        <w:szCs w:val="20"/>
        <w:lang w:val="uk-UA"/>
      </w:rPr>
      <w:t>Сорбент, код ДК 021:2015 - 24210000-9 - Оксиди, пероксиди та гідроксиди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77D9F">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77D9F">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B4" w:rsidRDefault="005746B4">
      <w:r>
        <w:separator/>
      </w:r>
    </w:p>
  </w:footnote>
  <w:footnote w:type="continuationSeparator" w:id="0">
    <w:p w:rsidR="005746B4" w:rsidRDefault="005746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F2098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7ACDD"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F60F1B"/>
    <w:multiLevelType w:val="hybridMultilevel"/>
    <w:tmpl w:val="42541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54E1336"/>
    <w:multiLevelType w:val="hybridMultilevel"/>
    <w:tmpl w:val="2CCE3BDA"/>
    <w:lvl w:ilvl="0" w:tplc="EE20D49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8"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0"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0"/>
  </w:num>
  <w:num w:numId="4">
    <w:abstractNumId w:val="25"/>
  </w:num>
  <w:num w:numId="5">
    <w:abstractNumId w:val="9"/>
  </w:num>
  <w:num w:numId="6">
    <w:abstractNumId w:val="7"/>
  </w:num>
  <w:num w:numId="7">
    <w:abstractNumId w:val="8"/>
  </w:num>
  <w:num w:numId="8">
    <w:abstractNumId w:val="21"/>
  </w:num>
  <w:num w:numId="9">
    <w:abstractNumId w:val="1"/>
  </w:num>
  <w:num w:numId="10">
    <w:abstractNumId w:val="18"/>
  </w:num>
  <w:num w:numId="11">
    <w:abstractNumId w:val="16"/>
  </w:num>
  <w:num w:numId="12">
    <w:abstractNumId w:val="14"/>
  </w:num>
  <w:num w:numId="13">
    <w:abstractNumId w:val="15"/>
  </w:num>
  <w:num w:numId="14">
    <w:abstractNumId w:val="4"/>
  </w:num>
  <w:num w:numId="15">
    <w:abstractNumId w:val="17"/>
  </w:num>
  <w:num w:numId="16">
    <w:abstractNumId w:val="2"/>
  </w:num>
  <w:num w:numId="17">
    <w:abstractNumId w:val="13"/>
  </w:num>
  <w:num w:numId="18">
    <w:abstractNumId w:val="6"/>
  </w:num>
  <w:num w:numId="19">
    <w:abstractNumId w:val="10"/>
  </w:num>
  <w:num w:numId="20">
    <w:abstractNumId w:val="20"/>
  </w:num>
  <w:num w:numId="21">
    <w:abstractNumId w:val="11"/>
  </w:num>
  <w:num w:numId="22">
    <w:abstractNumId w:val="19"/>
  </w:num>
  <w:num w:numId="23">
    <w:abstractNumId w:val="12"/>
  </w:num>
  <w:num w:numId="24">
    <w:abstractNumId w:val="23"/>
  </w:num>
  <w:num w:numId="25">
    <w:abstractNumId w:val="23"/>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6B4"/>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2944"/>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77D9F"/>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098D"/>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CB2A00-2C1A-444B-B7C3-DEE3DC8B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ADCD-6F4C-4643-8937-A6E90DDA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2686</Words>
  <Characters>1532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2023-01-10T15:29:00Z</dcterms:created>
  <dcterms:modified xsi:type="dcterms:W3CDTF">2023-01-10T15:31:00Z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