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B1CF3"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7B1CF3">
            <w:pPr>
              <w:widowControl w:val="0"/>
              <w:ind w:right="-11"/>
              <w:jc w:val="center"/>
              <w:rPr>
                <w:sz w:val="22"/>
                <w:szCs w:val="22"/>
                <w:lang w:val="uk-UA" w:eastAsia="uk-UA"/>
              </w:rPr>
            </w:pPr>
            <w:r w:rsidRPr="007B1CF3">
              <w:rPr>
                <w:sz w:val="22"/>
                <w:szCs w:val="22"/>
                <w:lang w:val="uk-UA"/>
              </w:rPr>
              <w:t>п.</w:t>
            </w:r>
            <w:r w:rsidR="00A76484" w:rsidRPr="007B1CF3">
              <w:rPr>
                <w:sz w:val="22"/>
                <w:szCs w:val="22"/>
                <w:lang w:val="uk-UA"/>
              </w:rPr>
              <w:t xml:space="preserve"> </w:t>
            </w:r>
            <w:r w:rsidR="00DD3E1C" w:rsidRPr="007B1CF3">
              <w:rPr>
                <w:sz w:val="22"/>
                <w:szCs w:val="22"/>
                <w:lang w:val="uk-UA"/>
              </w:rPr>
              <w:t xml:space="preserve">23.02 </w:t>
            </w:r>
            <w:r w:rsidR="00BD6E95" w:rsidRPr="007B1CF3">
              <w:rPr>
                <w:sz w:val="22"/>
                <w:szCs w:val="22"/>
                <w:lang w:val="uk-UA" w:eastAsia="uk-UA"/>
              </w:rPr>
              <w:t>(202</w:t>
            </w:r>
            <w:r w:rsidR="004E76E1" w:rsidRPr="007B1CF3">
              <w:rPr>
                <w:sz w:val="22"/>
                <w:szCs w:val="22"/>
                <w:lang w:val="uk-UA" w:eastAsia="uk-UA"/>
              </w:rPr>
              <w:t>3</w:t>
            </w:r>
            <w:r w:rsidR="00A76484" w:rsidRPr="007B1CF3">
              <w:rPr>
                <w:sz w:val="22"/>
                <w:szCs w:val="22"/>
                <w:lang w:val="uk-UA" w:eastAsia="uk-UA"/>
              </w:rPr>
              <w:t>)</w:t>
            </w:r>
          </w:p>
        </w:tc>
        <w:tc>
          <w:tcPr>
            <w:tcW w:w="1527" w:type="pct"/>
          </w:tcPr>
          <w:p w:rsidR="00A76484" w:rsidRPr="007101A5" w:rsidRDefault="00DD3E1C" w:rsidP="00A12478">
            <w:pPr>
              <w:widowControl w:val="0"/>
              <w:rPr>
                <w:bCs/>
                <w:sz w:val="22"/>
                <w:szCs w:val="22"/>
                <w:lang w:val="uk-UA"/>
              </w:rPr>
            </w:pPr>
            <w:r>
              <w:rPr>
                <w:b/>
                <w:sz w:val="22"/>
                <w:szCs w:val="22"/>
                <w:lang w:val="uk-UA"/>
              </w:rPr>
              <w:t>Пересилання поштових відправлень (за межі України), код ДК 021:2015 - 64110000-0 - Поштові послуги</w:t>
            </w:r>
          </w:p>
        </w:tc>
        <w:tc>
          <w:tcPr>
            <w:tcW w:w="947" w:type="pct"/>
          </w:tcPr>
          <w:p w:rsidR="00A76484" w:rsidRPr="007B1CF3" w:rsidRDefault="007B1CF3" w:rsidP="002D4D30">
            <w:pPr>
              <w:widowControl w:val="0"/>
              <w:jc w:val="center"/>
              <w:rPr>
                <w:sz w:val="22"/>
                <w:szCs w:val="22"/>
                <w:lang w:val="uk-UA"/>
              </w:rPr>
            </w:pPr>
            <w:r w:rsidRPr="007B1CF3">
              <w:rPr>
                <w:sz w:val="22"/>
                <w:szCs w:val="22"/>
                <w:lang w:val="uk-UA"/>
              </w:rPr>
              <w:t>100 000,00</w:t>
            </w:r>
            <w:r w:rsidR="00A76484" w:rsidRPr="007B1CF3">
              <w:rPr>
                <w:sz w:val="22"/>
                <w:szCs w:val="22"/>
                <w:lang w:val="uk-UA"/>
              </w:rPr>
              <w:t xml:space="preserve"> </w:t>
            </w:r>
          </w:p>
          <w:p w:rsidR="00A76484" w:rsidRPr="007B1CF3" w:rsidRDefault="00A76484" w:rsidP="002D4D30">
            <w:pPr>
              <w:widowControl w:val="0"/>
              <w:jc w:val="center"/>
              <w:rPr>
                <w:sz w:val="22"/>
                <w:szCs w:val="22"/>
                <w:lang w:val="uk-UA"/>
              </w:rPr>
            </w:pPr>
            <w:r w:rsidRPr="007B1CF3">
              <w:rPr>
                <w:sz w:val="22"/>
                <w:szCs w:val="22"/>
                <w:lang w:val="uk-UA"/>
              </w:rPr>
              <w:t>грн. з ПДВ</w:t>
            </w:r>
          </w:p>
        </w:tc>
        <w:tc>
          <w:tcPr>
            <w:tcW w:w="1102" w:type="pct"/>
          </w:tcPr>
          <w:p w:rsidR="00A76484" w:rsidRPr="007B1CF3" w:rsidRDefault="00DD3E1C" w:rsidP="002D4D30">
            <w:pPr>
              <w:widowControl w:val="0"/>
              <w:jc w:val="center"/>
              <w:rPr>
                <w:sz w:val="22"/>
                <w:szCs w:val="22"/>
                <w:lang w:val="uk-UA"/>
              </w:rPr>
            </w:pPr>
            <w:r w:rsidRPr="007B1CF3">
              <w:rPr>
                <w:sz w:val="22"/>
                <w:szCs w:val="22"/>
                <w:lang w:val="uk-UA"/>
              </w:rPr>
              <w:t>98 011,66</w:t>
            </w:r>
          </w:p>
          <w:p w:rsidR="00A76484" w:rsidRPr="007B1CF3" w:rsidRDefault="00A76484" w:rsidP="002D4D30">
            <w:pPr>
              <w:widowControl w:val="0"/>
              <w:jc w:val="center"/>
              <w:rPr>
                <w:sz w:val="22"/>
                <w:szCs w:val="22"/>
                <w:lang w:val="uk-UA"/>
              </w:rPr>
            </w:pPr>
            <w:r w:rsidRPr="007B1CF3">
              <w:rPr>
                <w:sz w:val="22"/>
                <w:szCs w:val="22"/>
                <w:lang w:val="uk-UA"/>
              </w:rPr>
              <w:t xml:space="preserve">грн. без ПДВ </w:t>
            </w:r>
          </w:p>
        </w:tc>
        <w:tc>
          <w:tcPr>
            <w:tcW w:w="936" w:type="pct"/>
          </w:tcPr>
          <w:p w:rsidR="00A76484" w:rsidRPr="007101A5" w:rsidRDefault="00764E84" w:rsidP="002D4D30">
            <w:pPr>
              <w:widowControl w:val="0"/>
              <w:jc w:val="center"/>
              <w:rPr>
                <w:color w:val="0000FF"/>
                <w:sz w:val="22"/>
                <w:szCs w:val="22"/>
                <w:lang w:val="uk-UA"/>
              </w:rPr>
            </w:pPr>
            <w:hyperlink r:id="rId9" w:history="1">
              <w:r w:rsidRPr="00764E84">
                <w:rPr>
                  <w:rFonts w:ascii="Verdana" w:hAnsi="Verdana"/>
                  <w:color w:val="0000FF"/>
                  <w:sz w:val="17"/>
                  <w:szCs w:val="17"/>
                  <w:u w:val="single"/>
                  <w:shd w:val="clear" w:color="auto" w:fill="FFFFFF"/>
                </w:rPr>
                <w:t>UA-2023-01-19-014694-a</w:t>
              </w:r>
            </w:hyperlink>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B77209"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7209" w:rsidRDefault="006F428D" w:rsidP="00C62708">
            <w:pPr>
              <w:rPr>
                <w:lang w:val="uk-UA"/>
              </w:rPr>
            </w:pPr>
            <w:r w:rsidRPr="00B77209">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7209" w:rsidRDefault="006F428D" w:rsidP="00C62708">
            <w:pPr>
              <w:rPr>
                <w:lang w:val="uk-UA"/>
              </w:rPr>
            </w:pPr>
            <w:r w:rsidRPr="00B77209">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7209" w:rsidRDefault="00B77209" w:rsidP="00C62708">
            <w:pPr>
              <w:rPr>
                <w:lang w:val="uk-UA"/>
              </w:rPr>
            </w:pPr>
            <w:r w:rsidRPr="00B77209">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B77209" w:rsidRPr="00B77209" w:rsidRDefault="00B77209" w:rsidP="00C62708">
            <w:pPr>
              <w:rPr>
                <w:i/>
                <w:lang w:val="uk-UA"/>
              </w:rPr>
            </w:pPr>
          </w:p>
        </w:tc>
      </w:tr>
      <w:tr w:rsidR="006F428D" w:rsidRPr="00B77209"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7209" w:rsidRDefault="006F428D" w:rsidP="00C62708">
            <w:pPr>
              <w:rPr>
                <w:bCs/>
                <w:lang w:val="uk-UA"/>
              </w:rPr>
            </w:pPr>
            <w:r w:rsidRPr="00B77209">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7209" w:rsidRDefault="006F428D" w:rsidP="00C62708">
            <w:pPr>
              <w:rPr>
                <w:lang w:val="uk-UA"/>
              </w:rPr>
            </w:pPr>
            <w:r w:rsidRPr="00B77209">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7209" w:rsidRDefault="00D10487" w:rsidP="00C62708">
            <w:pPr>
              <w:rPr>
                <w:lang w:val="uk-UA"/>
              </w:rPr>
            </w:pPr>
            <w:r w:rsidRPr="00B77209">
              <w:rPr>
                <w:lang w:val="uk-UA"/>
              </w:rPr>
              <w:t>Очікувана вартість предмета закупівлі (100 000,00 грн.) розрахована відповідно до цін, зазначених на сайті АТ «Укрпошта».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D10487" w:rsidP="00C62708">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Default="006F428D" w:rsidP="00A12478">
      <w:pPr>
        <w:rPr>
          <w:b/>
          <w:lang w:val="uk-UA"/>
        </w:rPr>
      </w:pPr>
    </w:p>
    <w:tbl>
      <w:tblPr>
        <w:tblW w:w="10542" w:type="dxa"/>
        <w:tblInd w:w="-224"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top w:w="30" w:type="dxa"/>
          <w:left w:w="60" w:type="dxa"/>
          <w:bottom w:w="30" w:type="dxa"/>
          <w:right w:w="30" w:type="dxa"/>
        </w:tblCellMar>
        <w:tblLook w:val="0000" w:firstRow="0" w:lastRow="0" w:firstColumn="0" w:lastColumn="0" w:noHBand="0" w:noVBand="0"/>
      </w:tblPr>
      <w:tblGrid>
        <w:gridCol w:w="567"/>
        <w:gridCol w:w="2269"/>
        <w:gridCol w:w="992"/>
        <w:gridCol w:w="992"/>
        <w:gridCol w:w="5722"/>
      </w:tblGrid>
      <w:tr w:rsidR="007B1CF3" w:rsidRPr="006A57C4" w:rsidTr="0048474C">
        <w:tc>
          <w:tcPr>
            <w:tcW w:w="567" w:type="dxa"/>
            <w:shd w:val="clear" w:color="auto" w:fill="D9E2F3"/>
          </w:tcPr>
          <w:p w:rsidR="007B1CF3" w:rsidRPr="006A57C4" w:rsidRDefault="007B1CF3" w:rsidP="0048474C">
            <w:pPr>
              <w:widowControl w:val="0"/>
              <w:tabs>
                <w:tab w:val="center" w:pos="6294"/>
                <w:tab w:val="center" w:pos="8038"/>
                <w:tab w:val="center" w:pos="9247"/>
              </w:tabs>
              <w:jc w:val="center"/>
              <w:rPr>
                <w:b/>
                <w:bCs/>
                <w:spacing w:val="-8"/>
                <w:sz w:val="22"/>
                <w:szCs w:val="22"/>
                <w:lang w:val="uk-UA"/>
              </w:rPr>
            </w:pPr>
            <w:r w:rsidRPr="006A57C4">
              <w:rPr>
                <w:b/>
                <w:bCs/>
                <w:spacing w:val="-8"/>
                <w:sz w:val="22"/>
                <w:szCs w:val="22"/>
                <w:lang w:val="uk-UA"/>
              </w:rPr>
              <w:t>№</w:t>
            </w:r>
          </w:p>
          <w:p w:rsidR="007B1CF3" w:rsidRPr="006A57C4" w:rsidRDefault="007B1CF3" w:rsidP="0048474C">
            <w:pPr>
              <w:widowControl w:val="0"/>
              <w:jc w:val="center"/>
              <w:rPr>
                <w:b/>
                <w:sz w:val="22"/>
                <w:szCs w:val="22"/>
                <w:lang w:val="uk-UA"/>
              </w:rPr>
            </w:pPr>
            <w:r w:rsidRPr="006A57C4">
              <w:rPr>
                <w:b/>
                <w:bCs/>
                <w:spacing w:val="-8"/>
                <w:sz w:val="22"/>
                <w:szCs w:val="22"/>
                <w:lang w:val="uk-UA"/>
              </w:rPr>
              <w:t>п/п</w:t>
            </w:r>
          </w:p>
        </w:tc>
        <w:tc>
          <w:tcPr>
            <w:tcW w:w="2269" w:type="dxa"/>
            <w:shd w:val="clear" w:color="auto" w:fill="D9E2F3"/>
          </w:tcPr>
          <w:p w:rsidR="007B1CF3" w:rsidRPr="006A57C4" w:rsidRDefault="007B1CF3" w:rsidP="0048474C">
            <w:pPr>
              <w:keepNext/>
              <w:keepLines/>
              <w:jc w:val="center"/>
              <w:rPr>
                <w:b/>
                <w:sz w:val="22"/>
                <w:szCs w:val="22"/>
                <w:lang w:val="uk-UA"/>
              </w:rPr>
            </w:pPr>
            <w:r w:rsidRPr="006A57C4">
              <w:rPr>
                <w:b/>
                <w:sz w:val="22"/>
                <w:szCs w:val="22"/>
                <w:lang w:val="uk-UA"/>
              </w:rPr>
              <w:t xml:space="preserve">Найменування </w:t>
            </w:r>
          </w:p>
          <w:p w:rsidR="007B1CF3" w:rsidRPr="006A57C4" w:rsidRDefault="007B1CF3" w:rsidP="0048474C">
            <w:pPr>
              <w:keepNext/>
              <w:keepLines/>
              <w:jc w:val="center"/>
              <w:rPr>
                <w:b/>
                <w:sz w:val="22"/>
                <w:szCs w:val="22"/>
                <w:lang w:val="uk-UA"/>
              </w:rPr>
            </w:pPr>
            <w:r w:rsidRPr="006A57C4">
              <w:rPr>
                <w:b/>
                <w:sz w:val="22"/>
                <w:szCs w:val="22"/>
                <w:lang w:val="uk-UA"/>
              </w:rPr>
              <w:t>Послуги</w:t>
            </w:r>
          </w:p>
        </w:tc>
        <w:tc>
          <w:tcPr>
            <w:tcW w:w="992" w:type="dxa"/>
            <w:shd w:val="clear" w:color="auto" w:fill="D9E2F3"/>
          </w:tcPr>
          <w:p w:rsidR="007B1CF3" w:rsidRPr="006A57C4" w:rsidRDefault="007B1CF3" w:rsidP="0048474C">
            <w:pPr>
              <w:keepNext/>
              <w:keepLines/>
              <w:jc w:val="center"/>
              <w:rPr>
                <w:b/>
                <w:sz w:val="22"/>
                <w:szCs w:val="22"/>
                <w:lang w:val="uk-UA"/>
              </w:rPr>
            </w:pPr>
            <w:r w:rsidRPr="006A57C4">
              <w:rPr>
                <w:b/>
                <w:sz w:val="22"/>
                <w:szCs w:val="22"/>
                <w:lang w:val="uk-UA"/>
              </w:rPr>
              <w:t>Одиниця</w:t>
            </w:r>
          </w:p>
          <w:p w:rsidR="007B1CF3" w:rsidRPr="006A57C4" w:rsidRDefault="007B1CF3" w:rsidP="0048474C">
            <w:pPr>
              <w:keepNext/>
              <w:keepLines/>
              <w:jc w:val="center"/>
              <w:rPr>
                <w:b/>
                <w:sz w:val="22"/>
                <w:szCs w:val="22"/>
                <w:lang w:val="uk-UA"/>
              </w:rPr>
            </w:pPr>
            <w:r w:rsidRPr="006A57C4">
              <w:rPr>
                <w:b/>
                <w:sz w:val="22"/>
                <w:szCs w:val="22"/>
                <w:lang w:val="uk-UA"/>
              </w:rPr>
              <w:t>виміру</w:t>
            </w:r>
          </w:p>
        </w:tc>
        <w:tc>
          <w:tcPr>
            <w:tcW w:w="992" w:type="dxa"/>
            <w:shd w:val="clear" w:color="auto" w:fill="D9E2F3"/>
          </w:tcPr>
          <w:p w:rsidR="007B1CF3" w:rsidRPr="006A57C4" w:rsidRDefault="007B1CF3" w:rsidP="0048474C">
            <w:pPr>
              <w:keepNext/>
              <w:keepLines/>
              <w:jc w:val="center"/>
              <w:rPr>
                <w:b/>
                <w:sz w:val="22"/>
                <w:szCs w:val="22"/>
                <w:lang w:val="uk-UA"/>
              </w:rPr>
            </w:pPr>
            <w:r w:rsidRPr="006A57C4">
              <w:rPr>
                <w:b/>
                <w:sz w:val="22"/>
                <w:szCs w:val="22"/>
                <w:lang w:val="uk-UA"/>
              </w:rPr>
              <w:t>Кількість</w:t>
            </w:r>
          </w:p>
          <w:p w:rsidR="007B1CF3" w:rsidRPr="006A57C4" w:rsidRDefault="007B1CF3" w:rsidP="0048474C">
            <w:pPr>
              <w:keepNext/>
              <w:keepLines/>
              <w:jc w:val="center"/>
              <w:rPr>
                <w:b/>
                <w:sz w:val="22"/>
                <w:szCs w:val="22"/>
                <w:lang w:val="uk-UA"/>
              </w:rPr>
            </w:pPr>
          </w:p>
        </w:tc>
        <w:tc>
          <w:tcPr>
            <w:tcW w:w="5722" w:type="dxa"/>
            <w:shd w:val="clear" w:color="auto" w:fill="D9E2F3"/>
          </w:tcPr>
          <w:p w:rsidR="007B1CF3" w:rsidRPr="006A57C4" w:rsidRDefault="007B1CF3" w:rsidP="0048474C">
            <w:pPr>
              <w:keepNext/>
              <w:keepLines/>
              <w:jc w:val="center"/>
              <w:rPr>
                <w:b/>
                <w:i/>
                <w:sz w:val="22"/>
                <w:szCs w:val="22"/>
                <w:lang w:val="uk-UA"/>
              </w:rPr>
            </w:pPr>
            <w:r>
              <w:rPr>
                <w:b/>
                <w:sz w:val="22"/>
                <w:szCs w:val="22"/>
                <w:lang w:val="uk-UA"/>
              </w:rPr>
              <w:t>Технічні та якісні характеристики предмета закупівлі</w:t>
            </w:r>
          </w:p>
        </w:tc>
      </w:tr>
      <w:tr w:rsidR="007B1CF3" w:rsidRPr="006A57C4" w:rsidTr="0048474C">
        <w:tc>
          <w:tcPr>
            <w:tcW w:w="567" w:type="dxa"/>
          </w:tcPr>
          <w:p w:rsidR="007B1CF3" w:rsidRPr="006A57C4" w:rsidRDefault="007B1CF3" w:rsidP="0048474C">
            <w:pPr>
              <w:widowControl w:val="0"/>
              <w:rPr>
                <w:sz w:val="22"/>
                <w:szCs w:val="22"/>
                <w:lang w:val="uk-UA"/>
              </w:rPr>
            </w:pPr>
            <w:r w:rsidRPr="006A57C4">
              <w:rPr>
                <w:sz w:val="22"/>
                <w:szCs w:val="22"/>
                <w:lang w:val="uk-UA"/>
              </w:rPr>
              <w:t>1</w:t>
            </w:r>
          </w:p>
        </w:tc>
        <w:tc>
          <w:tcPr>
            <w:tcW w:w="2269"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 xml:space="preserve">Пересилання поштових відправлень (за межі України) </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послуга</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100</w:t>
            </w:r>
          </w:p>
        </w:tc>
        <w:tc>
          <w:tcPr>
            <w:tcW w:w="5722" w:type="dxa"/>
          </w:tcPr>
          <w:p w:rsidR="007B1CF3" w:rsidRPr="006A57C4" w:rsidRDefault="007B1CF3" w:rsidP="0048474C">
            <w:pPr>
              <w:widowControl w:val="0"/>
              <w:rPr>
                <w:sz w:val="20"/>
                <w:szCs w:val="20"/>
                <w:lang w:val="uk-UA"/>
              </w:rPr>
            </w:pPr>
            <w:r w:rsidRPr="006A57C4">
              <w:rPr>
                <w:sz w:val="20"/>
                <w:szCs w:val="20"/>
                <w:lang w:val="uk-UA"/>
              </w:rPr>
              <w:t xml:space="preserve">Пересилання поштових відправлень поштове відділення, розташоване в м. Бориспіль Київської обл.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w:t>
            </w:r>
            <w:r w:rsidRPr="006A57C4">
              <w:rPr>
                <w:sz w:val="20"/>
                <w:szCs w:val="20"/>
                <w:lang w:val="uk-UA"/>
              </w:rPr>
              <w:lastRenderedPageBreak/>
              <w:t xml:space="preserve">зв’язку, затвердженими постановою Кабінету Міністрів України від 5 березня 2009 р. № 270. </w:t>
            </w:r>
          </w:p>
          <w:p w:rsidR="007B1CF3" w:rsidRPr="006A57C4" w:rsidRDefault="007B1CF3" w:rsidP="0048474C">
            <w:pPr>
              <w:widowControl w:val="0"/>
              <w:rPr>
                <w:sz w:val="20"/>
                <w:szCs w:val="20"/>
                <w:lang w:val="uk-UA"/>
              </w:rPr>
            </w:pPr>
            <w:r w:rsidRPr="006A57C4">
              <w:rPr>
                <w:sz w:val="20"/>
                <w:szCs w:val="20"/>
                <w:lang w:val="uk-UA"/>
              </w:rPr>
              <w:t>Перелік країн, до яких здійснюється доставка (Зона 1):</w:t>
            </w:r>
          </w:p>
          <w:p w:rsidR="007B1CF3" w:rsidRPr="006A57C4" w:rsidRDefault="007B1CF3" w:rsidP="0048474C">
            <w:pPr>
              <w:widowControl w:val="0"/>
              <w:rPr>
                <w:sz w:val="20"/>
                <w:szCs w:val="20"/>
                <w:lang w:val="uk-UA"/>
              </w:rPr>
            </w:pPr>
            <w:r w:rsidRPr="006A57C4">
              <w:rPr>
                <w:sz w:val="20"/>
                <w:szCs w:val="20"/>
                <w:lang w:val="uk-UA"/>
              </w:rPr>
              <w:t>Азербайджан, Білорусь, Вірменія, Грузія, Казахстан, Киргизстан, Молдова, Росія, Таджикистан, Туркменістан, Узбекистан, Латвія, Болгарія, Литва, Словаччина, Чехія, Польща, Румунія, Угорщина, Албанія, Андорра, Боснія та Герцеговина, Ватикан, Гібралтар, Греція, Італія, Іспанія, Кіпр, Канарські острови (Іспанія), Македонія, Мальта, Португалія, Сан-Марино, Сербія, Словенія, Хорватія, Чорногорія, Австрія, Бельгія, Німеччина, Швейцарія, Франція, Ліхтенштейн, Люксембург, Монако, Нідерланди, Данія (з Гренландією), Великобританія, Естонія, Ірландія, Ісландія, Норвегія, Фарерські Острови, Фінляндія, Швеція, Алжир, Афганістан, Бахрейн, Єгипет, Західна Сахара, Йорданія, Ізраїль, Ірак, Іран, Катар, Кувейт, Ліван, Лівія, Марокко, Об’єднані Арабські Емірати, Оман, Палестина, Саудівська Аравія, Сирійська Арабська Республіка, Судан, Туніс, Туреччина.</w:t>
            </w:r>
          </w:p>
          <w:p w:rsidR="007B1CF3" w:rsidRPr="006A57C4" w:rsidRDefault="007B1CF3" w:rsidP="0048474C">
            <w:pPr>
              <w:widowControl w:val="0"/>
              <w:jc w:val="both"/>
              <w:rPr>
                <w:b/>
                <w:i/>
                <w:sz w:val="20"/>
                <w:szCs w:val="20"/>
                <w:lang w:val="uk-UA"/>
              </w:rPr>
            </w:pPr>
            <w:r w:rsidRPr="006A57C4">
              <w:rPr>
                <w:i/>
                <w:sz w:val="20"/>
                <w:szCs w:val="20"/>
                <w:lang w:val="uk-UA"/>
              </w:rPr>
              <w:t>Вага відправлення 0-250 г</w:t>
            </w:r>
          </w:p>
        </w:tc>
      </w:tr>
      <w:tr w:rsidR="007B1CF3" w:rsidRPr="006A57C4" w:rsidTr="0048474C">
        <w:tc>
          <w:tcPr>
            <w:tcW w:w="567" w:type="dxa"/>
          </w:tcPr>
          <w:p w:rsidR="007B1CF3" w:rsidRPr="006A57C4" w:rsidRDefault="007B1CF3" w:rsidP="0048474C">
            <w:pPr>
              <w:widowControl w:val="0"/>
              <w:rPr>
                <w:lang w:val="uk-UA"/>
              </w:rPr>
            </w:pPr>
            <w:r w:rsidRPr="006A57C4">
              <w:rPr>
                <w:lang w:val="uk-UA"/>
              </w:rPr>
              <w:lastRenderedPageBreak/>
              <w:t>2</w:t>
            </w:r>
          </w:p>
        </w:tc>
        <w:tc>
          <w:tcPr>
            <w:tcW w:w="2269" w:type="dxa"/>
          </w:tcPr>
          <w:p w:rsidR="007B1CF3" w:rsidRPr="006A57C4" w:rsidRDefault="007B1CF3" w:rsidP="0048474C">
            <w:pPr>
              <w:rPr>
                <w:sz w:val="20"/>
                <w:szCs w:val="20"/>
                <w:lang w:val="uk-UA"/>
              </w:rPr>
            </w:pPr>
            <w:r w:rsidRPr="006A57C4">
              <w:rPr>
                <w:sz w:val="22"/>
                <w:szCs w:val="22"/>
                <w:lang w:val="uk-UA"/>
              </w:rPr>
              <w:t xml:space="preserve">Пересилання поштових відправлень (за межі України) </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послуга</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25</w:t>
            </w:r>
          </w:p>
        </w:tc>
        <w:tc>
          <w:tcPr>
            <w:tcW w:w="5722" w:type="dxa"/>
          </w:tcPr>
          <w:p w:rsidR="007B1CF3" w:rsidRPr="006A57C4" w:rsidRDefault="007B1CF3" w:rsidP="0048474C">
            <w:pPr>
              <w:widowControl w:val="0"/>
              <w:rPr>
                <w:sz w:val="20"/>
                <w:szCs w:val="20"/>
                <w:lang w:val="uk-UA"/>
              </w:rPr>
            </w:pPr>
            <w:r w:rsidRPr="006A57C4">
              <w:rPr>
                <w:sz w:val="20"/>
                <w:szCs w:val="20"/>
                <w:lang w:val="uk-UA"/>
              </w:rPr>
              <w:t xml:space="preserve">Пересилання поштових відправлень поштове відділення, розташоване в м. Бориспіль Київської обл.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7B1CF3" w:rsidRPr="006A57C4" w:rsidRDefault="007B1CF3" w:rsidP="0048474C">
            <w:pPr>
              <w:widowControl w:val="0"/>
              <w:rPr>
                <w:sz w:val="20"/>
                <w:szCs w:val="20"/>
                <w:lang w:val="uk-UA"/>
              </w:rPr>
            </w:pPr>
            <w:r w:rsidRPr="006A57C4">
              <w:rPr>
                <w:sz w:val="20"/>
                <w:szCs w:val="20"/>
                <w:lang w:val="uk-UA"/>
              </w:rPr>
              <w:t>Перелік країн, до яких здійснюється доставка (Зона 1):</w:t>
            </w:r>
          </w:p>
          <w:p w:rsidR="007B1CF3" w:rsidRPr="006A57C4" w:rsidRDefault="007B1CF3" w:rsidP="0048474C">
            <w:pPr>
              <w:widowControl w:val="0"/>
              <w:rPr>
                <w:sz w:val="20"/>
                <w:szCs w:val="20"/>
                <w:lang w:val="uk-UA"/>
              </w:rPr>
            </w:pPr>
            <w:r w:rsidRPr="006A57C4">
              <w:rPr>
                <w:sz w:val="20"/>
                <w:szCs w:val="20"/>
                <w:lang w:val="uk-UA"/>
              </w:rPr>
              <w:t>Азербайджан, Білорусь, Вірменія, Грузія, Казахстан, Киргизстан, Молдова, Росія, Таджикистан, Туркменістан, Узбекистан, Латвія, Болгарія, Литва, Словаччина, Чехія, Польща, Румунія, Угорщина, Албанія, Андорра, Боснія та Герцеговина, Ватикан, Гібралтар, Греція, Італія, Іспанія, Кіпр, Канарські острови (Іспанія), Македонія, Мальта, Португалія, Сан-Марино, Сербія, Словенія, Хорватія, Чорногорія, Австрія, Бельгія, Німеччина, Швейцарія, Франція, Ліхтенштейн, Люксембург, Монако, Нідерланди, Данія (з Гренландією), Великобританія, Естонія, Ірландія, Ісландія, Норвегія, Фарерські Острови, Фінляндія, Швеція, Алжир, Афганістан, Бахрейн, Єгипет, Західна Сахара, Йорданія, Ізраїль, Ірак, Іран, Катар, Кувейт, Ліван, Лівія, Марокко, Об’єднані Арабські Емірати, Оман, Палестина, Саудівська Аравія, Сирійська Арабська Республіка, Судан, Туніс, Туреччина.</w:t>
            </w:r>
          </w:p>
          <w:p w:rsidR="007B1CF3" w:rsidRPr="006A57C4" w:rsidRDefault="007B1CF3" w:rsidP="0048474C">
            <w:pPr>
              <w:widowControl w:val="0"/>
              <w:rPr>
                <w:sz w:val="20"/>
                <w:szCs w:val="20"/>
                <w:lang w:val="uk-UA"/>
              </w:rPr>
            </w:pPr>
            <w:r w:rsidRPr="006A57C4">
              <w:rPr>
                <w:sz w:val="20"/>
                <w:szCs w:val="20"/>
                <w:lang w:val="uk-UA"/>
              </w:rPr>
              <w:t>Вага відправлення 250-500 г</w:t>
            </w:r>
          </w:p>
        </w:tc>
      </w:tr>
      <w:tr w:rsidR="007B1CF3" w:rsidRPr="006A57C4" w:rsidTr="0048474C">
        <w:tc>
          <w:tcPr>
            <w:tcW w:w="567" w:type="dxa"/>
          </w:tcPr>
          <w:p w:rsidR="007B1CF3" w:rsidRPr="006A57C4" w:rsidRDefault="007B1CF3" w:rsidP="0048474C">
            <w:pPr>
              <w:widowControl w:val="0"/>
              <w:rPr>
                <w:lang w:val="uk-UA"/>
              </w:rPr>
            </w:pPr>
            <w:r w:rsidRPr="006A57C4">
              <w:rPr>
                <w:lang w:val="uk-UA"/>
              </w:rPr>
              <w:t>3</w:t>
            </w:r>
          </w:p>
        </w:tc>
        <w:tc>
          <w:tcPr>
            <w:tcW w:w="2269" w:type="dxa"/>
          </w:tcPr>
          <w:p w:rsidR="007B1CF3" w:rsidRPr="006A57C4" w:rsidRDefault="007B1CF3" w:rsidP="0048474C">
            <w:pPr>
              <w:rPr>
                <w:sz w:val="20"/>
                <w:szCs w:val="20"/>
                <w:lang w:val="uk-UA"/>
              </w:rPr>
            </w:pPr>
            <w:r w:rsidRPr="006A57C4">
              <w:rPr>
                <w:sz w:val="22"/>
                <w:szCs w:val="22"/>
                <w:lang w:val="uk-UA"/>
              </w:rPr>
              <w:t xml:space="preserve">Пересилання поштових відправлень (за межі України) </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послуга</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80</w:t>
            </w:r>
          </w:p>
        </w:tc>
        <w:tc>
          <w:tcPr>
            <w:tcW w:w="5722" w:type="dxa"/>
          </w:tcPr>
          <w:p w:rsidR="007B1CF3" w:rsidRPr="006A57C4" w:rsidRDefault="007B1CF3" w:rsidP="0048474C">
            <w:pPr>
              <w:widowControl w:val="0"/>
              <w:rPr>
                <w:sz w:val="20"/>
                <w:szCs w:val="20"/>
                <w:lang w:val="uk-UA"/>
              </w:rPr>
            </w:pPr>
            <w:r w:rsidRPr="006A57C4">
              <w:rPr>
                <w:sz w:val="20"/>
                <w:szCs w:val="20"/>
                <w:lang w:val="uk-UA"/>
              </w:rPr>
              <w:t xml:space="preserve">Пересилання поштових відправлень поштове відділення, розташоване в м. Бориспіль Київської обл.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7B1CF3" w:rsidRPr="006A57C4" w:rsidRDefault="007B1CF3" w:rsidP="0048474C">
            <w:pPr>
              <w:widowControl w:val="0"/>
              <w:rPr>
                <w:sz w:val="20"/>
                <w:szCs w:val="20"/>
                <w:lang w:val="uk-UA"/>
              </w:rPr>
            </w:pPr>
            <w:r w:rsidRPr="006A57C4">
              <w:rPr>
                <w:sz w:val="20"/>
                <w:szCs w:val="20"/>
                <w:lang w:val="uk-UA"/>
              </w:rPr>
              <w:t>Перелік країн, до яких здійснюється доставка (Зона 2):</w:t>
            </w:r>
          </w:p>
          <w:p w:rsidR="007B1CF3" w:rsidRPr="006A57C4" w:rsidRDefault="007B1CF3" w:rsidP="0048474C">
            <w:pPr>
              <w:widowControl w:val="0"/>
              <w:rPr>
                <w:sz w:val="20"/>
                <w:szCs w:val="20"/>
                <w:lang w:val="uk-UA"/>
              </w:rPr>
            </w:pPr>
            <w:r w:rsidRPr="006A57C4">
              <w:rPr>
                <w:sz w:val="20"/>
                <w:szCs w:val="20"/>
                <w:lang w:val="uk-UA"/>
              </w:rPr>
              <w:t>Монголія, Гонконг, Китай, Тайвань, Республіка Корея, Японія, США (з Аляскою та Гаваями), Канада.</w:t>
            </w:r>
          </w:p>
          <w:p w:rsidR="007B1CF3" w:rsidRPr="006A57C4" w:rsidRDefault="007B1CF3" w:rsidP="0048474C">
            <w:pPr>
              <w:widowControl w:val="0"/>
              <w:rPr>
                <w:b/>
                <w:i/>
                <w:sz w:val="20"/>
                <w:szCs w:val="20"/>
                <w:lang w:val="uk-UA"/>
              </w:rPr>
            </w:pPr>
            <w:r w:rsidRPr="006A57C4">
              <w:rPr>
                <w:sz w:val="20"/>
                <w:szCs w:val="20"/>
                <w:lang w:val="uk-UA"/>
              </w:rPr>
              <w:t>Вага відправлення 0-250 г</w:t>
            </w:r>
          </w:p>
        </w:tc>
      </w:tr>
      <w:tr w:rsidR="007B1CF3" w:rsidRPr="006A57C4" w:rsidTr="0048474C">
        <w:tc>
          <w:tcPr>
            <w:tcW w:w="567" w:type="dxa"/>
          </w:tcPr>
          <w:p w:rsidR="007B1CF3" w:rsidRPr="006A57C4" w:rsidRDefault="007B1CF3" w:rsidP="0048474C">
            <w:pPr>
              <w:widowControl w:val="0"/>
              <w:rPr>
                <w:lang w:val="uk-UA"/>
              </w:rPr>
            </w:pPr>
            <w:r w:rsidRPr="006A57C4">
              <w:rPr>
                <w:lang w:val="uk-UA"/>
              </w:rPr>
              <w:t>4</w:t>
            </w:r>
          </w:p>
        </w:tc>
        <w:tc>
          <w:tcPr>
            <w:tcW w:w="2269" w:type="dxa"/>
          </w:tcPr>
          <w:p w:rsidR="007B1CF3" w:rsidRPr="006A57C4" w:rsidRDefault="007B1CF3" w:rsidP="0048474C">
            <w:pPr>
              <w:rPr>
                <w:sz w:val="20"/>
                <w:szCs w:val="20"/>
                <w:lang w:val="uk-UA"/>
              </w:rPr>
            </w:pPr>
            <w:r w:rsidRPr="006A57C4">
              <w:rPr>
                <w:sz w:val="22"/>
                <w:szCs w:val="22"/>
                <w:lang w:val="uk-UA"/>
              </w:rPr>
              <w:t xml:space="preserve">Пересилання поштових відправлень (за межі України) </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послуга</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20</w:t>
            </w:r>
          </w:p>
        </w:tc>
        <w:tc>
          <w:tcPr>
            <w:tcW w:w="5722" w:type="dxa"/>
          </w:tcPr>
          <w:p w:rsidR="007B1CF3" w:rsidRPr="006A57C4" w:rsidRDefault="007B1CF3" w:rsidP="0048474C">
            <w:pPr>
              <w:widowControl w:val="0"/>
              <w:rPr>
                <w:sz w:val="20"/>
                <w:szCs w:val="20"/>
                <w:lang w:val="uk-UA"/>
              </w:rPr>
            </w:pPr>
            <w:r w:rsidRPr="006A57C4">
              <w:rPr>
                <w:sz w:val="20"/>
                <w:szCs w:val="20"/>
                <w:lang w:val="uk-UA"/>
              </w:rPr>
              <w:t xml:space="preserve">Пересилання поштових відправлень поштове відділення, розташоване в м. Бориспіль Київської обл. У Відправленнях пересилаються документи та/або товари, що не заборонені до пересилання у внутрішніх поштових відправленнях. Технічні </w:t>
            </w:r>
            <w:r w:rsidRPr="006A57C4">
              <w:rPr>
                <w:sz w:val="20"/>
                <w:szCs w:val="20"/>
                <w:lang w:val="uk-UA"/>
              </w:rPr>
              <w:lastRenderedPageBreak/>
              <w:t xml:space="preserve">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7B1CF3" w:rsidRPr="006A57C4" w:rsidRDefault="007B1CF3" w:rsidP="0048474C">
            <w:pPr>
              <w:widowControl w:val="0"/>
              <w:rPr>
                <w:sz w:val="20"/>
                <w:szCs w:val="20"/>
                <w:lang w:val="uk-UA"/>
              </w:rPr>
            </w:pPr>
            <w:r w:rsidRPr="006A57C4">
              <w:rPr>
                <w:sz w:val="20"/>
                <w:szCs w:val="20"/>
                <w:lang w:val="uk-UA"/>
              </w:rPr>
              <w:t>Перелік країн, до яких здійснюється доставка (Зона 2):</w:t>
            </w:r>
          </w:p>
          <w:p w:rsidR="007B1CF3" w:rsidRPr="006A57C4" w:rsidRDefault="007B1CF3" w:rsidP="0048474C">
            <w:pPr>
              <w:widowControl w:val="0"/>
              <w:rPr>
                <w:sz w:val="20"/>
                <w:szCs w:val="20"/>
                <w:lang w:val="uk-UA"/>
              </w:rPr>
            </w:pPr>
            <w:r w:rsidRPr="006A57C4">
              <w:rPr>
                <w:sz w:val="20"/>
                <w:szCs w:val="20"/>
                <w:lang w:val="uk-UA"/>
              </w:rPr>
              <w:t>Монголія, Гонконг, Китай, Тайвань, Республіка Корея, Японія, США (з Аляскою та Гаваями), Канада.</w:t>
            </w:r>
          </w:p>
          <w:p w:rsidR="007B1CF3" w:rsidRPr="006A57C4" w:rsidRDefault="007B1CF3" w:rsidP="0048474C">
            <w:pPr>
              <w:widowControl w:val="0"/>
              <w:rPr>
                <w:sz w:val="20"/>
                <w:szCs w:val="20"/>
                <w:lang w:val="uk-UA"/>
              </w:rPr>
            </w:pPr>
            <w:r w:rsidRPr="006A57C4">
              <w:rPr>
                <w:sz w:val="20"/>
                <w:szCs w:val="20"/>
                <w:lang w:val="uk-UA"/>
              </w:rPr>
              <w:t>Вага відправлення 250-500 г</w:t>
            </w:r>
          </w:p>
        </w:tc>
      </w:tr>
      <w:tr w:rsidR="007B1CF3" w:rsidRPr="006A57C4" w:rsidTr="0048474C">
        <w:tc>
          <w:tcPr>
            <w:tcW w:w="567" w:type="dxa"/>
          </w:tcPr>
          <w:p w:rsidR="007B1CF3" w:rsidRPr="006A57C4" w:rsidRDefault="007B1CF3" w:rsidP="0048474C">
            <w:pPr>
              <w:widowControl w:val="0"/>
              <w:rPr>
                <w:lang w:val="uk-UA"/>
              </w:rPr>
            </w:pPr>
            <w:r w:rsidRPr="006A57C4">
              <w:rPr>
                <w:lang w:val="uk-UA"/>
              </w:rPr>
              <w:lastRenderedPageBreak/>
              <w:t>5</w:t>
            </w:r>
          </w:p>
        </w:tc>
        <w:tc>
          <w:tcPr>
            <w:tcW w:w="2269" w:type="dxa"/>
          </w:tcPr>
          <w:p w:rsidR="007B1CF3" w:rsidRPr="006A57C4" w:rsidRDefault="007B1CF3" w:rsidP="0048474C">
            <w:pPr>
              <w:rPr>
                <w:sz w:val="20"/>
                <w:szCs w:val="20"/>
                <w:lang w:val="uk-UA"/>
              </w:rPr>
            </w:pPr>
            <w:r w:rsidRPr="006A57C4">
              <w:rPr>
                <w:sz w:val="22"/>
                <w:szCs w:val="22"/>
                <w:lang w:val="uk-UA"/>
              </w:rPr>
              <w:t xml:space="preserve">Пересилання поштових відправлень (за межі України) </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послуга</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70</w:t>
            </w:r>
          </w:p>
        </w:tc>
        <w:tc>
          <w:tcPr>
            <w:tcW w:w="5722" w:type="dxa"/>
          </w:tcPr>
          <w:p w:rsidR="007B1CF3" w:rsidRPr="006A57C4" w:rsidRDefault="007B1CF3" w:rsidP="0048474C">
            <w:pPr>
              <w:widowControl w:val="0"/>
              <w:rPr>
                <w:sz w:val="20"/>
                <w:szCs w:val="20"/>
                <w:lang w:val="uk-UA"/>
              </w:rPr>
            </w:pPr>
            <w:r w:rsidRPr="006A57C4">
              <w:rPr>
                <w:sz w:val="20"/>
                <w:szCs w:val="20"/>
                <w:lang w:val="uk-UA"/>
              </w:rPr>
              <w:t xml:space="preserve">Пересилання поштових відправлень поштове відділення, розташоване в м. Бориспіль Київської обл.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7B1CF3" w:rsidRPr="006A57C4" w:rsidRDefault="007B1CF3" w:rsidP="0048474C">
            <w:pPr>
              <w:widowControl w:val="0"/>
              <w:rPr>
                <w:sz w:val="20"/>
                <w:szCs w:val="20"/>
                <w:lang w:val="uk-UA"/>
              </w:rPr>
            </w:pPr>
            <w:r w:rsidRPr="006A57C4">
              <w:rPr>
                <w:sz w:val="20"/>
                <w:szCs w:val="20"/>
                <w:lang w:val="uk-UA"/>
              </w:rPr>
              <w:t>Перелік країн, до яких здійснюється доставка (Зона 3 ):</w:t>
            </w:r>
          </w:p>
          <w:p w:rsidR="007B1CF3" w:rsidRPr="006A57C4" w:rsidRDefault="007B1CF3" w:rsidP="0048474C">
            <w:pPr>
              <w:widowControl w:val="0"/>
              <w:rPr>
                <w:sz w:val="20"/>
                <w:szCs w:val="20"/>
                <w:lang w:val="uk-UA"/>
              </w:rPr>
            </w:pPr>
            <w:r w:rsidRPr="006A57C4">
              <w:rPr>
                <w:sz w:val="20"/>
                <w:szCs w:val="20"/>
                <w:lang w:val="uk-UA"/>
              </w:rPr>
              <w:t>Бангладеш, Бруней-</w:t>
            </w:r>
            <w:proofErr w:type="spellStart"/>
            <w:r w:rsidRPr="006A57C4">
              <w:rPr>
                <w:sz w:val="20"/>
                <w:szCs w:val="20"/>
                <w:lang w:val="uk-UA"/>
              </w:rPr>
              <w:t>Даруссалам</w:t>
            </w:r>
            <w:proofErr w:type="spellEnd"/>
            <w:r w:rsidRPr="006A57C4">
              <w:rPr>
                <w:sz w:val="20"/>
                <w:szCs w:val="20"/>
                <w:lang w:val="uk-UA"/>
              </w:rPr>
              <w:t xml:space="preserve">, Бутан, В’єтнам, Дієго-Гарсія, Індія, Індонезія, Камбоджа, Лаоська Народна Демократична Республіка, Малайзія, Мальдиви, Непал, Пакистан, Сінгапур, Таїланд, Філіппіни, Шрі-Ланка,  М’янма (Бірма), Американські Віргінські острови, Ангілья, Антигуа і Барбуда, Аргентина, Аруба, Багамські острови, Барбадос, Беліз, Бермудські острови, Болівія, Бразилія, Британські Віргінські острови, Венесуела, Гайана, Гваделупа, Гватемала, Французька Гвіана, Гондурас, Коста-Ріка, Куба, Кюрасао, </w:t>
            </w:r>
            <w:proofErr w:type="spellStart"/>
            <w:r w:rsidRPr="006A57C4">
              <w:rPr>
                <w:sz w:val="20"/>
                <w:szCs w:val="20"/>
                <w:lang w:val="uk-UA"/>
              </w:rPr>
              <w:t>Мартініка</w:t>
            </w:r>
            <w:proofErr w:type="spellEnd"/>
            <w:r w:rsidRPr="006A57C4">
              <w:rPr>
                <w:sz w:val="20"/>
                <w:szCs w:val="20"/>
                <w:lang w:val="uk-UA"/>
              </w:rPr>
              <w:t>, Мексика, Монтсеррат, Нікарагуа, Острови Теркс і Кайкос (</w:t>
            </w:r>
            <w:proofErr w:type="spellStart"/>
            <w:r w:rsidRPr="006A57C4">
              <w:rPr>
                <w:sz w:val="20"/>
                <w:szCs w:val="20"/>
                <w:lang w:val="uk-UA"/>
              </w:rPr>
              <w:t>Брит</w:t>
            </w:r>
            <w:proofErr w:type="spellEnd"/>
            <w:r w:rsidRPr="006A57C4">
              <w:rPr>
                <w:sz w:val="20"/>
                <w:szCs w:val="20"/>
                <w:lang w:val="uk-UA"/>
              </w:rPr>
              <w:t xml:space="preserve">.), Панама, Парагвай, Перу, Пуерто-Ріко, Сальвадор, Сен-Мартен, Сент-П’єр і Мікелон, Сент-Вінсент і Гренадіни, Сент-Кітс і Невіс, Сент-Люсія, </w:t>
            </w:r>
            <w:proofErr w:type="spellStart"/>
            <w:r w:rsidRPr="006A57C4">
              <w:rPr>
                <w:sz w:val="20"/>
                <w:szCs w:val="20"/>
                <w:lang w:val="uk-UA"/>
              </w:rPr>
              <w:t>Сурінам</w:t>
            </w:r>
            <w:proofErr w:type="spellEnd"/>
            <w:r w:rsidRPr="006A57C4">
              <w:rPr>
                <w:sz w:val="20"/>
                <w:szCs w:val="20"/>
                <w:lang w:val="uk-UA"/>
              </w:rPr>
              <w:t>, Гренада, Домініка, Домініканська Республіка, Еквадор, Кайманові Острови (</w:t>
            </w:r>
            <w:proofErr w:type="spellStart"/>
            <w:r w:rsidRPr="006A57C4">
              <w:rPr>
                <w:sz w:val="20"/>
                <w:szCs w:val="20"/>
                <w:lang w:val="uk-UA"/>
              </w:rPr>
              <w:t>Брит</w:t>
            </w:r>
            <w:proofErr w:type="spellEnd"/>
            <w:r w:rsidRPr="006A57C4">
              <w:rPr>
                <w:sz w:val="20"/>
                <w:szCs w:val="20"/>
                <w:lang w:val="uk-UA"/>
              </w:rPr>
              <w:t xml:space="preserve">.), Колумбія, </w:t>
            </w:r>
            <w:proofErr w:type="spellStart"/>
            <w:r w:rsidRPr="006A57C4">
              <w:rPr>
                <w:sz w:val="20"/>
                <w:szCs w:val="20"/>
                <w:lang w:val="uk-UA"/>
              </w:rPr>
              <w:t>Трінідат</w:t>
            </w:r>
            <w:proofErr w:type="spellEnd"/>
            <w:r w:rsidRPr="006A57C4">
              <w:rPr>
                <w:sz w:val="20"/>
                <w:szCs w:val="20"/>
                <w:lang w:val="uk-UA"/>
              </w:rPr>
              <w:t xml:space="preserve"> і Тобаго, Уругвай, Фолклендські (Мальвінські) острови, Французькі Антильські острови, Чилі, Ямайка, Австралія, Американське Самоа, Ангола, Антарктика, Бенін, Ботсвана, Буркіна-Фасо, Бурунді, Вануату, Габон, Гаїті, Гамбія, Гана, Гвінея,  Гвінея-Бісау, Гуам, Джибуті, Екваторіальна Гвінея, Еритрея, Ефіопія, Заїр (Демократична Республіка Конго), Замбія, Західне Самоа, </w:t>
            </w:r>
            <w:proofErr w:type="spellStart"/>
            <w:r w:rsidRPr="006A57C4">
              <w:rPr>
                <w:sz w:val="20"/>
                <w:szCs w:val="20"/>
                <w:lang w:val="uk-UA"/>
              </w:rPr>
              <w:t>Зімбвабве</w:t>
            </w:r>
            <w:proofErr w:type="spellEnd"/>
            <w:r w:rsidRPr="006A57C4">
              <w:rPr>
                <w:sz w:val="20"/>
                <w:szCs w:val="20"/>
                <w:lang w:val="uk-UA"/>
              </w:rPr>
              <w:t>, Кабо-Верде, Камерун, Кенія, Кірибаті, Кокосові (</w:t>
            </w:r>
            <w:proofErr w:type="spellStart"/>
            <w:r w:rsidRPr="006A57C4">
              <w:rPr>
                <w:sz w:val="20"/>
                <w:szCs w:val="20"/>
                <w:lang w:val="uk-UA"/>
              </w:rPr>
              <w:t>Кілінг</w:t>
            </w:r>
            <w:proofErr w:type="spellEnd"/>
            <w:r w:rsidRPr="006A57C4">
              <w:rPr>
                <w:sz w:val="20"/>
                <w:szCs w:val="20"/>
                <w:lang w:val="uk-UA"/>
              </w:rPr>
              <w:t xml:space="preserve">) Острови, Коморські острови, Конго, Кот </w:t>
            </w:r>
            <w:proofErr w:type="spellStart"/>
            <w:r w:rsidRPr="006A57C4">
              <w:rPr>
                <w:sz w:val="20"/>
                <w:szCs w:val="20"/>
                <w:lang w:val="uk-UA"/>
              </w:rPr>
              <w:t>д’Івуар</w:t>
            </w:r>
            <w:proofErr w:type="spellEnd"/>
            <w:r w:rsidRPr="006A57C4">
              <w:rPr>
                <w:sz w:val="20"/>
                <w:szCs w:val="20"/>
                <w:lang w:val="uk-UA"/>
              </w:rPr>
              <w:t xml:space="preserve">, Лесото, Ліберія, </w:t>
            </w:r>
            <w:proofErr w:type="spellStart"/>
            <w:r w:rsidRPr="006A57C4">
              <w:rPr>
                <w:sz w:val="20"/>
                <w:szCs w:val="20"/>
                <w:lang w:val="uk-UA"/>
              </w:rPr>
              <w:t>Маврікій</w:t>
            </w:r>
            <w:proofErr w:type="spellEnd"/>
            <w:r w:rsidRPr="006A57C4">
              <w:rPr>
                <w:sz w:val="20"/>
                <w:szCs w:val="20"/>
                <w:lang w:val="uk-UA"/>
              </w:rPr>
              <w:t>, Мавританія, Мадагаскар, Майотта, Макао (Аоминь), Малаві, Малі, Маріанські острови, Маршаллові острови, Мідвей, Мозамбік, Намібія, Науру, Нігер, Нігерія, Ніуе, Нова Зеландія, Нова Каледонія, Норфолк (</w:t>
            </w:r>
            <w:proofErr w:type="spellStart"/>
            <w:r w:rsidRPr="006A57C4">
              <w:rPr>
                <w:sz w:val="20"/>
                <w:szCs w:val="20"/>
                <w:lang w:val="uk-UA"/>
              </w:rPr>
              <w:t>Австрал</w:t>
            </w:r>
            <w:proofErr w:type="spellEnd"/>
            <w:r w:rsidRPr="006A57C4">
              <w:rPr>
                <w:sz w:val="20"/>
                <w:szCs w:val="20"/>
                <w:lang w:val="uk-UA"/>
              </w:rPr>
              <w:t>.),Острів Кука, Острів Пасхи, Острів Різдва (</w:t>
            </w:r>
            <w:proofErr w:type="spellStart"/>
            <w:r w:rsidRPr="006A57C4">
              <w:rPr>
                <w:sz w:val="20"/>
                <w:szCs w:val="20"/>
                <w:lang w:val="uk-UA"/>
              </w:rPr>
              <w:t>Австрал</w:t>
            </w:r>
            <w:proofErr w:type="spellEnd"/>
            <w:r w:rsidRPr="006A57C4">
              <w:rPr>
                <w:sz w:val="20"/>
                <w:szCs w:val="20"/>
                <w:lang w:val="uk-UA"/>
              </w:rPr>
              <w:t>.), Острів Святої Єлени, Острови Бонайре, Сінт-Естатіус, Саба, Палау, Папуа Нова Гвінея, Південний Судан, Південно-Африканська Республіка, Піткерн (</w:t>
            </w:r>
            <w:proofErr w:type="spellStart"/>
            <w:r w:rsidRPr="006A57C4">
              <w:rPr>
                <w:sz w:val="20"/>
                <w:szCs w:val="20"/>
                <w:lang w:val="uk-UA"/>
              </w:rPr>
              <w:t>Брит</w:t>
            </w:r>
            <w:proofErr w:type="spellEnd"/>
            <w:r w:rsidRPr="006A57C4">
              <w:rPr>
                <w:sz w:val="20"/>
                <w:szCs w:val="20"/>
                <w:lang w:val="uk-UA"/>
              </w:rPr>
              <w:t>.), Реюньйон, Руанда, Сайпан, Сан-Томе і Принсіпі, Свазіленд, Сейшельські острови, Сенегал, Соломонові Острови, Сомалі, Сьєрра- Леоне, Токелау (Юніон), Танзанія, Тимор-</w:t>
            </w:r>
            <w:proofErr w:type="spellStart"/>
            <w:r w:rsidRPr="006A57C4">
              <w:rPr>
                <w:sz w:val="20"/>
                <w:szCs w:val="20"/>
                <w:lang w:val="uk-UA"/>
              </w:rPr>
              <w:t>Лешти</w:t>
            </w:r>
            <w:proofErr w:type="spellEnd"/>
            <w:r w:rsidRPr="006A57C4">
              <w:rPr>
                <w:sz w:val="20"/>
                <w:szCs w:val="20"/>
                <w:lang w:val="uk-UA"/>
              </w:rPr>
              <w:t xml:space="preserve"> (Демократична республіка), Того, Тонга, Тувалу, Уганда, Уолліс і Футуна острови, Федеративні Штати Мікронезії, Фіджі (острови), Французька Полінезія, Центральноафриканська Республіка, Чад</w:t>
            </w:r>
          </w:p>
          <w:p w:rsidR="007B1CF3" w:rsidRPr="006A57C4" w:rsidRDefault="007B1CF3" w:rsidP="0048474C">
            <w:pPr>
              <w:widowControl w:val="0"/>
              <w:rPr>
                <w:sz w:val="20"/>
                <w:szCs w:val="20"/>
                <w:lang w:val="uk-UA"/>
              </w:rPr>
            </w:pPr>
            <w:r w:rsidRPr="006A57C4">
              <w:rPr>
                <w:sz w:val="20"/>
                <w:szCs w:val="20"/>
                <w:lang w:val="uk-UA"/>
              </w:rPr>
              <w:t>Вага відправлення 0-250 г</w:t>
            </w:r>
          </w:p>
        </w:tc>
      </w:tr>
      <w:tr w:rsidR="007B1CF3" w:rsidRPr="006A57C4" w:rsidTr="0048474C">
        <w:tc>
          <w:tcPr>
            <w:tcW w:w="567" w:type="dxa"/>
          </w:tcPr>
          <w:p w:rsidR="007B1CF3" w:rsidRPr="006A57C4" w:rsidRDefault="007B1CF3" w:rsidP="0048474C">
            <w:pPr>
              <w:widowControl w:val="0"/>
              <w:rPr>
                <w:lang w:val="uk-UA"/>
              </w:rPr>
            </w:pPr>
            <w:r>
              <w:rPr>
                <w:lang w:val="uk-UA"/>
              </w:rPr>
              <w:t>6</w:t>
            </w:r>
          </w:p>
        </w:tc>
        <w:tc>
          <w:tcPr>
            <w:tcW w:w="2269" w:type="dxa"/>
          </w:tcPr>
          <w:p w:rsidR="007B1CF3" w:rsidRPr="006A57C4" w:rsidRDefault="007B1CF3" w:rsidP="0048474C">
            <w:pPr>
              <w:rPr>
                <w:sz w:val="20"/>
                <w:szCs w:val="20"/>
                <w:lang w:val="uk-UA"/>
              </w:rPr>
            </w:pPr>
            <w:r w:rsidRPr="006A57C4">
              <w:rPr>
                <w:sz w:val="22"/>
                <w:szCs w:val="22"/>
                <w:lang w:val="uk-UA"/>
              </w:rPr>
              <w:t xml:space="preserve">Пересилання поштових відправлень (за межі України) </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послуга</w:t>
            </w:r>
          </w:p>
        </w:tc>
        <w:tc>
          <w:tcPr>
            <w:tcW w:w="992" w:type="dxa"/>
          </w:tcPr>
          <w:p w:rsidR="007B1CF3" w:rsidRPr="006A57C4" w:rsidRDefault="007B1CF3" w:rsidP="0048474C">
            <w:pPr>
              <w:widowControl w:val="0"/>
              <w:autoSpaceDE w:val="0"/>
              <w:autoSpaceDN w:val="0"/>
              <w:adjustRightInd w:val="0"/>
              <w:jc w:val="center"/>
              <w:rPr>
                <w:sz w:val="22"/>
                <w:szCs w:val="22"/>
                <w:lang w:val="uk-UA"/>
              </w:rPr>
            </w:pPr>
            <w:r w:rsidRPr="006A57C4">
              <w:rPr>
                <w:sz w:val="22"/>
                <w:szCs w:val="22"/>
                <w:lang w:val="uk-UA"/>
              </w:rPr>
              <w:t>15</w:t>
            </w:r>
          </w:p>
        </w:tc>
        <w:tc>
          <w:tcPr>
            <w:tcW w:w="5722" w:type="dxa"/>
          </w:tcPr>
          <w:p w:rsidR="007B1CF3" w:rsidRPr="006A57C4" w:rsidRDefault="007B1CF3" w:rsidP="0048474C">
            <w:pPr>
              <w:widowControl w:val="0"/>
              <w:rPr>
                <w:sz w:val="20"/>
                <w:szCs w:val="20"/>
                <w:lang w:val="uk-UA"/>
              </w:rPr>
            </w:pPr>
            <w:r w:rsidRPr="006A57C4">
              <w:rPr>
                <w:sz w:val="20"/>
                <w:szCs w:val="20"/>
                <w:lang w:val="uk-UA"/>
              </w:rPr>
              <w:t xml:space="preserve">Пересилання поштових відправлень поштове відділення, розташоване в м. Бориспіль Київської обл.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7B1CF3" w:rsidRPr="006A57C4" w:rsidRDefault="007B1CF3" w:rsidP="0048474C">
            <w:pPr>
              <w:widowControl w:val="0"/>
              <w:rPr>
                <w:sz w:val="20"/>
                <w:szCs w:val="20"/>
                <w:lang w:val="uk-UA"/>
              </w:rPr>
            </w:pPr>
            <w:r w:rsidRPr="006A57C4">
              <w:rPr>
                <w:sz w:val="20"/>
                <w:szCs w:val="20"/>
                <w:lang w:val="uk-UA"/>
              </w:rPr>
              <w:lastRenderedPageBreak/>
              <w:t>Перелік країн, до яких здійснюється доставка (Зона 3):</w:t>
            </w:r>
          </w:p>
          <w:p w:rsidR="007B1CF3" w:rsidRPr="006A57C4" w:rsidRDefault="007B1CF3" w:rsidP="0048474C">
            <w:pPr>
              <w:widowControl w:val="0"/>
              <w:rPr>
                <w:sz w:val="20"/>
                <w:szCs w:val="20"/>
                <w:lang w:val="uk-UA"/>
              </w:rPr>
            </w:pPr>
            <w:r w:rsidRPr="006A57C4">
              <w:rPr>
                <w:sz w:val="20"/>
                <w:szCs w:val="20"/>
                <w:lang w:val="uk-UA"/>
              </w:rPr>
              <w:t>Бангладеш, Бруней-</w:t>
            </w:r>
            <w:proofErr w:type="spellStart"/>
            <w:r w:rsidRPr="006A57C4">
              <w:rPr>
                <w:sz w:val="20"/>
                <w:szCs w:val="20"/>
                <w:lang w:val="uk-UA"/>
              </w:rPr>
              <w:t>Даруссалам</w:t>
            </w:r>
            <w:proofErr w:type="spellEnd"/>
            <w:r w:rsidRPr="006A57C4">
              <w:rPr>
                <w:sz w:val="20"/>
                <w:szCs w:val="20"/>
                <w:lang w:val="uk-UA"/>
              </w:rPr>
              <w:t xml:space="preserve">, Бутан, В’єтнам, Дієго-Гарсія, Індія, Індонезія, Камбоджа, Лаоська Народна Демократична Республіка, Малайзія, Мальдиви, Непал, Пакистан, Сінгапур, Таїланд, Філіппіни, Шрі-Ланка,  М’янма (Бірма), Американські Віргінські острови, Ангілья, Антигуа і Барбуда, Аргентина, Аруба, Багамські острови, Барбадос, Беліз, Бермудські острови, Болівія, Бразилія, Британські Віргінські острови, Венесуела, Гайана, Гваделупа, Гватемала, Французька Гвіана, Гондурас, Коста-Ріка, Куба, Кюрасао, </w:t>
            </w:r>
            <w:proofErr w:type="spellStart"/>
            <w:r w:rsidRPr="006A57C4">
              <w:rPr>
                <w:sz w:val="20"/>
                <w:szCs w:val="20"/>
                <w:lang w:val="uk-UA"/>
              </w:rPr>
              <w:t>Мартініка</w:t>
            </w:r>
            <w:proofErr w:type="spellEnd"/>
            <w:r w:rsidRPr="006A57C4">
              <w:rPr>
                <w:sz w:val="20"/>
                <w:szCs w:val="20"/>
                <w:lang w:val="uk-UA"/>
              </w:rPr>
              <w:t>, Мексика, Монтсеррат, Нікарагуа, Острови Теркс і Кайкос (</w:t>
            </w:r>
            <w:proofErr w:type="spellStart"/>
            <w:r w:rsidRPr="006A57C4">
              <w:rPr>
                <w:sz w:val="20"/>
                <w:szCs w:val="20"/>
                <w:lang w:val="uk-UA"/>
              </w:rPr>
              <w:t>Брит</w:t>
            </w:r>
            <w:proofErr w:type="spellEnd"/>
            <w:r w:rsidRPr="006A57C4">
              <w:rPr>
                <w:sz w:val="20"/>
                <w:szCs w:val="20"/>
                <w:lang w:val="uk-UA"/>
              </w:rPr>
              <w:t xml:space="preserve">.), Панама, Парагвай, Перу, Пуерто-Ріко, Сальвадор, Сен-Мартен, Сент-П’єр і Мікелон, Сент-Вінсент і Гренадіни, Сент-Кітс і Невіс, Сент-Люсія, </w:t>
            </w:r>
            <w:proofErr w:type="spellStart"/>
            <w:r w:rsidRPr="006A57C4">
              <w:rPr>
                <w:sz w:val="20"/>
                <w:szCs w:val="20"/>
                <w:lang w:val="uk-UA"/>
              </w:rPr>
              <w:t>Сурінам</w:t>
            </w:r>
            <w:proofErr w:type="spellEnd"/>
            <w:r w:rsidRPr="006A57C4">
              <w:rPr>
                <w:sz w:val="20"/>
                <w:szCs w:val="20"/>
                <w:lang w:val="uk-UA"/>
              </w:rPr>
              <w:t>, Гренада, Домініка, Домініканська Республіка, Еквадор, Кайманові Острови (</w:t>
            </w:r>
            <w:proofErr w:type="spellStart"/>
            <w:r w:rsidRPr="006A57C4">
              <w:rPr>
                <w:sz w:val="20"/>
                <w:szCs w:val="20"/>
                <w:lang w:val="uk-UA"/>
              </w:rPr>
              <w:t>Брит</w:t>
            </w:r>
            <w:proofErr w:type="spellEnd"/>
            <w:r w:rsidRPr="006A57C4">
              <w:rPr>
                <w:sz w:val="20"/>
                <w:szCs w:val="20"/>
                <w:lang w:val="uk-UA"/>
              </w:rPr>
              <w:t xml:space="preserve">.), Колумбія, </w:t>
            </w:r>
            <w:proofErr w:type="spellStart"/>
            <w:r w:rsidRPr="006A57C4">
              <w:rPr>
                <w:sz w:val="20"/>
                <w:szCs w:val="20"/>
                <w:lang w:val="uk-UA"/>
              </w:rPr>
              <w:t>Трінідат</w:t>
            </w:r>
            <w:proofErr w:type="spellEnd"/>
            <w:r w:rsidRPr="006A57C4">
              <w:rPr>
                <w:sz w:val="20"/>
                <w:szCs w:val="20"/>
                <w:lang w:val="uk-UA"/>
              </w:rPr>
              <w:t xml:space="preserve"> і Тобаго, Уругвай, Фолклендські (Мальвінські) острови, Французькі Антильські острови, Чилі, Ямайка, Австралія, Американське Самоа, Ангола, Антарктика, Бенін, Ботсвана, Буркіна-Фасо, Бурунді, Вануату, Габон, Гаїті, Гамбія, Гана, Гвінея,  Гвінея-Бісау, Гуам, Джибуті, Екваторіальна Гвінея, Еритрея, Ефіопія, Заїр (Демократична Республіка Конго), Замбія, Західне Самоа, Зімбабве, Кабо-Верде, Камерун, Кенія, Кірибаті, Кокосові (</w:t>
            </w:r>
            <w:proofErr w:type="spellStart"/>
            <w:r w:rsidRPr="006A57C4">
              <w:rPr>
                <w:sz w:val="20"/>
                <w:szCs w:val="20"/>
                <w:lang w:val="uk-UA"/>
              </w:rPr>
              <w:t>Кілінг</w:t>
            </w:r>
            <w:proofErr w:type="spellEnd"/>
            <w:r w:rsidRPr="006A57C4">
              <w:rPr>
                <w:sz w:val="20"/>
                <w:szCs w:val="20"/>
                <w:lang w:val="uk-UA"/>
              </w:rPr>
              <w:t xml:space="preserve">) Острови, Коморські острови, Конго, Кот </w:t>
            </w:r>
            <w:proofErr w:type="spellStart"/>
            <w:r w:rsidRPr="006A57C4">
              <w:rPr>
                <w:sz w:val="20"/>
                <w:szCs w:val="20"/>
                <w:lang w:val="uk-UA"/>
              </w:rPr>
              <w:t>д’Івуар</w:t>
            </w:r>
            <w:proofErr w:type="spellEnd"/>
            <w:r w:rsidRPr="006A57C4">
              <w:rPr>
                <w:sz w:val="20"/>
                <w:szCs w:val="20"/>
                <w:lang w:val="uk-UA"/>
              </w:rPr>
              <w:t xml:space="preserve">, Лесото, Ліберія, </w:t>
            </w:r>
            <w:proofErr w:type="spellStart"/>
            <w:r w:rsidRPr="006A57C4">
              <w:rPr>
                <w:sz w:val="20"/>
                <w:szCs w:val="20"/>
                <w:lang w:val="uk-UA"/>
              </w:rPr>
              <w:t>Маврікій</w:t>
            </w:r>
            <w:proofErr w:type="spellEnd"/>
            <w:r w:rsidRPr="006A57C4">
              <w:rPr>
                <w:sz w:val="20"/>
                <w:szCs w:val="20"/>
                <w:lang w:val="uk-UA"/>
              </w:rPr>
              <w:t>, Мавританія, Мадагаскар, Майотта, Макао (Аоминь), Малаві, Малі, Маріанські острови, Маршаллові острови, Мідвей, Мозамбік, Намібія, Науру, Нігер, Нігерія, Ніуе, Нова Зеландія, Нова Каледонія, Норфолк (</w:t>
            </w:r>
            <w:proofErr w:type="spellStart"/>
            <w:r w:rsidRPr="006A57C4">
              <w:rPr>
                <w:sz w:val="20"/>
                <w:szCs w:val="20"/>
                <w:lang w:val="uk-UA"/>
              </w:rPr>
              <w:t>Австрал</w:t>
            </w:r>
            <w:proofErr w:type="spellEnd"/>
            <w:r w:rsidRPr="006A57C4">
              <w:rPr>
                <w:sz w:val="20"/>
                <w:szCs w:val="20"/>
                <w:lang w:val="uk-UA"/>
              </w:rPr>
              <w:t>.),Острів Кука, Острів Пасхи, Острів Різдва (</w:t>
            </w:r>
            <w:proofErr w:type="spellStart"/>
            <w:r w:rsidRPr="006A57C4">
              <w:rPr>
                <w:sz w:val="20"/>
                <w:szCs w:val="20"/>
                <w:lang w:val="uk-UA"/>
              </w:rPr>
              <w:t>Австрал</w:t>
            </w:r>
            <w:proofErr w:type="spellEnd"/>
            <w:r w:rsidRPr="006A57C4">
              <w:rPr>
                <w:sz w:val="20"/>
                <w:szCs w:val="20"/>
                <w:lang w:val="uk-UA"/>
              </w:rPr>
              <w:t>.), Острів Святої Єлени, Острови Бонайре, Сінт-Естатіус, Саба, Палау, Папуа Нова Гвінея, Південний Судан, Південно-Африканська Республіка, Піткерн (</w:t>
            </w:r>
            <w:proofErr w:type="spellStart"/>
            <w:r w:rsidRPr="006A57C4">
              <w:rPr>
                <w:sz w:val="20"/>
                <w:szCs w:val="20"/>
                <w:lang w:val="uk-UA"/>
              </w:rPr>
              <w:t>Брит</w:t>
            </w:r>
            <w:proofErr w:type="spellEnd"/>
            <w:r w:rsidRPr="006A57C4">
              <w:rPr>
                <w:sz w:val="20"/>
                <w:szCs w:val="20"/>
                <w:lang w:val="uk-UA"/>
              </w:rPr>
              <w:t>.), Реюньйон, Руанда, Сайпан, Сан-Томе і Принсіпі, Свазіленд, Сейшельські острови, Сенегал, Соломонові Острови, Сомалі, Сьєрра- Леоне, Токелау (Юніон), Танзанія, Тимор-</w:t>
            </w:r>
            <w:proofErr w:type="spellStart"/>
            <w:r w:rsidRPr="006A57C4">
              <w:rPr>
                <w:sz w:val="20"/>
                <w:szCs w:val="20"/>
                <w:lang w:val="uk-UA"/>
              </w:rPr>
              <w:t>Лешти</w:t>
            </w:r>
            <w:proofErr w:type="spellEnd"/>
            <w:r w:rsidRPr="006A57C4">
              <w:rPr>
                <w:sz w:val="20"/>
                <w:szCs w:val="20"/>
                <w:lang w:val="uk-UA"/>
              </w:rPr>
              <w:t xml:space="preserve"> (Демократична республіка), Того, Тонга, Тувалу, Уганда, Уолліс і Футуна острови, Федеративні Штати Мікронезії, Фіджі (острови), Французька Полінезія, Центральноафриканська Республіка, Чад</w:t>
            </w:r>
          </w:p>
          <w:p w:rsidR="007B1CF3" w:rsidRPr="006A57C4" w:rsidRDefault="007B1CF3" w:rsidP="0048474C">
            <w:pPr>
              <w:widowControl w:val="0"/>
              <w:rPr>
                <w:sz w:val="20"/>
                <w:szCs w:val="20"/>
                <w:lang w:val="uk-UA"/>
              </w:rPr>
            </w:pPr>
            <w:r w:rsidRPr="006A57C4">
              <w:rPr>
                <w:sz w:val="20"/>
                <w:szCs w:val="20"/>
                <w:lang w:val="uk-UA"/>
              </w:rPr>
              <w:t>Вага відправлення 250-500 г</w:t>
            </w:r>
          </w:p>
        </w:tc>
      </w:tr>
    </w:tbl>
    <w:p w:rsidR="007B1CF3" w:rsidRPr="007101A5" w:rsidRDefault="007B1CF3" w:rsidP="00A12478">
      <w:pPr>
        <w:rPr>
          <w:b/>
          <w:lang w:val="uk-UA"/>
        </w:rPr>
      </w:pPr>
    </w:p>
    <w:sectPr w:rsidR="007B1CF3"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18" w:rsidRDefault="00FA0918">
      <w:r>
        <w:separator/>
      </w:r>
    </w:p>
  </w:endnote>
  <w:endnote w:type="continuationSeparator" w:id="0">
    <w:p w:rsidR="00FA0918" w:rsidRDefault="00FA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B1CF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97F9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D3E1C">
      <w:rPr>
        <w:sz w:val="20"/>
        <w:szCs w:val="20"/>
        <w:lang w:val="uk-UA"/>
      </w:rPr>
      <w:t>Пересилання поштових відправлень (за межі України), код ДК 021:2015 - 64110000-0 - Поштові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64E84">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64E84">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18" w:rsidRDefault="00FA0918">
      <w:r>
        <w:separator/>
      </w:r>
    </w:p>
  </w:footnote>
  <w:footnote w:type="continuationSeparator" w:id="0">
    <w:p w:rsidR="00FA0918" w:rsidRDefault="00FA0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B1CF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430F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2C42"/>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4E84"/>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1CF3"/>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209"/>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487"/>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1C"/>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2A7"/>
    <w:rsid w:val="00F9745B"/>
    <w:rsid w:val="00FA0918"/>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3BB91C-6DB2-4DD9-9201-E9DC7325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1-19-014694-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79DC-0179-4C27-AA45-E09BF806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7077</Words>
  <Characters>4034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5</cp:revision>
  <cp:lastPrinted>2021-11-17T09:02:00Z</cp:lastPrinted>
  <dcterms:created xsi:type="dcterms:W3CDTF">2023-01-19T12:30:00Z</dcterms:created>
  <dcterms:modified xsi:type="dcterms:W3CDTF">2023-01-19T15:46:00Z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