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B71EC"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2E1DDC" w:rsidRPr="007101A5" w:rsidTr="00212515">
        <w:tc>
          <w:tcPr>
            <w:tcW w:w="487" w:type="pct"/>
          </w:tcPr>
          <w:p w:rsidR="002E1DDC" w:rsidRPr="002E1DDC" w:rsidRDefault="002E1DDC" w:rsidP="002E1DDC">
            <w:pPr>
              <w:widowControl w:val="0"/>
              <w:ind w:right="-11"/>
              <w:jc w:val="center"/>
              <w:rPr>
                <w:sz w:val="22"/>
                <w:szCs w:val="22"/>
                <w:lang w:val="uk-UA" w:eastAsia="uk-UA"/>
              </w:rPr>
            </w:pPr>
            <w:r w:rsidRPr="002E1DDC">
              <w:rPr>
                <w:sz w:val="22"/>
                <w:szCs w:val="22"/>
                <w:lang w:val="uk-UA"/>
              </w:rPr>
              <w:t xml:space="preserve">п. 3.14.1 </w:t>
            </w:r>
            <w:r w:rsidRPr="002E1DDC">
              <w:rPr>
                <w:sz w:val="22"/>
                <w:szCs w:val="22"/>
                <w:lang w:val="uk-UA" w:eastAsia="uk-UA"/>
              </w:rPr>
              <w:t>(2023)</w:t>
            </w:r>
          </w:p>
        </w:tc>
        <w:tc>
          <w:tcPr>
            <w:tcW w:w="1527" w:type="pct"/>
          </w:tcPr>
          <w:p w:rsidR="002E1DDC" w:rsidRPr="002E1DDC" w:rsidRDefault="002E1DDC" w:rsidP="002E1DDC">
            <w:pPr>
              <w:widowControl w:val="0"/>
              <w:rPr>
                <w:bCs/>
                <w:sz w:val="22"/>
                <w:szCs w:val="22"/>
                <w:lang w:val="uk-UA"/>
              </w:rPr>
            </w:pPr>
            <w:r w:rsidRPr="002E1DDC">
              <w:rPr>
                <w:b/>
                <w:sz w:val="22"/>
                <w:szCs w:val="22"/>
                <w:lang w:val="uk-UA"/>
              </w:rPr>
              <w:t xml:space="preserve">Реагент </w:t>
            </w:r>
            <w:proofErr w:type="spellStart"/>
            <w:r w:rsidRPr="002E1DDC">
              <w:rPr>
                <w:b/>
                <w:sz w:val="22"/>
                <w:szCs w:val="22"/>
                <w:lang w:val="uk-UA"/>
              </w:rPr>
              <w:t>антиожеледний</w:t>
            </w:r>
            <w:proofErr w:type="spellEnd"/>
            <w:r w:rsidRPr="002E1DDC">
              <w:rPr>
                <w:b/>
                <w:sz w:val="22"/>
                <w:szCs w:val="22"/>
                <w:lang w:val="uk-UA"/>
              </w:rPr>
              <w:t xml:space="preserve"> гранульований на основі форміату натрію, </w:t>
            </w:r>
            <w:r w:rsidRPr="002E1DDC">
              <w:rPr>
                <w:sz w:val="22"/>
                <w:szCs w:val="22"/>
                <w:lang w:val="uk-UA"/>
              </w:rPr>
              <w:t>код ДК 021:2015 - 24950000-8 - Спеціалізована хімічна продукція</w:t>
            </w:r>
            <w:r w:rsidRPr="002E1DDC">
              <w:rPr>
                <w:b/>
                <w:sz w:val="22"/>
                <w:szCs w:val="22"/>
                <w:lang w:val="uk-UA"/>
              </w:rPr>
              <w:t xml:space="preserve"> </w:t>
            </w:r>
            <w:r w:rsidRPr="002E1DDC">
              <w:rPr>
                <w:sz w:val="22"/>
                <w:szCs w:val="22"/>
                <w:lang w:val="uk-UA"/>
              </w:rPr>
              <w:t xml:space="preserve"> </w:t>
            </w:r>
          </w:p>
        </w:tc>
        <w:tc>
          <w:tcPr>
            <w:tcW w:w="947" w:type="pct"/>
          </w:tcPr>
          <w:p w:rsidR="002E1DDC" w:rsidRPr="006B0552" w:rsidRDefault="002E1DDC" w:rsidP="002E1DDC">
            <w:pPr>
              <w:widowControl w:val="0"/>
              <w:jc w:val="center"/>
              <w:rPr>
                <w:sz w:val="22"/>
                <w:szCs w:val="22"/>
                <w:lang w:val="uk-UA"/>
              </w:rPr>
            </w:pPr>
            <w:r w:rsidRPr="006B0552">
              <w:rPr>
                <w:sz w:val="22"/>
                <w:szCs w:val="22"/>
                <w:lang w:val="uk-UA"/>
              </w:rPr>
              <w:t xml:space="preserve">49 807 680,00 </w:t>
            </w:r>
          </w:p>
          <w:p w:rsidR="002E1DDC" w:rsidRPr="006B0552" w:rsidRDefault="002E1DDC" w:rsidP="002E1DDC">
            <w:pPr>
              <w:widowControl w:val="0"/>
              <w:jc w:val="center"/>
              <w:rPr>
                <w:sz w:val="22"/>
                <w:szCs w:val="22"/>
                <w:lang w:val="uk-UA"/>
              </w:rPr>
            </w:pPr>
            <w:r w:rsidRPr="006B0552">
              <w:rPr>
                <w:sz w:val="22"/>
                <w:szCs w:val="22"/>
                <w:lang w:val="uk-UA"/>
              </w:rPr>
              <w:t>грн. з ПДВ</w:t>
            </w:r>
          </w:p>
        </w:tc>
        <w:tc>
          <w:tcPr>
            <w:tcW w:w="1102" w:type="pct"/>
          </w:tcPr>
          <w:p w:rsidR="002E1DDC" w:rsidRPr="006B0552" w:rsidRDefault="002E1DDC" w:rsidP="002E1DDC">
            <w:pPr>
              <w:widowControl w:val="0"/>
              <w:jc w:val="center"/>
              <w:rPr>
                <w:sz w:val="22"/>
                <w:szCs w:val="22"/>
                <w:lang w:val="uk-UA"/>
              </w:rPr>
            </w:pPr>
            <w:r w:rsidRPr="006B0552">
              <w:rPr>
                <w:sz w:val="22"/>
                <w:szCs w:val="22"/>
                <w:lang w:val="uk-UA"/>
              </w:rPr>
              <w:t>41 506 400,00</w:t>
            </w:r>
          </w:p>
          <w:p w:rsidR="002E1DDC" w:rsidRPr="006B0552" w:rsidRDefault="002E1DDC" w:rsidP="002E1DDC">
            <w:pPr>
              <w:widowControl w:val="0"/>
              <w:jc w:val="center"/>
              <w:rPr>
                <w:sz w:val="22"/>
                <w:szCs w:val="22"/>
                <w:lang w:val="uk-UA"/>
              </w:rPr>
            </w:pPr>
            <w:r w:rsidRPr="006B0552">
              <w:rPr>
                <w:sz w:val="22"/>
                <w:szCs w:val="22"/>
                <w:lang w:val="uk-UA"/>
              </w:rPr>
              <w:t xml:space="preserve">грн. без ПДВ </w:t>
            </w:r>
          </w:p>
        </w:tc>
        <w:tc>
          <w:tcPr>
            <w:tcW w:w="936" w:type="pct"/>
          </w:tcPr>
          <w:p w:rsidR="002E1DDC" w:rsidRPr="007101A5" w:rsidRDefault="002E1DDC" w:rsidP="002E1DDC">
            <w:pPr>
              <w:widowControl w:val="0"/>
              <w:jc w:val="center"/>
              <w:rPr>
                <w:color w:val="0000FF"/>
                <w:sz w:val="22"/>
                <w:szCs w:val="22"/>
                <w:lang w:val="uk-UA"/>
              </w:rPr>
            </w:pPr>
            <w:r w:rsidRPr="002E1DDC">
              <w:rPr>
                <w:b/>
                <w:sz w:val="22"/>
                <w:szCs w:val="22"/>
                <w:lang w:val="uk-UA"/>
              </w:rPr>
              <w:t>UA-2023-02-02-016759-a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1DDC" w:rsidRPr="002E1DDC" w:rsidRDefault="002E1DDC" w:rsidP="002E1DDC">
            <w:pPr>
              <w:widowControl w:val="0"/>
              <w:ind w:firstLine="364"/>
              <w:jc w:val="both"/>
              <w:rPr>
                <w:lang w:val="uk-UA"/>
              </w:rPr>
            </w:pPr>
            <w:r w:rsidRPr="002E1DDC">
              <w:rPr>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2E1DDC" w:rsidRPr="002E1DDC" w:rsidRDefault="002E1DDC" w:rsidP="002E1DDC">
            <w:pPr>
              <w:widowControl w:val="0"/>
              <w:ind w:firstLine="364"/>
              <w:jc w:val="both"/>
              <w:rPr>
                <w:lang w:val="uk-UA"/>
              </w:rPr>
            </w:pPr>
            <w:r w:rsidRPr="002E1DDC">
              <w:rPr>
                <w:lang w:val="uk-UA"/>
              </w:rPr>
              <w:t xml:space="preserve">В аеропорту «Бориспіль» в ОЗП для запобігання виникнення та видалення ожеледі застосовується твердий гранульований </w:t>
            </w:r>
            <w:proofErr w:type="spellStart"/>
            <w:r w:rsidRPr="002E1DDC">
              <w:rPr>
                <w:lang w:val="uk-UA"/>
              </w:rPr>
              <w:t>антиожеледний</w:t>
            </w:r>
            <w:proofErr w:type="spellEnd"/>
            <w:r w:rsidRPr="002E1DDC">
              <w:rPr>
                <w:lang w:val="uk-UA"/>
              </w:rPr>
              <w:t xml:space="preserve"> реагент відповідно до п.7.7.1 </w:t>
            </w:r>
            <w:proofErr w:type="spellStart"/>
            <w:r w:rsidRPr="002E1DDC">
              <w:rPr>
                <w:lang w:val="uk-UA"/>
              </w:rPr>
              <w:t>Doc</w:t>
            </w:r>
            <w:proofErr w:type="spellEnd"/>
            <w:r w:rsidRPr="002E1DDC">
              <w:rPr>
                <w:lang w:val="uk-UA"/>
              </w:rPr>
              <w:t xml:space="preserve"> 9137 ІСАО «</w:t>
            </w:r>
            <w:proofErr w:type="spellStart"/>
            <w:r w:rsidRPr="002E1DDC">
              <w:rPr>
                <w:lang w:val="uk-UA"/>
              </w:rPr>
              <w:t>Руководство</w:t>
            </w:r>
            <w:proofErr w:type="spellEnd"/>
            <w:r w:rsidRPr="002E1DDC">
              <w:rPr>
                <w:lang w:val="uk-UA"/>
              </w:rPr>
              <w:t xml:space="preserve"> по </w:t>
            </w:r>
            <w:proofErr w:type="spellStart"/>
            <w:r w:rsidRPr="002E1DDC">
              <w:rPr>
                <w:lang w:val="uk-UA"/>
              </w:rPr>
              <w:t>аэропортовым</w:t>
            </w:r>
            <w:proofErr w:type="spellEnd"/>
            <w:r w:rsidRPr="002E1DDC">
              <w:rPr>
                <w:lang w:val="uk-UA"/>
              </w:rPr>
              <w:t xml:space="preserve"> службам».</w:t>
            </w:r>
          </w:p>
          <w:p w:rsidR="006F428D" w:rsidRPr="007101A5" w:rsidRDefault="002E1DDC" w:rsidP="002E1DDC">
            <w:pPr>
              <w:widowControl w:val="0"/>
              <w:ind w:firstLine="364"/>
              <w:jc w:val="both"/>
              <w:rPr>
                <w:i/>
                <w:lang w:val="uk-UA"/>
              </w:rPr>
            </w:pPr>
            <w:r w:rsidRPr="002E1DDC">
              <w:rPr>
                <w:lang w:val="uk-UA"/>
              </w:rPr>
              <w:t>Гранульовані реагенти доцільно використовувати при мокрому стані штучних покриттів, а також для усунення на них льодяних накатів. Нове покоління реагентів на основі форміату натрію застосовується в аеропорту з 2013 року. Економічно доцільним є закупівля твердого реагенту на основі форміату натрію.</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1DDC" w:rsidRPr="002E1DDC" w:rsidRDefault="002E1DDC" w:rsidP="002E1DDC">
            <w:pPr>
              <w:widowControl w:val="0"/>
              <w:ind w:firstLine="364"/>
              <w:jc w:val="both"/>
              <w:rPr>
                <w:lang w:val="uk-UA"/>
              </w:rPr>
            </w:pPr>
            <w:r w:rsidRPr="002E1DDC">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E1DDC">
              <w:rPr>
                <w:lang w:val="uk-UA"/>
              </w:rPr>
              <w:t>закупівель</w:t>
            </w:r>
            <w:proofErr w:type="spellEnd"/>
            <w:r w:rsidRPr="002E1DDC">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E1DDC" w:rsidRPr="002E1DDC" w:rsidRDefault="002E1DDC" w:rsidP="002E1DDC">
            <w:pPr>
              <w:widowControl w:val="0"/>
              <w:ind w:firstLine="368"/>
              <w:jc w:val="both"/>
              <w:rPr>
                <w:sz w:val="22"/>
                <w:szCs w:val="22"/>
                <w:lang w:val="uk-UA"/>
              </w:rPr>
            </w:pPr>
            <w:r w:rsidRPr="002E1DDC">
              <w:rPr>
                <w:sz w:val="22"/>
                <w:szCs w:val="22"/>
                <w:lang w:val="uk-UA"/>
              </w:rPr>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6F428D" w:rsidP="00C62708">
            <w:pPr>
              <w:rPr>
                <w:i/>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1DDC" w:rsidRPr="002E1DDC" w:rsidRDefault="002E1DDC" w:rsidP="002E1DDC">
            <w:pPr>
              <w:widowControl w:val="0"/>
              <w:jc w:val="both"/>
              <w:rPr>
                <w:lang w:val="uk-UA"/>
              </w:rPr>
            </w:pPr>
            <w:r w:rsidRPr="002E1DDC">
              <w:rPr>
                <w:b/>
                <w:lang w:val="uk-UA"/>
              </w:rPr>
              <w:t xml:space="preserve">Визначення потреби в закупівлі: </w:t>
            </w:r>
            <w:r w:rsidRPr="002E1DDC">
              <w:rPr>
                <w:lang w:val="uk-UA"/>
              </w:rPr>
              <w:t>Закупівля зумовлена необхідністю зимового утримання аеродрому</w:t>
            </w:r>
          </w:p>
          <w:p w:rsidR="002E1DDC" w:rsidRPr="002E1DDC" w:rsidRDefault="002E1DDC" w:rsidP="002E1DDC">
            <w:pPr>
              <w:widowControl w:val="0"/>
              <w:jc w:val="both"/>
              <w:rPr>
                <w:lang w:val="uk-UA"/>
              </w:rPr>
            </w:pPr>
            <w:r w:rsidRPr="002E1DDC">
              <w:rPr>
                <w:b/>
                <w:lang w:val="uk-UA"/>
              </w:rPr>
              <w:t>Обґрунтування обсягів закупівлі:</w:t>
            </w:r>
            <w:r w:rsidRPr="002E1DDC">
              <w:rPr>
                <w:lang w:val="uk-UA"/>
              </w:rPr>
              <w:t xml:space="preserve"> Обсяги визначено відповідно до очікуваної потреби.</w:t>
            </w:r>
          </w:p>
          <w:p w:rsidR="002E1DDC" w:rsidRPr="002E1DDC" w:rsidRDefault="002E1DDC" w:rsidP="002E1DDC">
            <w:pPr>
              <w:widowControl w:val="0"/>
              <w:jc w:val="both"/>
              <w:rPr>
                <w:b/>
                <w:lang w:val="uk-UA"/>
              </w:rPr>
            </w:pPr>
            <w:r w:rsidRPr="002E1DDC">
              <w:rPr>
                <w:b/>
                <w:lang w:val="uk-UA"/>
              </w:rPr>
              <w:t xml:space="preserve">Спосіб проведення </w:t>
            </w:r>
            <w:proofErr w:type="spellStart"/>
            <w:r w:rsidRPr="002E1DDC">
              <w:rPr>
                <w:b/>
                <w:lang w:val="uk-UA"/>
              </w:rPr>
              <w:t>моніторигу</w:t>
            </w:r>
            <w:proofErr w:type="spellEnd"/>
            <w:r w:rsidRPr="002E1DDC">
              <w:rPr>
                <w:b/>
                <w:lang w:val="uk-UA"/>
              </w:rPr>
              <w:t xml:space="preserve"> ринку</w:t>
            </w:r>
          </w:p>
          <w:p w:rsidR="002E1DDC" w:rsidRPr="002E1DDC" w:rsidRDefault="002E1DDC" w:rsidP="002E1DDC">
            <w:pPr>
              <w:spacing w:line="252" w:lineRule="auto"/>
              <w:jc w:val="both"/>
              <w:rPr>
                <w:lang w:val="uk-UA"/>
              </w:rPr>
            </w:pPr>
            <w:r w:rsidRPr="002E1DDC">
              <w:rPr>
                <w:lang w:val="uk-UA"/>
              </w:rPr>
              <w:t xml:space="preserve">Було проведено моніторинг ринку, направлено низку запитів підприємствам, що </w:t>
            </w:r>
            <w:r w:rsidRPr="002E1DDC">
              <w:rPr>
                <w:lang w:val="x-none"/>
              </w:rPr>
              <w:t xml:space="preserve">постачають відповідну продукцію </w:t>
            </w:r>
            <w:r w:rsidRPr="002E1DDC">
              <w:rPr>
                <w:lang w:val="uk-UA"/>
              </w:rPr>
              <w:t xml:space="preserve">на наступні електронні пошти: </w:t>
            </w:r>
          </w:p>
          <w:p w:rsidR="002E1DDC" w:rsidRPr="002E1DDC" w:rsidRDefault="002E1DDC" w:rsidP="002E1DDC">
            <w:pPr>
              <w:spacing w:line="252" w:lineRule="auto"/>
              <w:jc w:val="both"/>
            </w:pPr>
            <w:r w:rsidRPr="002E1DDC">
              <w:rPr>
                <w:lang w:val="uk-UA"/>
              </w:rPr>
              <w:t xml:space="preserve">- </w:t>
            </w:r>
            <w:hyperlink r:id="rId9" w:history="1">
              <w:r w:rsidRPr="002E1DDC">
                <w:t>info</w:t>
              </w:r>
              <w:r w:rsidRPr="002E1DDC">
                <w:rPr>
                  <w:lang w:val="uk-UA"/>
                </w:rPr>
                <w:t>@</w:t>
              </w:r>
              <w:r w:rsidRPr="002E1DDC">
                <w:t>aviaoil</w:t>
              </w:r>
              <w:r w:rsidRPr="002E1DDC">
                <w:rPr>
                  <w:lang w:val="uk-UA"/>
                </w:rPr>
                <w:t>.</w:t>
              </w:r>
              <w:r w:rsidRPr="002E1DDC">
                <w:t>com</w:t>
              </w:r>
              <w:r w:rsidRPr="002E1DDC">
                <w:rPr>
                  <w:lang w:val="uk-UA"/>
                </w:rPr>
                <w:t>.</w:t>
              </w:r>
              <w:proofErr w:type="spellStart"/>
              <w:r w:rsidRPr="002E1DDC">
                <w:t>ua</w:t>
              </w:r>
              <w:proofErr w:type="spellEnd"/>
            </w:hyperlink>
            <w:r w:rsidRPr="002E1DDC">
              <w:t xml:space="preserve"> -</w:t>
            </w:r>
            <w:r w:rsidRPr="002E1DDC">
              <w:rPr>
                <w:lang w:val="uk-UA"/>
              </w:rPr>
              <w:t xml:space="preserve"> </w:t>
            </w:r>
            <w:r w:rsidRPr="002E1DDC">
              <w:t>ТОВ «АВІА ОІЛ»</w:t>
            </w:r>
          </w:p>
          <w:p w:rsidR="002E1DDC" w:rsidRPr="002E1DDC" w:rsidRDefault="002E1DDC" w:rsidP="002E1DDC">
            <w:pPr>
              <w:spacing w:line="252" w:lineRule="auto"/>
              <w:jc w:val="both"/>
              <w:rPr>
                <w:lang w:val="en-US"/>
              </w:rPr>
            </w:pPr>
            <w:r w:rsidRPr="002E1DDC">
              <w:rPr>
                <w:lang w:val="en-US"/>
              </w:rPr>
              <w:t xml:space="preserve">- </w:t>
            </w:r>
            <w:hyperlink r:id="rId10" w:history="1">
              <w:r w:rsidRPr="002E1DDC">
                <w:rPr>
                  <w:lang w:val="en-US"/>
                </w:rPr>
                <w:t>info</w:t>
              </w:r>
              <w:r w:rsidRPr="002E1DDC">
                <w:rPr>
                  <w:lang w:val="uk-UA"/>
                </w:rPr>
                <w:t>@</w:t>
              </w:r>
              <w:proofErr w:type="spellStart"/>
              <w:r w:rsidRPr="002E1DDC">
                <w:rPr>
                  <w:lang w:val="en-US"/>
                </w:rPr>
                <w:t>esspo</w:t>
              </w:r>
              <w:proofErr w:type="spellEnd"/>
              <w:r w:rsidRPr="002E1DDC">
                <w:rPr>
                  <w:lang w:val="uk-UA"/>
                </w:rPr>
                <w:t>.</w:t>
              </w:r>
              <w:proofErr w:type="spellStart"/>
              <w:r w:rsidRPr="002E1DDC">
                <w:rPr>
                  <w:lang w:val="en-US"/>
                </w:rPr>
                <w:t>lt</w:t>
              </w:r>
              <w:proofErr w:type="spellEnd"/>
            </w:hyperlink>
            <w:r w:rsidRPr="002E1DDC">
              <w:rPr>
                <w:lang w:val="en-US"/>
              </w:rPr>
              <w:t xml:space="preserve"> -</w:t>
            </w:r>
            <w:r w:rsidRPr="002E1DDC">
              <w:rPr>
                <w:lang w:val="uk-UA"/>
              </w:rPr>
              <w:t xml:space="preserve"> </w:t>
            </w:r>
            <w:r w:rsidRPr="002E1DDC">
              <w:t>ЗАТ</w:t>
            </w:r>
            <w:r w:rsidRPr="002E1DDC">
              <w:rPr>
                <w:lang w:val="en-US"/>
              </w:rPr>
              <w:t xml:space="preserve"> «ESSPO» </w:t>
            </w:r>
          </w:p>
          <w:p w:rsidR="002E1DDC" w:rsidRPr="002E1DDC" w:rsidRDefault="002E1DDC" w:rsidP="002E1DDC">
            <w:pPr>
              <w:spacing w:line="252" w:lineRule="auto"/>
              <w:jc w:val="both"/>
              <w:rPr>
                <w:lang w:val="uk-UA"/>
              </w:rPr>
            </w:pPr>
            <w:r w:rsidRPr="002E1DDC">
              <w:rPr>
                <w:lang w:val="uk-UA"/>
              </w:rPr>
              <w:t xml:space="preserve">- </w:t>
            </w:r>
            <w:proofErr w:type="spellStart"/>
            <w:r w:rsidRPr="002E1DDC">
              <w:rPr>
                <w:lang w:val="uk-UA"/>
              </w:rPr>
              <w:t>info@stega.lt</w:t>
            </w:r>
            <w:proofErr w:type="spellEnd"/>
            <w:r w:rsidRPr="002E1DDC">
              <w:rPr>
                <w:lang w:val="uk-UA"/>
              </w:rPr>
              <w:t xml:space="preserve"> - UAB </w:t>
            </w:r>
            <w:proofErr w:type="spellStart"/>
            <w:r w:rsidRPr="002E1DDC">
              <w:rPr>
                <w:lang w:val="uk-UA"/>
              </w:rPr>
              <w:t>Stega</w:t>
            </w:r>
            <w:proofErr w:type="spellEnd"/>
          </w:p>
          <w:p w:rsidR="002E1DDC" w:rsidRPr="002E1DDC" w:rsidRDefault="002E1DDC" w:rsidP="002E1DDC">
            <w:pPr>
              <w:spacing w:line="252" w:lineRule="auto"/>
              <w:jc w:val="both"/>
              <w:rPr>
                <w:lang w:val="uk-UA"/>
              </w:rPr>
            </w:pPr>
            <w:r w:rsidRPr="002E1DDC">
              <w:rPr>
                <w:lang w:val="uk-UA"/>
              </w:rPr>
              <w:t>- s.amelichev@maxsys.com.ua - ТОВ "МАХ СІСТЕМС"</w:t>
            </w:r>
          </w:p>
          <w:p w:rsidR="002E1DDC" w:rsidRPr="002E1DDC" w:rsidRDefault="002E1DDC" w:rsidP="002E1DDC">
            <w:pPr>
              <w:spacing w:line="252" w:lineRule="auto"/>
              <w:jc w:val="both"/>
              <w:rPr>
                <w:lang w:val="uk-UA"/>
              </w:rPr>
            </w:pPr>
            <w:r w:rsidRPr="002E1DDC">
              <w:rPr>
                <w:lang w:val="uk-UA"/>
              </w:rPr>
              <w:t>- ДІ АР ЕНЕРЖИ ГРУП - sergii.ezhov@gmail.com</w:t>
            </w:r>
          </w:p>
          <w:p w:rsidR="002E1DDC" w:rsidRPr="002E1DDC" w:rsidRDefault="002E1DDC" w:rsidP="002E1DDC">
            <w:pPr>
              <w:spacing w:line="252" w:lineRule="auto"/>
              <w:jc w:val="both"/>
              <w:rPr>
                <w:lang w:val="uk-UA"/>
              </w:rPr>
            </w:pPr>
            <w:r w:rsidRPr="002E1DDC">
              <w:rPr>
                <w:lang w:val="uk-UA"/>
              </w:rPr>
              <w:t>- ТОВ «РОМАКСПРОМ» - romaxprom01@gmail.com</w:t>
            </w:r>
          </w:p>
          <w:p w:rsidR="006F428D" w:rsidRPr="007101A5" w:rsidRDefault="002E1DDC" w:rsidP="002E1DDC">
            <w:pPr>
              <w:rPr>
                <w:i/>
                <w:lang w:val="uk-UA"/>
              </w:rPr>
            </w:pPr>
            <w:r w:rsidRPr="002E1DDC">
              <w:rPr>
                <w:lang w:val="uk-UA"/>
              </w:rPr>
              <w:t>Для проведення аналізу ринку використані отримані комерційні пропозиції.</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70"/>
        <w:gridCol w:w="854"/>
        <w:gridCol w:w="862"/>
        <w:gridCol w:w="3954"/>
        <w:gridCol w:w="1363"/>
      </w:tblGrid>
      <w:tr w:rsidR="002E1DDC" w:rsidRPr="0083763F" w:rsidTr="00AF56C0">
        <w:tc>
          <w:tcPr>
            <w:tcW w:w="7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1DDC" w:rsidRPr="0083763F" w:rsidRDefault="002E1DDC" w:rsidP="00AF56C0">
            <w:pPr>
              <w:widowControl w:val="0"/>
              <w:rPr>
                <w:b/>
                <w:sz w:val="20"/>
                <w:szCs w:val="20"/>
                <w:lang w:val="uk-UA"/>
              </w:rPr>
            </w:pPr>
            <w:r w:rsidRPr="0083763F">
              <w:rPr>
                <w:b/>
                <w:sz w:val="20"/>
                <w:szCs w:val="20"/>
                <w:lang w:val="uk-UA"/>
              </w:rPr>
              <w:t>№ п/п</w:t>
            </w:r>
          </w:p>
        </w:tc>
        <w:tc>
          <w:tcPr>
            <w:tcW w:w="25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1DDC" w:rsidRPr="0083763F" w:rsidRDefault="002E1DDC" w:rsidP="00AF56C0">
            <w:pPr>
              <w:widowControl w:val="0"/>
              <w:jc w:val="center"/>
              <w:rPr>
                <w:b/>
                <w:sz w:val="20"/>
                <w:szCs w:val="20"/>
                <w:lang w:val="uk-UA"/>
              </w:rPr>
            </w:pPr>
            <w:r w:rsidRPr="0083763F">
              <w:rPr>
                <w:b/>
                <w:sz w:val="20"/>
                <w:szCs w:val="20"/>
                <w:lang w:val="uk-UA"/>
              </w:rPr>
              <w:t xml:space="preserve">Найменування </w:t>
            </w:r>
          </w:p>
          <w:p w:rsidR="002E1DDC" w:rsidRPr="0083763F" w:rsidRDefault="002E1DDC" w:rsidP="00AF56C0">
            <w:pPr>
              <w:widowControl w:val="0"/>
              <w:jc w:val="center"/>
              <w:rPr>
                <w:b/>
                <w:sz w:val="20"/>
                <w:szCs w:val="20"/>
                <w:lang w:val="uk-UA"/>
              </w:rPr>
            </w:pPr>
            <w:r w:rsidRPr="0083763F">
              <w:rPr>
                <w:b/>
                <w:sz w:val="20"/>
                <w:szCs w:val="20"/>
                <w:lang w:val="uk-UA"/>
              </w:rPr>
              <w:t>Товару</w:t>
            </w:r>
          </w:p>
          <w:p w:rsidR="002E1DDC" w:rsidRPr="0083763F" w:rsidRDefault="002E1DDC" w:rsidP="00AF56C0">
            <w:pPr>
              <w:widowControl w:val="0"/>
              <w:jc w:val="center"/>
              <w:rPr>
                <w:b/>
                <w:sz w:val="20"/>
                <w:szCs w:val="20"/>
                <w:lang w:val="uk-UA"/>
              </w:rPr>
            </w:pPr>
          </w:p>
        </w:tc>
        <w:tc>
          <w:tcPr>
            <w:tcW w:w="8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E1DDC" w:rsidRPr="0083763F" w:rsidRDefault="002E1DDC" w:rsidP="00AF56C0">
            <w:pPr>
              <w:widowControl w:val="0"/>
              <w:jc w:val="center"/>
              <w:rPr>
                <w:b/>
                <w:sz w:val="20"/>
                <w:szCs w:val="20"/>
                <w:lang w:val="uk-UA"/>
              </w:rPr>
            </w:pPr>
            <w:r w:rsidRPr="0083763F">
              <w:rPr>
                <w:b/>
                <w:sz w:val="20"/>
                <w:szCs w:val="20"/>
                <w:lang w:val="uk-UA"/>
              </w:rPr>
              <w:t>Одиниця</w:t>
            </w:r>
          </w:p>
          <w:p w:rsidR="002E1DDC" w:rsidRPr="0083763F" w:rsidRDefault="002E1DDC" w:rsidP="00AF56C0">
            <w:pPr>
              <w:widowControl w:val="0"/>
              <w:jc w:val="center"/>
              <w:rPr>
                <w:b/>
                <w:sz w:val="20"/>
                <w:szCs w:val="20"/>
                <w:lang w:val="uk-UA"/>
              </w:rPr>
            </w:pPr>
            <w:r w:rsidRPr="0083763F">
              <w:rPr>
                <w:b/>
                <w:sz w:val="20"/>
                <w:szCs w:val="20"/>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1DDC" w:rsidRPr="0083763F" w:rsidRDefault="002E1DDC" w:rsidP="00AF56C0">
            <w:pPr>
              <w:widowControl w:val="0"/>
              <w:jc w:val="center"/>
              <w:rPr>
                <w:b/>
                <w:sz w:val="20"/>
                <w:szCs w:val="20"/>
                <w:lang w:val="uk-UA"/>
              </w:rPr>
            </w:pPr>
            <w:r w:rsidRPr="0083763F">
              <w:rPr>
                <w:b/>
                <w:sz w:val="20"/>
                <w:szCs w:val="20"/>
                <w:lang w:val="uk-UA"/>
              </w:rPr>
              <w:t>Кількість</w:t>
            </w:r>
          </w:p>
          <w:p w:rsidR="002E1DDC" w:rsidRPr="0083763F" w:rsidRDefault="002E1DDC" w:rsidP="00AF56C0">
            <w:pPr>
              <w:widowControl w:val="0"/>
              <w:jc w:val="center"/>
              <w:rPr>
                <w:b/>
                <w:sz w:val="20"/>
                <w:szCs w:val="20"/>
                <w:lang w:val="uk-UA"/>
              </w:rPr>
            </w:pPr>
          </w:p>
        </w:tc>
        <w:tc>
          <w:tcPr>
            <w:tcW w:w="39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E1DDC" w:rsidRPr="0083763F" w:rsidRDefault="002E1DDC" w:rsidP="00AF56C0">
            <w:pPr>
              <w:widowControl w:val="0"/>
              <w:jc w:val="center"/>
              <w:rPr>
                <w:b/>
                <w:i/>
                <w:sz w:val="20"/>
                <w:szCs w:val="20"/>
                <w:lang w:val="uk-UA"/>
              </w:rPr>
            </w:pPr>
            <w:r w:rsidRPr="0083763F">
              <w:rPr>
                <w:b/>
                <w:sz w:val="22"/>
                <w:szCs w:val="22"/>
                <w:lang w:val="uk-UA"/>
              </w:rPr>
              <w:t>Технічні та якісні характеристики предмета закупівлі</w:t>
            </w:r>
          </w:p>
        </w:tc>
        <w:tc>
          <w:tcPr>
            <w:tcW w:w="1363" w:type="dxa"/>
            <w:shd w:val="clear" w:color="auto" w:fill="DEEAF6" w:themeFill="accent1" w:themeFillTint="33"/>
            <w:vAlign w:val="center"/>
            <w:hideMark/>
          </w:tcPr>
          <w:p w:rsidR="002E1DDC" w:rsidRPr="00CA5836" w:rsidRDefault="002E1DDC" w:rsidP="00AF56C0">
            <w:pPr>
              <w:keepLines/>
              <w:jc w:val="center"/>
              <w:rPr>
                <w:b/>
                <w:noProof/>
                <w:sz w:val="22"/>
                <w:szCs w:val="22"/>
              </w:rPr>
            </w:pPr>
            <w:r w:rsidRPr="00CA5836">
              <w:rPr>
                <w:b/>
                <w:noProof/>
                <w:sz w:val="22"/>
                <w:szCs w:val="22"/>
              </w:rPr>
              <w:t>Вимоги до фасування, тари та маркування</w:t>
            </w:r>
          </w:p>
        </w:tc>
      </w:tr>
      <w:tr w:rsidR="002E1DDC" w:rsidRPr="0083763F" w:rsidTr="00AF56C0">
        <w:trPr>
          <w:trHeight w:val="335"/>
        </w:trPr>
        <w:tc>
          <w:tcPr>
            <w:tcW w:w="758" w:type="dxa"/>
            <w:tcBorders>
              <w:top w:val="single" w:sz="4" w:space="0" w:color="auto"/>
              <w:left w:val="single" w:sz="4" w:space="0" w:color="auto"/>
              <w:bottom w:val="single" w:sz="4" w:space="0" w:color="auto"/>
              <w:right w:val="single" w:sz="4" w:space="0" w:color="auto"/>
            </w:tcBorders>
            <w:hideMark/>
          </w:tcPr>
          <w:p w:rsidR="002E1DDC" w:rsidRPr="0083763F" w:rsidRDefault="002E1DDC" w:rsidP="00AF56C0">
            <w:pPr>
              <w:widowControl w:val="0"/>
              <w:rPr>
                <w:sz w:val="20"/>
                <w:szCs w:val="20"/>
                <w:lang w:val="uk-UA"/>
              </w:rPr>
            </w:pPr>
            <w:r w:rsidRPr="0083763F">
              <w:rPr>
                <w:sz w:val="20"/>
                <w:szCs w:val="20"/>
                <w:lang w:val="uk-UA"/>
              </w:rPr>
              <w:t>1</w:t>
            </w:r>
          </w:p>
        </w:tc>
        <w:tc>
          <w:tcPr>
            <w:tcW w:w="2570" w:type="dxa"/>
            <w:hideMark/>
          </w:tcPr>
          <w:p w:rsidR="002E1DDC" w:rsidRPr="00CA5836" w:rsidRDefault="002E1DDC" w:rsidP="00AF56C0">
            <w:pPr>
              <w:keepLines/>
              <w:jc w:val="center"/>
              <w:rPr>
                <w:noProof/>
                <w:sz w:val="22"/>
                <w:szCs w:val="22"/>
              </w:rPr>
            </w:pPr>
            <w:r w:rsidRPr="00CA5836">
              <w:rPr>
                <w:noProof/>
                <w:sz w:val="22"/>
                <w:szCs w:val="22"/>
              </w:rPr>
              <w:t>Реагент антиожеледний гранульований на основі форміату натрію</w:t>
            </w:r>
          </w:p>
        </w:tc>
        <w:tc>
          <w:tcPr>
            <w:tcW w:w="854" w:type="dxa"/>
          </w:tcPr>
          <w:p w:rsidR="002E1DDC" w:rsidRPr="00CA5836" w:rsidRDefault="002E1DDC" w:rsidP="00AF56C0">
            <w:pPr>
              <w:keepLines/>
              <w:jc w:val="center"/>
              <w:rPr>
                <w:noProof/>
                <w:sz w:val="22"/>
                <w:szCs w:val="22"/>
              </w:rPr>
            </w:pPr>
            <w:r w:rsidRPr="00CA5836">
              <w:rPr>
                <w:noProof/>
                <w:sz w:val="22"/>
                <w:szCs w:val="22"/>
              </w:rPr>
              <w:t>т</w:t>
            </w:r>
          </w:p>
        </w:tc>
        <w:tc>
          <w:tcPr>
            <w:tcW w:w="862" w:type="dxa"/>
          </w:tcPr>
          <w:p w:rsidR="002E1DDC" w:rsidRPr="00CA5836" w:rsidRDefault="002E1DDC" w:rsidP="00AF56C0">
            <w:pPr>
              <w:keepLines/>
              <w:jc w:val="center"/>
              <w:rPr>
                <w:noProof/>
                <w:sz w:val="22"/>
                <w:szCs w:val="22"/>
              </w:rPr>
            </w:pPr>
            <w:r w:rsidRPr="00CA5836">
              <w:rPr>
                <w:noProof/>
                <w:sz w:val="22"/>
                <w:szCs w:val="22"/>
              </w:rPr>
              <w:t>640</w:t>
            </w:r>
          </w:p>
        </w:tc>
        <w:tc>
          <w:tcPr>
            <w:tcW w:w="3954" w:type="dxa"/>
          </w:tcPr>
          <w:p w:rsidR="002E1DDC" w:rsidRPr="00CA5836" w:rsidRDefault="002E1DDC" w:rsidP="00AF56C0">
            <w:pPr>
              <w:keepLines/>
              <w:jc w:val="both"/>
              <w:rPr>
                <w:noProof/>
                <w:sz w:val="22"/>
                <w:szCs w:val="22"/>
              </w:rPr>
            </w:pPr>
            <w:r w:rsidRPr="00CA5836">
              <w:rPr>
                <w:noProof/>
                <w:sz w:val="22"/>
                <w:szCs w:val="22"/>
              </w:rPr>
              <w:t>- Зовнішній вигляд (форма) -гранули білого або жовтуватого кольору;</w:t>
            </w:r>
          </w:p>
          <w:p w:rsidR="002E1DDC" w:rsidRPr="00CA5836" w:rsidRDefault="002E1DDC" w:rsidP="00AF56C0">
            <w:pPr>
              <w:keepLines/>
              <w:jc w:val="both"/>
              <w:rPr>
                <w:noProof/>
                <w:sz w:val="22"/>
                <w:szCs w:val="22"/>
              </w:rPr>
            </w:pPr>
            <w:r w:rsidRPr="00CA5836">
              <w:rPr>
                <w:noProof/>
                <w:sz w:val="22"/>
                <w:szCs w:val="22"/>
              </w:rPr>
              <w:t>- Хімічний склад реагенту – форміат натрію з інгібіторами корозії;</w:t>
            </w:r>
          </w:p>
          <w:p w:rsidR="002E1DDC" w:rsidRPr="00CA5836" w:rsidRDefault="002E1DDC" w:rsidP="00AF56C0">
            <w:pPr>
              <w:keepLines/>
              <w:jc w:val="both"/>
              <w:rPr>
                <w:i/>
                <w:noProof/>
                <w:color w:val="FF0000"/>
                <w:sz w:val="22"/>
                <w:szCs w:val="22"/>
              </w:rPr>
            </w:pPr>
            <w:r w:rsidRPr="00CA5836">
              <w:rPr>
                <w:noProof/>
                <w:sz w:val="22"/>
                <w:szCs w:val="22"/>
              </w:rPr>
              <w:t>- Масова доля форміату натрію – не менше 97%;</w:t>
            </w:r>
          </w:p>
          <w:p w:rsidR="002E1DDC" w:rsidRPr="00CA5836" w:rsidRDefault="002E1DDC" w:rsidP="00AF56C0">
            <w:pPr>
              <w:keepLines/>
              <w:jc w:val="both"/>
              <w:rPr>
                <w:i/>
                <w:noProof/>
                <w:color w:val="FF0000"/>
                <w:sz w:val="22"/>
                <w:szCs w:val="22"/>
              </w:rPr>
            </w:pPr>
            <w:r w:rsidRPr="00CA5836">
              <w:rPr>
                <w:noProof/>
                <w:color w:val="000000"/>
                <w:sz w:val="22"/>
                <w:szCs w:val="22"/>
              </w:rPr>
              <w:t>- рН 15% розчину за масою (з урахуванням вмісту вологи у гранулі) - 9,5 - 11,5</w:t>
            </w:r>
            <w:r w:rsidRPr="00CA5836">
              <w:rPr>
                <w:noProof/>
                <w:sz w:val="22"/>
                <w:szCs w:val="22"/>
              </w:rPr>
              <w:t>;</w:t>
            </w:r>
          </w:p>
          <w:p w:rsidR="002E1DDC" w:rsidRPr="00CA5836" w:rsidRDefault="002E1DDC" w:rsidP="00AF56C0">
            <w:pPr>
              <w:keepLines/>
              <w:jc w:val="both"/>
              <w:rPr>
                <w:i/>
                <w:noProof/>
                <w:color w:val="FF0000"/>
                <w:sz w:val="22"/>
                <w:szCs w:val="22"/>
              </w:rPr>
            </w:pPr>
            <w:r w:rsidRPr="00CA5836">
              <w:rPr>
                <w:noProof/>
                <w:sz w:val="22"/>
                <w:szCs w:val="22"/>
              </w:rPr>
              <w:t>- Розмір гранул – 1-6 мм;</w:t>
            </w:r>
          </w:p>
          <w:p w:rsidR="002E1DDC" w:rsidRDefault="002E1DDC" w:rsidP="00AF56C0">
            <w:pPr>
              <w:keepLines/>
              <w:jc w:val="both"/>
              <w:rPr>
                <w:noProof/>
                <w:sz w:val="22"/>
                <w:szCs w:val="22"/>
              </w:rPr>
            </w:pPr>
            <w:r w:rsidRPr="00CA5836">
              <w:rPr>
                <w:noProof/>
                <w:sz w:val="22"/>
                <w:szCs w:val="22"/>
              </w:rPr>
              <w:t>- Розсипчатість 100%.</w:t>
            </w:r>
          </w:p>
          <w:p w:rsidR="002E1DDC" w:rsidRDefault="002E1DDC" w:rsidP="00AF56C0">
            <w:pPr>
              <w:keepLines/>
              <w:jc w:val="both"/>
              <w:rPr>
                <w:noProof/>
                <w:sz w:val="22"/>
                <w:szCs w:val="22"/>
              </w:rPr>
            </w:pPr>
          </w:p>
          <w:p w:rsidR="002E1DDC" w:rsidRDefault="002E1DDC" w:rsidP="00AF56C0">
            <w:pPr>
              <w:keepLines/>
              <w:jc w:val="both"/>
              <w:rPr>
                <w:b/>
                <w:sz w:val="22"/>
                <w:szCs w:val="22"/>
                <w:lang w:val="uk-UA"/>
              </w:rPr>
            </w:pPr>
            <w:r w:rsidRPr="002D4B16">
              <w:rPr>
                <w:b/>
                <w:sz w:val="22"/>
                <w:szCs w:val="22"/>
                <w:lang w:val="uk-UA"/>
              </w:rPr>
              <w:t>Документ, згідно якого виготовляється Товар / якому відповідає Товар</w:t>
            </w:r>
          </w:p>
          <w:p w:rsidR="002E1DDC" w:rsidRPr="00CA5836" w:rsidRDefault="002E1DDC" w:rsidP="00AF56C0">
            <w:pPr>
              <w:keepLines/>
              <w:jc w:val="center"/>
              <w:rPr>
                <w:noProof/>
                <w:sz w:val="22"/>
                <w:szCs w:val="22"/>
              </w:rPr>
            </w:pPr>
            <w:r w:rsidRPr="002D4B16">
              <w:rPr>
                <w:sz w:val="22"/>
                <w:szCs w:val="22"/>
                <w:lang w:val="uk-UA"/>
              </w:rPr>
              <w:t>AMS 1431 Е</w:t>
            </w:r>
          </w:p>
        </w:tc>
        <w:tc>
          <w:tcPr>
            <w:tcW w:w="1363" w:type="dxa"/>
          </w:tcPr>
          <w:p w:rsidR="002E1DDC" w:rsidRPr="00CA5836" w:rsidRDefault="002E1DDC" w:rsidP="00AF56C0">
            <w:pPr>
              <w:keepLines/>
              <w:jc w:val="center"/>
              <w:rPr>
                <w:noProof/>
                <w:sz w:val="22"/>
                <w:szCs w:val="22"/>
              </w:rPr>
            </w:pPr>
            <w:r w:rsidRPr="00CA5836">
              <w:rPr>
                <w:noProof/>
                <w:sz w:val="22"/>
                <w:szCs w:val="22"/>
              </w:rPr>
              <w:t>Мішки по 1000 кг на палетах</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bookmarkStart w:id="0" w:name="_GoBack"/>
      <w:bookmarkEnd w:id="0"/>
    </w:p>
    <w:sectPr w:rsidR="00A256E7"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99" w:rsidRDefault="00AC2699">
      <w:r>
        <w:separator/>
      </w:r>
    </w:p>
  </w:endnote>
  <w:endnote w:type="continuationSeparator" w:id="0">
    <w:p w:rsidR="00AC2699" w:rsidRDefault="00A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B71E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0575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83FD6">
      <w:rPr>
        <w:sz w:val="20"/>
        <w:szCs w:val="20"/>
        <w:lang w:val="uk-UA"/>
      </w:rPr>
      <w:t xml:space="preserve">Реагент </w:t>
    </w:r>
    <w:proofErr w:type="spellStart"/>
    <w:r w:rsidR="00D83FD6">
      <w:rPr>
        <w:sz w:val="20"/>
        <w:szCs w:val="20"/>
        <w:lang w:val="uk-UA"/>
      </w:rPr>
      <w:t>антиожеледний</w:t>
    </w:r>
    <w:proofErr w:type="spellEnd"/>
    <w:r w:rsidR="00D83FD6">
      <w:rPr>
        <w:sz w:val="20"/>
        <w:szCs w:val="20"/>
        <w:lang w:val="uk-UA"/>
      </w:rPr>
      <w:t xml:space="preserve"> гранульований на основі форміату натрію, код ДК 021:2015 - 24950000-8 - Спеціалізована хімічна продукція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E1DD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E1DDC">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99" w:rsidRDefault="00AC2699">
      <w:r>
        <w:separator/>
      </w:r>
    </w:p>
  </w:footnote>
  <w:footnote w:type="continuationSeparator" w:id="0">
    <w:p w:rsidR="00AC2699" w:rsidRDefault="00AC2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B71E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BADF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1DDC"/>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B71EC"/>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699"/>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3F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BC680"/>
  <w15:chartTrackingRefBased/>
  <w15:docId w15:val="{65C377FE-40E9-42EB-A242-3A5109E2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esspo.lt" TargetMode="External"/><Relationship Id="rId4" Type="http://schemas.openxmlformats.org/officeDocument/2006/relationships/settings" Target="settings.xml"/><Relationship Id="rId9" Type="http://schemas.openxmlformats.org/officeDocument/2006/relationships/hyperlink" Target="mailto:info@aviaoil.com.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2673-1E83-4C3F-AD8A-113EBC2B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2629</Words>
  <Characters>1499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2023-02-02T14:40:00Z</dcterms:created>
  <dcterms:modified xsi:type="dcterms:W3CDTF">2023-02-02T14:48:00Z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