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E449E"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E0375A" w:rsidRDefault="003C4B6B" w:rsidP="0063471D">
      <w:pPr>
        <w:pStyle w:val="a3"/>
        <w:widowControl w:val="0"/>
        <w:jc w:val="both"/>
        <w:rPr>
          <w:sz w:val="24"/>
          <w:szCs w:val="24"/>
          <w:lang w:val="uk-UA"/>
        </w:rPr>
      </w:pPr>
      <w:r w:rsidRPr="00E0375A">
        <w:rPr>
          <w:sz w:val="24"/>
          <w:szCs w:val="24"/>
          <w:lang w:val="uk-UA"/>
        </w:rPr>
        <w:t xml:space="preserve">Підстава: </w:t>
      </w:r>
      <w:r w:rsidR="007D7B6F" w:rsidRPr="00E0375A">
        <w:rPr>
          <w:sz w:val="24"/>
          <w:szCs w:val="24"/>
          <w:lang w:val="uk-UA"/>
        </w:rPr>
        <w:t>пункт 4-1 постанови Кабінету Міністр</w:t>
      </w:r>
      <w:r w:rsidR="00E0375A" w:rsidRPr="00E0375A">
        <w:rPr>
          <w:sz w:val="24"/>
          <w:szCs w:val="24"/>
          <w:lang w:val="uk-UA"/>
        </w:rPr>
        <w:t>ів України від 11 жовтня 2016 року</w:t>
      </w:r>
      <w:r w:rsidR="007D7B6F" w:rsidRPr="00E0375A">
        <w:rPr>
          <w:sz w:val="24"/>
          <w:szCs w:val="24"/>
          <w:lang w:val="uk-UA"/>
        </w:rPr>
        <w:t xml:space="preserve"> № 710 «Про ефективне використання державних коштів» </w:t>
      </w:r>
    </w:p>
    <w:p w:rsidR="009F35DC" w:rsidRPr="00E0375A" w:rsidRDefault="009F35DC" w:rsidP="00440A74">
      <w:pPr>
        <w:widowControl w:val="0"/>
        <w:shd w:val="clear" w:color="auto" w:fill="FFFFFF"/>
        <w:ind w:firstLine="708"/>
        <w:contextualSpacing/>
        <w:jc w:val="both"/>
        <w:rPr>
          <w:lang w:val="uk-UA"/>
        </w:rPr>
      </w:pPr>
    </w:p>
    <w:tbl>
      <w:tblPr>
        <w:tblW w:w="495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3"/>
        <w:gridCol w:w="1888"/>
        <w:gridCol w:w="2194"/>
        <w:gridCol w:w="1986"/>
      </w:tblGrid>
      <w:tr w:rsidR="00A76484" w:rsidRPr="00E0375A" w:rsidTr="00E0375A">
        <w:tc>
          <w:tcPr>
            <w:tcW w:w="482" w:type="pct"/>
            <w:shd w:val="clear" w:color="auto" w:fill="DEEAF6"/>
          </w:tcPr>
          <w:p w:rsidR="00A76484" w:rsidRPr="00E0375A" w:rsidRDefault="00A76484" w:rsidP="002D4D30">
            <w:pPr>
              <w:widowControl w:val="0"/>
              <w:contextualSpacing/>
              <w:jc w:val="center"/>
              <w:rPr>
                <w:b/>
                <w:lang w:val="uk-UA"/>
              </w:rPr>
            </w:pPr>
            <w:r w:rsidRPr="00E0375A">
              <w:rPr>
                <w:b/>
                <w:lang w:val="uk-UA"/>
              </w:rPr>
              <w:t>Пункт Кошторису</w:t>
            </w:r>
          </w:p>
        </w:tc>
        <w:tc>
          <w:tcPr>
            <w:tcW w:w="1509" w:type="pct"/>
            <w:shd w:val="clear" w:color="auto" w:fill="DEEAF6"/>
          </w:tcPr>
          <w:p w:rsidR="00A76484" w:rsidRPr="00E0375A" w:rsidRDefault="00A76484" w:rsidP="002D4D30">
            <w:pPr>
              <w:widowControl w:val="0"/>
              <w:contextualSpacing/>
              <w:jc w:val="center"/>
              <w:rPr>
                <w:b/>
                <w:lang w:val="uk-UA"/>
              </w:rPr>
            </w:pPr>
            <w:r w:rsidRPr="00E0375A">
              <w:rPr>
                <w:b/>
                <w:lang w:val="uk-UA"/>
              </w:rPr>
              <w:t>Назва предмета закупівлі із зазначенням коду за Єдиним закупівельним словником</w:t>
            </w:r>
          </w:p>
        </w:tc>
        <w:tc>
          <w:tcPr>
            <w:tcW w:w="936" w:type="pct"/>
            <w:shd w:val="clear" w:color="auto" w:fill="DEEAF6"/>
          </w:tcPr>
          <w:p w:rsidR="00A76484" w:rsidRPr="00E0375A" w:rsidRDefault="00A76484" w:rsidP="00DB2D70">
            <w:pPr>
              <w:widowControl w:val="0"/>
              <w:contextualSpacing/>
              <w:jc w:val="center"/>
              <w:rPr>
                <w:b/>
                <w:lang w:val="uk-UA"/>
              </w:rPr>
            </w:pPr>
            <w:r w:rsidRPr="00E0375A">
              <w:rPr>
                <w:b/>
                <w:lang w:val="uk-UA"/>
              </w:rPr>
              <w:t>Очікувана варт</w:t>
            </w:r>
            <w:r w:rsidR="00DB2D70" w:rsidRPr="00E0375A">
              <w:rPr>
                <w:b/>
                <w:lang w:val="uk-UA"/>
              </w:rPr>
              <w:t>ість предмета закупівлі згідно р</w:t>
            </w:r>
            <w:r w:rsidRPr="00E0375A">
              <w:rPr>
                <w:b/>
                <w:lang w:val="uk-UA"/>
              </w:rPr>
              <w:t xml:space="preserve">ічного плану </w:t>
            </w:r>
            <w:proofErr w:type="spellStart"/>
            <w:r w:rsidRPr="00E0375A">
              <w:rPr>
                <w:b/>
                <w:lang w:val="uk-UA"/>
              </w:rPr>
              <w:t>закупівель</w:t>
            </w:r>
            <w:proofErr w:type="spellEnd"/>
          </w:p>
        </w:tc>
        <w:tc>
          <w:tcPr>
            <w:tcW w:w="1088" w:type="pct"/>
            <w:shd w:val="clear" w:color="auto" w:fill="DEEAF6"/>
          </w:tcPr>
          <w:p w:rsidR="00A76484" w:rsidRPr="00E0375A" w:rsidRDefault="00A76484" w:rsidP="002D4D30">
            <w:pPr>
              <w:widowControl w:val="0"/>
              <w:contextualSpacing/>
              <w:jc w:val="center"/>
              <w:rPr>
                <w:b/>
                <w:lang w:val="uk-UA"/>
              </w:rPr>
            </w:pPr>
            <w:r w:rsidRPr="00E0375A">
              <w:rPr>
                <w:b/>
                <w:lang w:val="uk-UA"/>
              </w:rPr>
              <w:t>Очікувана вартість предмета закупівлі згідно ОГОЛОШЕННЯ про проведення відкритих торгів</w:t>
            </w:r>
          </w:p>
        </w:tc>
        <w:tc>
          <w:tcPr>
            <w:tcW w:w="985" w:type="pct"/>
            <w:shd w:val="clear" w:color="auto" w:fill="DEEAF6"/>
          </w:tcPr>
          <w:p w:rsidR="00A76484" w:rsidRPr="00E0375A" w:rsidRDefault="00A355EA" w:rsidP="002D4D30">
            <w:pPr>
              <w:widowControl w:val="0"/>
              <w:contextualSpacing/>
              <w:jc w:val="center"/>
              <w:rPr>
                <w:b/>
                <w:lang w:val="uk-UA"/>
              </w:rPr>
            </w:pPr>
            <w:r w:rsidRPr="00E0375A">
              <w:rPr>
                <w:b/>
                <w:lang w:val="uk-UA"/>
              </w:rPr>
              <w:t>Ідентифікатор процедури закупівлі</w:t>
            </w:r>
          </w:p>
        </w:tc>
      </w:tr>
      <w:tr w:rsidR="00E0375A" w:rsidRPr="00E0375A" w:rsidTr="00E0375A">
        <w:tc>
          <w:tcPr>
            <w:tcW w:w="482" w:type="pct"/>
          </w:tcPr>
          <w:p w:rsidR="00E0375A" w:rsidRPr="00E0375A" w:rsidRDefault="00E0375A" w:rsidP="00E0375A">
            <w:pPr>
              <w:widowControl w:val="0"/>
              <w:ind w:right="-11"/>
              <w:jc w:val="center"/>
              <w:rPr>
                <w:lang w:val="uk-UA" w:eastAsia="uk-UA"/>
              </w:rPr>
            </w:pPr>
            <w:r w:rsidRPr="00E0375A">
              <w:rPr>
                <w:lang w:val="uk-UA"/>
              </w:rPr>
              <w:t xml:space="preserve">4.15.5 </w:t>
            </w:r>
            <w:r w:rsidRPr="00E0375A">
              <w:rPr>
                <w:lang w:val="uk-UA" w:eastAsia="uk-UA"/>
              </w:rPr>
              <w:t>(2023)</w:t>
            </w:r>
          </w:p>
        </w:tc>
        <w:tc>
          <w:tcPr>
            <w:tcW w:w="1509" w:type="pct"/>
          </w:tcPr>
          <w:p w:rsidR="00E0375A" w:rsidRPr="00E0375A" w:rsidRDefault="00E0375A" w:rsidP="00E0375A">
            <w:pPr>
              <w:widowControl w:val="0"/>
              <w:rPr>
                <w:bCs/>
                <w:lang w:val="uk-UA"/>
              </w:rPr>
            </w:pPr>
            <w:r w:rsidRPr="00E0375A">
              <w:rPr>
                <w:b/>
                <w:lang w:val="uk-UA"/>
              </w:rPr>
              <w:t xml:space="preserve">Бетон, </w:t>
            </w:r>
            <w:r w:rsidRPr="00E0375A">
              <w:rPr>
                <w:lang w:val="uk-UA"/>
              </w:rPr>
              <w:t xml:space="preserve">код ДК 021:2015 - 44110000-4 - Конструкційні матеріали </w:t>
            </w:r>
          </w:p>
        </w:tc>
        <w:tc>
          <w:tcPr>
            <w:tcW w:w="936" w:type="pct"/>
          </w:tcPr>
          <w:p w:rsidR="00E0375A" w:rsidRPr="00E0375A" w:rsidRDefault="00E0375A" w:rsidP="00E0375A">
            <w:pPr>
              <w:widowControl w:val="0"/>
              <w:jc w:val="center"/>
              <w:rPr>
                <w:lang w:val="uk-UA"/>
              </w:rPr>
            </w:pPr>
            <w:r w:rsidRPr="00E0375A">
              <w:rPr>
                <w:lang w:val="uk-UA"/>
              </w:rPr>
              <w:t xml:space="preserve">91 026,00 </w:t>
            </w:r>
          </w:p>
          <w:p w:rsidR="00E0375A" w:rsidRPr="00E0375A" w:rsidRDefault="00E0375A" w:rsidP="00E0375A">
            <w:pPr>
              <w:widowControl w:val="0"/>
              <w:jc w:val="center"/>
              <w:rPr>
                <w:lang w:val="uk-UA"/>
              </w:rPr>
            </w:pPr>
            <w:r w:rsidRPr="00E0375A">
              <w:rPr>
                <w:lang w:val="uk-UA"/>
              </w:rPr>
              <w:t>грн. з ПДВ</w:t>
            </w:r>
          </w:p>
        </w:tc>
        <w:tc>
          <w:tcPr>
            <w:tcW w:w="1088" w:type="pct"/>
          </w:tcPr>
          <w:p w:rsidR="00E0375A" w:rsidRPr="00E0375A" w:rsidRDefault="00E0375A" w:rsidP="00E0375A">
            <w:pPr>
              <w:widowControl w:val="0"/>
              <w:jc w:val="center"/>
              <w:rPr>
                <w:lang w:val="uk-UA"/>
              </w:rPr>
            </w:pPr>
            <w:r w:rsidRPr="00E0375A">
              <w:rPr>
                <w:lang w:val="uk-UA"/>
              </w:rPr>
              <w:t>75 855,00</w:t>
            </w:r>
          </w:p>
          <w:p w:rsidR="00E0375A" w:rsidRPr="00E0375A" w:rsidRDefault="00E0375A" w:rsidP="00E0375A">
            <w:pPr>
              <w:widowControl w:val="0"/>
              <w:jc w:val="center"/>
              <w:rPr>
                <w:lang w:val="uk-UA"/>
              </w:rPr>
            </w:pPr>
            <w:r w:rsidRPr="00E0375A">
              <w:rPr>
                <w:lang w:val="uk-UA"/>
              </w:rPr>
              <w:t xml:space="preserve">грн. без ПДВ </w:t>
            </w:r>
          </w:p>
        </w:tc>
        <w:tc>
          <w:tcPr>
            <w:tcW w:w="985" w:type="pct"/>
          </w:tcPr>
          <w:p w:rsidR="00E0375A" w:rsidRPr="00E0375A" w:rsidRDefault="006538FD" w:rsidP="00E0375A">
            <w:pPr>
              <w:widowControl w:val="0"/>
              <w:jc w:val="center"/>
              <w:rPr>
                <w:color w:val="0000FF"/>
                <w:lang w:val="uk-UA"/>
              </w:rPr>
            </w:pPr>
            <w:r w:rsidRPr="006538FD">
              <w:rPr>
                <w:b/>
                <w:lang w:val="uk-UA"/>
              </w:rPr>
              <w:t>UA-2023-03-23-008374-a</w:t>
            </w:r>
            <w:bookmarkStart w:id="0" w:name="_GoBack"/>
            <w:bookmarkEnd w:id="0"/>
          </w:p>
        </w:tc>
      </w:tr>
    </w:tbl>
    <w:p w:rsidR="00A12478" w:rsidRPr="00E0375A" w:rsidRDefault="00A12478" w:rsidP="0063471D">
      <w:pPr>
        <w:pStyle w:val="a3"/>
        <w:widowControl w:val="0"/>
        <w:jc w:val="both"/>
        <w:rPr>
          <w:sz w:val="24"/>
          <w:szCs w:val="24"/>
          <w:lang w:val="uk-UA"/>
        </w:rPr>
      </w:pPr>
    </w:p>
    <w:p w:rsidR="00A355EA" w:rsidRPr="00E0375A" w:rsidRDefault="00A355EA" w:rsidP="00C62708">
      <w:pPr>
        <w:widowControl w:val="0"/>
        <w:shd w:val="clear" w:color="auto" w:fill="DEEAF6"/>
        <w:jc w:val="center"/>
        <w:rPr>
          <w:lang w:val="uk-UA"/>
        </w:rPr>
      </w:pPr>
      <w:r w:rsidRPr="00E0375A">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178"/>
        <w:gridCol w:w="7602"/>
      </w:tblGrid>
      <w:tr w:rsidR="006F428D" w:rsidRPr="00E0375A" w:rsidTr="00E0375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0375A" w:rsidRDefault="006F428D" w:rsidP="00C62708">
            <w:pPr>
              <w:rPr>
                <w:lang w:val="uk-UA"/>
              </w:rPr>
            </w:pPr>
            <w:r w:rsidRPr="00E0375A">
              <w:rPr>
                <w:lang w:val="uk-UA"/>
              </w:rPr>
              <w:t>1</w:t>
            </w:r>
          </w:p>
        </w:tc>
        <w:tc>
          <w:tcPr>
            <w:tcW w:w="21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0375A" w:rsidRDefault="006F428D" w:rsidP="00C62708">
            <w:pPr>
              <w:rPr>
                <w:lang w:val="uk-UA"/>
              </w:rPr>
            </w:pPr>
            <w:r w:rsidRPr="00E0375A">
              <w:rPr>
                <w:lang w:val="uk-UA"/>
              </w:rPr>
              <w:t>Обґрунтування технічних та якісних характеристик предмета закупівлі</w:t>
            </w:r>
          </w:p>
        </w:tc>
        <w:tc>
          <w:tcPr>
            <w:tcW w:w="76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0375A" w:rsidRPr="00E0375A" w:rsidRDefault="00E0375A" w:rsidP="00E0375A">
            <w:pPr>
              <w:pStyle w:val="Default"/>
              <w:jc w:val="both"/>
            </w:pPr>
            <w:r w:rsidRPr="00E0375A">
              <w:rPr>
                <w:b/>
                <w:bCs/>
                <w:i/>
                <w:iCs/>
              </w:rPr>
              <w:t xml:space="preserve">Визначення потреби в закупівлі: </w:t>
            </w:r>
            <w:r w:rsidRPr="00E0375A">
              <w:t xml:space="preserve">Закупівля товару зумовлена необхідністю ремонту бетонного покриття біля КПП, та бетонування </w:t>
            </w:r>
            <w:proofErr w:type="spellStart"/>
            <w:r w:rsidRPr="00E0375A">
              <w:t>периметрової</w:t>
            </w:r>
            <w:proofErr w:type="spellEnd"/>
            <w:r w:rsidRPr="00E0375A">
              <w:t xml:space="preserve"> огорожі. </w:t>
            </w:r>
          </w:p>
          <w:p w:rsidR="00E0375A" w:rsidRPr="00E0375A" w:rsidRDefault="00E0375A" w:rsidP="00E0375A">
            <w:pPr>
              <w:pStyle w:val="Default"/>
              <w:jc w:val="both"/>
            </w:pPr>
            <w:r w:rsidRPr="00E0375A">
              <w:rPr>
                <w:b/>
                <w:bCs/>
                <w:i/>
                <w:iCs/>
              </w:rPr>
              <w:t xml:space="preserve">Обґрунтування технічних та якісних характеристик предмета закупівлі: </w:t>
            </w:r>
            <w:r w:rsidRPr="00E0375A">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E0375A" w:rsidRDefault="00E0375A" w:rsidP="00E0375A">
            <w:pPr>
              <w:jc w:val="both"/>
              <w:rPr>
                <w:i/>
                <w:lang w:val="uk-UA"/>
              </w:rPr>
            </w:pPr>
            <w:proofErr w:type="spellStart"/>
            <w:r w:rsidRPr="00E0375A">
              <w:t>Замовник</w:t>
            </w:r>
            <w:proofErr w:type="spellEnd"/>
            <w:r w:rsidRPr="00E0375A">
              <w:t xml:space="preserve"> </w:t>
            </w:r>
            <w:proofErr w:type="spellStart"/>
            <w:r w:rsidRPr="00E0375A">
              <w:t>здійснює</w:t>
            </w:r>
            <w:proofErr w:type="spellEnd"/>
            <w:r w:rsidRPr="00E0375A">
              <w:t xml:space="preserve"> </w:t>
            </w:r>
            <w:proofErr w:type="spellStart"/>
            <w:r w:rsidRPr="00E0375A">
              <w:t>закупівлю</w:t>
            </w:r>
            <w:proofErr w:type="spellEnd"/>
            <w:r w:rsidRPr="00E0375A">
              <w:t xml:space="preserve"> </w:t>
            </w:r>
            <w:proofErr w:type="spellStart"/>
            <w:r w:rsidRPr="00E0375A">
              <w:t>даного</w:t>
            </w:r>
            <w:proofErr w:type="spellEnd"/>
            <w:r w:rsidRPr="00E0375A">
              <w:t xml:space="preserve"> товару, </w:t>
            </w:r>
            <w:proofErr w:type="spellStart"/>
            <w:r w:rsidRPr="00E0375A">
              <w:t>оскільки</w:t>
            </w:r>
            <w:proofErr w:type="spellEnd"/>
            <w:r w:rsidRPr="00E0375A">
              <w:t xml:space="preserve"> </w:t>
            </w:r>
            <w:proofErr w:type="spellStart"/>
            <w:r w:rsidRPr="00E0375A">
              <w:t>він</w:t>
            </w:r>
            <w:proofErr w:type="spellEnd"/>
            <w:r w:rsidRPr="00E0375A">
              <w:t xml:space="preserve"> за </w:t>
            </w:r>
            <w:proofErr w:type="spellStart"/>
            <w:r w:rsidRPr="00E0375A">
              <w:t>своїми</w:t>
            </w:r>
            <w:proofErr w:type="spellEnd"/>
            <w:r w:rsidRPr="00E0375A">
              <w:t xml:space="preserve"> </w:t>
            </w:r>
            <w:proofErr w:type="spellStart"/>
            <w:r w:rsidRPr="00E0375A">
              <w:t>якісними</w:t>
            </w:r>
            <w:proofErr w:type="spellEnd"/>
            <w:r w:rsidRPr="00E0375A">
              <w:t xml:space="preserve"> та </w:t>
            </w:r>
            <w:proofErr w:type="spellStart"/>
            <w:r w:rsidRPr="00E0375A">
              <w:t>технічними</w:t>
            </w:r>
            <w:proofErr w:type="spellEnd"/>
            <w:r w:rsidRPr="00E0375A">
              <w:t xml:space="preserve"> характеристиками </w:t>
            </w:r>
            <w:proofErr w:type="spellStart"/>
            <w:r w:rsidRPr="00E0375A">
              <w:t>найбільше</w:t>
            </w:r>
            <w:proofErr w:type="spellEnd"/>
            <w:r w:rsidRPr="00E0375A">
              <w:t xml:space="preserve"> </w:t>
            </w:r>
            <w:proofErr w:type="spellStart"/>
            <w:r w:rsidRPr="00E0375A">
              <w:t>відповідатиме</w:t>
            </w:r>
            <w:proofErr w:type="spellEnd"/>
            <w:r w:rsidRPr="00E0375A">
              <w:t xml:space="preserve"> </w:t>
            </w:r>
            <w:proofErr w:type="spellStart"/>
            <w:r w:rsidRPr="00E0375A">
              <w:t>вимогам</w:t>
            </w:r>
            <w:proofErr w:type="spellEnd"/>
            <w:r w:rsidRPr="00E0375A">
              <w:t xml:space="preserve"> та потребам </w:t>
            </w:r>
            <w:proofErr w:type="spellStart"/>
            <w:r w:rsidRPr="00E0375A">
              <w:t>замовника</w:t>
            </w:r>
            <w:proofErr w:type="spellEnd"/>
            <w:r w:rsidRPr="00E0375A">
              <w:t xml:space="preserve">. </w:t>
            </w:r>
          </w:p>
        </w:tc>
      </w:tr>
      <w:tr w:rsidR="006F428D" w:rsidRPr="00E0375A" w:rsidTr="00E0375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0375A" w:rsidRDefault="006F428D" w:rsidP="00C62708">
            <w:pPr>
              <w:rPr>
                <w:bCs/>
                <w:lang w:val="uk-UA"/>
              </w:rPr>
            </w:pPr>
            <w:r w:rsidRPr="00E0375A">
              <w:rPr>
                <w:bCs/>
                <w:lang w:val="uk-UA"/>
              </w:rPr>
              <w:t>2</w:t>
            </w:r>
          </w:p>
        </w:tc>
        <w:tc>
          <w:tcPr>
            <w:tcW w:w="21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0375A" w:rsidRDefault="006F428D" w:rsidP="00C62708">
            <w:pPr>
              <w:rPr>
                <w:lang w:val="uk-UA"/>
              </w:rPr>
            </w:pPr>
            <w:r w:rsidRPr="00E0375A">
              <w:rPr>
                <w:lang w:val="uk-UA"/>
              </w:rPr>
              <w:t>Обґрунтування очікуваної вартості предмета закупівлі</w:t>
            </w:r>
          </w:p>
        </w:tc>
        <w:tc>
          <w:tcPr>
            <w:tcW w:w="76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0375A" w:rsidRPr="00E0375A" w:rsidRDefault="00E0375A" w:rsidP="00E0375A">
            <w:pPr>
              <w:jc w:val="both"/>
              <w:rPr>
                <w:lang w:val="uk-UA"/>
              </w:rPr>
            </w:pPr>
            <w:r w:rsidRPr="00E0375A">
              <w:rPr>
                <w:b/>
                <w:bCs/>
                <w:i/>
                <w:iCs/>
                <w:color w:val="000000"/>
                <w:lang w:val="uk-UA" w:eastAsia="uk-UA"/>
              </w:rPr>
              <w:t>Обґрунтування очікуваної вартості предмета закупівлі</w:t>
            </w:r>
            <w:r w:rsidRPr="00E0375A">
              <w:rPr>
                <w:i/>
                <w:lang w:val="uk-UA"/>
              </w:rPr>
              <w:t xml:space="preserve">: </w:t>
            </w:r>
            <w:r w:rsidRPr="00E0375A">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0375A">
              <w:rPr>
                <w:lang w:val="uk-UA"/>
              </w:rPr>
              <w:t>закупівель</w:t>
            </w:r>
            <w:proofErr w:type="spellEnd"/>
            <w:r w:rsidRPr="00E0375A">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E0375A" w:rsidRDefault="00E0375A" w:rsidP="00E0375A">
            <w:pPr>
              <w:jc w:val="both"/>
              <w:rPr>
                <w:i/>
                <w:lang w:val="uk-UA"/>
              </w:rPr>
            </w:pPr>
            <w:r w:rsidRPr="00E0375A">
              <w:rPr>
                <w:lang w:val="uk-UA"/>
              </w:rPr>
              <w:t>Розрахунок очікуваної вартості предмета закупівлі здійснено відповідно до Положення «Про порядок визначення очікуваної</w:t>
            </w:r>
            <w:r w:rsidRPr="00E0375A">
              <w:rPr>
                <w:i/>
                <w:lang w:val="uk-UA"/>
              </w:rPr>
              <w:t xml:space="preserve"> </w:t>
            </w:r>
            <w:r w:rsidRPr="00E0375A">
              <w:rPr>
                <w:lang w:val="uk-UA"/>
              </w:rPr>
              <w:t>вартості предмета закупівлі» від 17.05.2022 №50-06-1.</w:t>
            </w:r>
            <w:r w:rsidRPr="00E0375A">
              <w:t xml:space="preserve"> </w:t>
            </w:r>
            <w:r w:rsidRPr="00E0375A">
              <w:rPr>
                <w:b/>
                <w:bCs/>
                <w:i/>
                <w:iCs/>
                <w:color w:val="000000"/>
                <w:lang w:val="uk-UA" w:eastAsia="uk-UA"/>
              </w:rPr>
              <w:t>Обґрунтування обсягів закупівлі</w:t>
            </w:r>
            <w:r w:rsidRPr="00E0375A">
              <w:rPr>
                <w:i/>
                <w:lang w:val="uk-UA"/>
              </w:rPr>
              <w:t xml:space="preserve">: </w:t>
            </w:r>
            <w:r w:rsidRPr="00E0375A">
              <w:rPr>
                <w:lang w:val="uk-UA"/>
              </w:rPr>
              <w:t>Обсяги визначено відповідно до очікуваної потреби.</w:t>
            </w:r>
          </w:p>
        </w:tc>
      </w:tr>
      <w:tr w:rsidR="006F428D" w:rsidRPr="006538FD" w:rsidTr="00E0375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0375A" w:rsidRDefault="006F428D" w:rsidP="00C62708">
            <w:pPr>
              <w:rPr>
                <w:bCs/>
                <w:lang w:val="uk-UA"/>
              </w:rPr>
            </w:pPr>
            <w:r w:rsidRPr="00E0375A">
              <w:rPr>
                <w:bCs/>
                <w:lang w:val="uk-UA"/>
              </w:rPr>
              <w:lastRenderedPageBreak/>
              <w:t>3</w:t>
            </w:r>
          </w:p>
        </w:tc>
        <w:tc>
          <w:tcPr>
            <w:tcW w:w="217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E0375A" w:rsidRDefault="006F428D" w:rsidP="00C62708">
            <w:pPr>
              <w:rPr>
                <w:lang w:val="uk-UA"/>
              </w:rPr>
            </w:pPr>
            <w:r w:rsidRPr="00E0375A">
              <w:rPr>
                <w:lang w:val="uk-UA"/>
              </w:rPr>
              <w:t>Інша інформація</w:t>
            </w:r>
          </w:p>
        </w:tc>
        <w:tc>
          <w:tcPr>
            <w:tcW w:w="7602"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0375A" w:rsidRPr="00E0375A" w:rsidRDefault="00E0375A" w:rsidP="00E0375A">
            <w:pPr>
              <w:jc w:val="both"/>
              <w:rPr>
                <w:lang w:val="uk-UA"/>
              </w:rPr>
            </w:pPr>
            <w:r w:rsidRPr="00E0375A">
              <w:rPr>
                <w:lang w:val="uk-UA"/>
              </w:rPr>
              <w:t>Спосіб проведення моніторингу ринку</w:t>
            </w:r>
          </w:p>
          <w:p w:rsidR="00E0375A" w:rsidRPr="00E0375A" w:rsidRDefault="00E0375A" w:rsidP="00E0375A">
            <w:pPr>
              <w:jc w:val="both"/>
              <w:rPr>
                <w:lang w:val="uk-UA"/>
              </w:rPr>
            </w:pPr>
            <w:r w:rsidRPr="00E0375A">
              <w:rPr>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E0375A" w:rsidRPr="00E0375A" w:rsidRDefault="00E0375A" w:rsidP="00E0375A">
            <w:pPr>
              <w:jc w:val="both"/>
              <w:rPr>
                <w:lang w:val="uk-UA"/>
              </w:rPr>
            </w:pPr>
            <w:r w:rsidRPr="00E0375A">
              <w:rPr>
                <w:lang w:val="uk-UA"/>
              </w:rPr>
              <w:t>- Tender07042021@gmail.com ТОВ «</w:t>
            </w:r>
            <w:proofErr w:type="spellStart"/>
            <w:r w:rsidRPr="00E0375A">
              <w:rPr>
                <w:lang w:val="uk-UA"/>
              </w:rPr>
              <w:t>Хімімпекс</w:t>
            </w:r>
            <w:proofErr w:type="spellEnd"/>
            <w:r w:rsidRPr="00E0375A">
              <w:rPr>
                <w:lang w:val="uk-UA"/>
              </w:rPr>
              <w:t>»;</w:t>
            </w:r>
          </w:p>
          <w:p w:rsidR="00E0375A" w:rsidRPr="00E0375A" w:rsidRDefault="00E0375A" w:rsidP="00E0375A">
            <w:pPr>
              <w:jc w:val="both"/>
              <w:rPr>
                <w:lang w:val="uk-UA"/>
              </w:rPr>
            </w:pPr>
            <w:r w:rsidRPr="00E0375A">
              <w:rPr>
                <w:lang w:val="uk-UA"/>
              </w:rPr>
              <w:t>- Bteu2015@gmail.com ТОВ «Будівельні технології ЄС»;</w:t>
            </w:r>
          </w:p>
          <w:p w:rsidR="00E0375A" w:rsidRPr="00E0375A" w:rsidRDefault="00E0375A" w:rsidP="00E0375A">
            <w:pPr>
              <w:jc w:val="both"/>
              <w:rPr>
                <w:lang w:val="uk-UA"/>
              </w:rPr>
            </w:pPr>
            <w:r w:rsidRPr="00E0375A">
              <w:rPr>
                <w:lang w:val="uk-UA"/>
              </w:rPr>
              <w:t>- nvp.himprodukt@gmail.com ТОВ «НВП ХІМПРОДУКТ»;</w:t>
            </w:r>
          </w:p>
          <w:p w:rsidR="00E0375A" w:rsidRPr="00E0375A" w:rsidRDefault="00E0375A" w:rsidP="00E0375A">
            <w:pPr>
              <w:jc w:val="both"/>
              <w:rPr>
                <w:lang w:val="uk-UA"/>
              </w:rPr>
            </w:pPr>
            <w:r w:rsidRPr="00E0375A">
              <w:rPr>
                <w:lang w:val="uk-UA"/>
              </w:rPr>
              <w:t>- prombiznes@bigmir.net ТОВ «Торговий дім «</w:t>
            </w:r>
            <w:proofErr w:type="spellStart"/>
            <w:r w:rsidRPr="00E0375A">
              <w:rPr>
                <w:lang w:val="uk-UA"/>
              </w:rPr>
              <w:t>Промбізнес</w:t>
            </w:r>
            <w:proofErr w:type="spellEnd"/>
            <w:r w:rsidRPr="00E0375A">
              <w:rPr>
                <w:lang w:val="uk-UA"/>
              </w:rPr>
              <w:t>»;</w:t>
            </w:r>
          </w:p>
          <w:p w:rsidR="00E0375A" w:rsidRPr="00E0375A" w:rsidRDefault="00E0375A" w:rsidP="00E0375A">
            <w:pPr>
              <w:jc w:val="both"/>
              <w:rPr>
                <w:lang w:val="uk-UA"/>
              </w:rPr>
            </w:pPr>
            <w:r w:rsidRPr="00E0375A">
              <w:rPr>
                <w:lang w:val="uk-UA"/>
              </w:rPr>
              <w:t xml:space="preserve">- sales@ab-stolichny.com.ua ПрАТ «АБ Столичний»; - gospodar_tanya@ukr.net ТОВ «Підприємство ГОСПОДАР»; - supply@bzzbk.com.ua ТОВ Богуславський завод залізобетонних </w:t>
            </w:r>
            <w:proofErr w:type="spellStart"/>
            <w:r w:rsidRPr="00E0375A">
              <w:rPr>
                <w:lang w:val="uk-UA"/>
              </w:rPr>
              <w:t>конструкій</w:t>
            </w:r>
            <w:proofErr w:type="spellEnd"/>
            <w:r w:rsidRPr="00E0375A">
              <w:rPr>
                <w:lang w:val="uk-UA"/>
              </w:rPr>
              <w:t>»;</w:t>
            </w:r>
          </w:p>
          <w:p w:rsidR="00E0375A" w:rsidRPr="00E0375A" w:rsidRDefault="00E0375A" w:rsidP="00E0375A">
            <w:pPr>
              <w:jc w:val="both"/>
              <w:rPr>
                <w:lang w:val="uk-UA"/>
              </w:rPr>
            </w:pPr>
            <w:r w:rsidRPr="00E0375A">
              <w:rPr>
                <w:lang w:val="uk-UA"/>
              </w:rPr>
              <w:t>- sales@grandbeton.com.ua ТОВ «Гранд Бетон»;</w:t>
            </w:r>
          </w:p>
          <w:p w:rsidR="00E0375A" w:rsidRPr="00E0375A" w:rsidRDefault="00E0375A" w:rsidP="00E0375A">
            <w:pPr>
              <w:jc w:val="both"/>
              <w:rPr>
                <w:lang w:val="uk-UA"/>
              </w:rPr>
            </w:pPr>
            <w:r w:rsidRPr="00E0375A">
              <w:rPr>
                <w:lang w:val="uk-UA"/>
              </w:rPr>
              <w:t>- info@betonirpen.com.ua ТОВ «</w:t>
            </w:r>
            <w:proofErr w:type="spellStart"/>
            <w:r w:rsidRPr="00E0375A">
              <w:rPr>
                <w:lang w:val="uk-UA"/>
              </w:rPr>
              <w:t>Укрбутбетон</w:t>
            </w:r>
            <w:proofErr w:type="spellEnd"/>
            <w:r w:rsidRPr="00E0375A">
              <w:rPr>
                <w:lang w:val="uk-UA"/>
              </w:rPr>
              <w:t>»;</w:t>
            </w:r>
          </w:p>
          <w:p w:rsidR="00E0375A" w:rsidRPr="00E0375A" w:rsidRDefault="00E0375A" w:rsidP="00E0375A">
            <w:pPr>
              <w:jc w:val="both"/>
              <w:rPr>
                <w:lang w:val="uk-UA"/>
              </w:rPr>
            </w:pPr>
            <w:r w:rsidRPr="00E0375A">
              <w:rPr>
                <w:lang w:val="uk-UA"/>
              </w:rPr>
              <w:t>- info@carrotholding.com ТОВ «</w:t>
            </w:r>
            <w:proofErr w:type="spellStart"/>
            <w:r w:rsidRPr="00E0375A">
              <w:rPr>
                <w:lang w:val="uk-UA"/>
              </w:rPr>
              <w:t>Керрот</w:t>
            </w:r>
            <w:proofErr w:type="spellEnd"/>
            <w:r w:rsidRPr="00E0375A">
              <w:rPr>
                <w:lang w:val="uk-UA"/>
              </w:rPr>
              <w:t>»;</w:t>
            </w:r>
          </w:p>
          <w:p w:rsidR="00E0375A" w:rsidRPr="00E0375A" w:rsidRDefault="00E0375A" w:rsidP="00E0375A">
            <w:pPr>
              <w:jc w:val="both"/>
              <w:rPr>
                <w:lang w:val="uk-UA"/>
              </w:rPr>
            </w:pPr>
            <w:r w:rsidRPr="00E0375A">
              <w:rPr>
                <w:lang w:val="uk-UA"/>
              </w:rPr>
              <w:t>- smereka_vika@ukr.net ПП «СМЕРЕКА»; - zakazdci@gmail.com ТОВ «ДИ-СИ АЙ груп»;</w:t>
            </w:r>
          </w:p>
          <w:p w:rsidR="00E0375A" w:rsidRPr="00E0375A" w:rsidRDefault="00E0375A" w:rsidP="00E0375A">
            <w:pPr>
              <w:jc w:val="both"/>
              <w:rPr>
                <w:lang w:val="uk-UA"/>
              </w:rPr>
            </w:pPr>
            <w:r w:rsidRPr="00E0375A">
              <w:rPr>
                <w:lang w:val="uk-UA"/>
              </w:rPr>
              <w:t>- info@activen.com.ua ТОВ «</w:t>
            </w:r>
            <w:proofErr w:type="spellStart"/>
            <w:r w:rsidRPr="00E0375A">
              <w:rPr>
                <w:lang w:val="uk-UA"/>
              </w:rPr>
              <w:t>Активен</w:t>
            </w:r>
            <w:proofErr w:type="spellEnd"/>
            <w:r w:rsidRPr="00E0375A">
              <w:rPr>
                <w:lang w:val="uk-UA"/>
              </w:rPr>
              <w:t>»;</w:t>
            </w:r>
          </w:p>
          <w:p w:rsidR="00E0375A" w:rsidRPr="00E0375A" w:rsidRDefault="00E0375A" w:rsidP="00E0375A">
            <w:pPr>
              <w:jc w:val="both"/>
              <w:rPr>
                <w:lang w:val="uk-UA"/>
              </w:rPr>
            </w:pPr>
            <w:r w:rsidRPr="00E0375A">
              <w:rPr>
                <w:lang w:val="uk-UA"/>
              </w:rPr>
              <w:t>- office@prombudcentr.ua ТОВ «</w:t>
            </w:r>
            <w:proofErr w:type="spellStart"/>
            <w:r w:rsidRPr="00E0375A">
              <w:rPr>
                <w:lang w:val="uk-UA"/>
              </w:rPr>
              <w:t>Промбудцентр</w:t>
            </w:r>
            <w:proofErr w:type="spellEnd"/>
            <w:r w:rsidRPr="00E0375A">
              <w:rPr>
                <w:lang w:val="uk-UA"/>
              </w:rPr>
              <w:t>»; - 0686096537@ukr.net ТОВ «</w:t>
            </w:r>
            <w:proofErr w:type="spellStart"/>
            <w:r w:rsidRPr="00E0375A">
              <w:rPr>
                <w:lang w:val="uk-UA"/>
              </w:rPr>
              <w:t>Рівелта</w:t>
            </w:r>
            <w:proofErr w:type="spellEnd"/>
            <w:r w:rsidRPr="00E0375A">
              <w:rPr>
                <w:lang w:val="uk-UA"/>
              </w:rPr>
              <w:t>»; - kyiv-beton@dyckerhoff.com ТОВ «</w:t>
            </w:r>
            <w:proofErr w:type="spellStart"/>
            <w:r w:rsidRPr="00E0375A">
              <w:rPr>
                <w:lang w:val="uk-UA"/>
              </w:rPr>
              <w:t>Дікергофф</w:t>
            </w:r>
            <w:proofErr w:type="spellEnd"/>
            <w:r w:rsidRPr="00E0375A">
              <w:rPr>
                <w:lang w:val="uk-UA"/>
              </w:rPr>
              <w:t xml:space="preserve"> Україна»;</w:t>
            </w:r>
          </w:p>
          <w:p w:rsidR="00E0375A" w:rsidRPr="00E0375A" w:rsidRDefault="00E0375A" w:rsidP="00E0375A">
            <w:pPr>
              <w:jc w:val="both"/>
              <w:rPr>
                <w:lang w:val="uk-UA"/>
              </w:rPr>
            </w:pPr>
            <w:r w:rsidRPr="00E0375A">
              <w:rPr>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E0375A" w:rsidRPr="00E0375A" w:rsidRDefault="00E0375A" w:rsidP="00E0375A">
            <w:pPr>
              <w:jc w:val="both"/>
              <w:rPr>
                <w:lang w:val="uk-UA"/>
              </w:rPr>
            </w:pPr>
            <w:r w:rsidRPr="00E0375A">
              <w:rPr>
                <w:lang w:val="uk-UA"/>
              </w:rPr>
              <w:t>- trivita.ua;</w:t>
            </w:r>
          </w:p>
          <w:p w:rsidR="00E0375A" w:rsidRPr="00E0375A" w:rsidRDefault="00E0375A" w:rsidP="00E0375A">
            <w:pPr>
              <w:jc w:val="both"/>
              <w:rPr>
                <w:lang w:val="uk-UA"/>
              </w:rPr>
            </w:pPr>
            <w:r w:rsidRPr="00E0375A">
              <w:rPr>
                <w:lang w:val="uk-UA"/>
              </w:rPr>
              <w:t>- stare-misto.com.ua;</w:t>
            </w:r>
          </w:p>
          <w:p w:rsidR="00E0375A" w:rsidRPr="00E0375A" w:rsidRDefault="00E0375A" w:rsidP="00E0375A">
            <w:pPr>
              <w:jc w:val="both"/>
              <w:rPr>
                <w:lang w:val="uk-UA"/>
              </w:rPr>
            </w:pPr>
            <w:r w:rsidRPr="00E0375A">
              <w:rPr>
                <w:lang w:val="uk-UA"/>
              </w:rPr>
              <w:t>- royalbud.com.ua;</w:t>
            </w:r>
          </w:p>
          <w:p w:rsidR="006F428D" w:rsidRPr="00E0375A" w:rsidRDefault="00E0375A" w:rsidP="00E0375A">
            <w:pPr>
              <w:jc w:val="both"/>
              <w:rPr>
                <w:i/>
                <w:lang w:val="uk-UA"/>
              </w:rPr>
            </w:pPr>
            <w:r w:rsidRPr="00E0375A">
              <w:rPr>
                <w:lang w:val="uk-UA"/>
              </w:rPr>
              <w:t>- 1nl.com.ua;</w:t>
            </w:r>
          </w:p>
        </w:tc>
      </w:tr>
    </w:tbl>
    <w:p w:rsidR="006F428D" w:rsidRPr="007101A5" w:rsidRDefault="006F428D" w:rsidP="00A12478">
      <w:pPr>
        <w:rPr>
          <w:b/>
          <w:lang w:val="uk-UA"/>
        </w:rPr>
      </w:pPr>
    </w:p>
    <w:p w:rsidR="006926A0" w:rsidRPr="00E0375A" w:rsidRDefault="006926A0" w:rsidP="006926A0">
      <w:pPr>
        <w:ind w:firstLine="567"/>
        <w:jc w:val="both"/>
        <w:rPr>
          <w:lang w:val="uk-UA"/>
        </w:rPr>
      </w:pPr>
      <w:r w:rsidRPr="00E0375A">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E0375A" w:rsidRDefault="006F428D" w:rsidP="00A12478">
      <w:pPr>
        <w:rPr>
          <w:b/>
          <w:lang w:val="uk-UA"/>
        </w:rPr>
      </w:pPr>
    </w:p>
    <w:p w:rsidR="006F428D" w:rsidRPr="00E0375A" w:rsidRDefault="006926A0" w:rsidP="00A12478">
      <w:pPr>
        <w:rPr>
          <w:b/>
          <w:lang w:val="uk-UA"/>
        </w:rPr>
      </w:pPr>
      <w:r w:rsidRPr="00E0375A">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577"/>
        <w:gridCol w:w="851"/>
        <w:gridCol w:w="709"/>
        <w:gridCol w:w="6378"/>
      </w:tblGrid>
      <w:tr w:rsidR="00E0375A" w:rsidRPr="00E0375A" w:rsidTr="00E0375A">
        <w:tc>
          <w:tcPr>
            <w:tcW w:w="758" w:type="dxa"/>
            <w:tcBorders>
              <w:top w:val="single" w:sz="4" w:space="0" w:color="auto"/>
              <w:left w:val="single" w:sz="4" w:space="0" w:color="auto"/>
              <w:bottom w:val="single" w:sz="4" w:space="0" w:color="auto"/>
              <w:right w:val="single" w:sz="4" w:space="0" w:color="auto"/>
            </w:tcBorders>
            <w:shd w:val="clear" w:color="auto" w:fill="D9E2F3"/>
            <w:vAlign w:val="center"/>
          </w:tcPr>
          <w:p w:rsidR="00E0375A" w:rsidRPr="00E0375A" w:rsidRDefault="00E0375A" w:rsidP="000D3AC1">
            <w:pPr>
              <w:widowControl w:val="0"/>
              <w:rPr>
                <w:b/>
                <w:sz w:val="20"/>
                <w:szCs w:val="20"/>
                <w:lang w:val="uk-UA"/>
              </w:rPr>
            </w:pPr>
            <w:r w:rsidRPr="00E0375A">
              <w:rPr>
                <w:b/>
                <w:sz w:val="20"/>
                <w:szCs w:val="20"/>
                <w:lang w:val="uk-UA"/>
              </w:rPr>
              <w:t>№ п/п</w:t>
            </w:r>
          </w:p>
        </w:tc>
        <w:tc>
          <w:tcPr>
            <w:tcW w:w="1577" w:type="dxa"/>
            <w:tcBorders>
              <w:top w:val="single" w:sz="4" w:space="0" w:color="auto"/>
              <w:left w:val="single" w:sz="4" w:space="0" w:color="auto"/>
              <w:bottom w:val="single" w:sz="4" w:space="0" w:color="auto"/>
              <w:right w:val="single" w:sz="4" w:space="0" w:color="auto"/>
            </w:tcBorders>
            <w:shd w:val="clear" w:color="auto" w:fill="D9E2F3"/>
            <w:vAlign w:val="center"/>
          </w:tcPr>
          <w:p w:rsidR="00E0375A" w:rsidRPr="00E0375A" w:rsidRDefault="00E0375A" w:rsidP="000D3AC1">
            <w:pPr>
              <w:widowControl w:val="0"/>
              <w:jc w:val="center"/>
              <w:rPr>
                <w:b/>
                <w:sz w:val="20"/>
                <w:szCs w:val="20"/>
                <w:lang w:val="uk-UA"/>
              </w:rPr>
            </w:pPr>
            <w:r w:rsidRPr="00E0375A">
              <w:rPr>
                <w:b/>
                <w:sz w:val="20"/>
                <w:szCs w:val="20"/>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E0375A" w:rsidRPr="00E0375A" w:rsidRDefault="00E0375A" w:rsidP="000D3AC1">
            <w:pPr>
              <w:widowControl w:val="0"/>
              <w:jc w:val="center"/>
              <w:rPr>
                <w:b/>
                <w:sz w:val="20"/>
                <w:szCs w:val="20"/>
                <w:lang w:val="uk-UA"/>
              </w:rPr>
            </w:pPr>
            <w:r w:rsidRPr="00E0375A">
              <w:rPr>
                <w:b/>
                <w:sz w:val="20"/>
                <w:szCs w:val="20"/>
                <w:lang w:val="uk-UA"/>
              </w:rPr>
              <w:t>Од.</w:t>
            </w:r>
          </w:p>
          <w:p w:rsidR="00E0375A" w:rsidRPr="00E0375A" w:rsidRDefault="00E0375A" w:rsidP="000D3AC1">
            <w:pPr>
              <w:widowControl w:val="0"/>
              <w:jc w:val="center"/>
              <w:rPr>
                <w:b/>
                <w:sz w:val="20"/>
                <w:szCs w:val="20"/>
                <w:lang w:val="uk-UA"/>
              </w:rPr>
            </w:pPr>
            <w:proofErr w:type="spellStart"/>
            <w:r w:rsidRPr="00E0375A">
              <w:rPr>
                <w:b/>
                <w:sz w:val="20"/>
                <w:szCs w:val="20"/>
                <w:lang w:val="uk-UA"/>
              </w:rPr>
              <w:t>вим</w:t>
            </w:r>
            <w:proofErr w:type="spellEnd"/>
            <w:r w:rsidRPr="00E0375A">
              <w:rPr>
                <w:b/>
                <w:sz w:val="20"/>
                <w:szCs w:val="20"/>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vAlign w:val="center"/>
          </w:tcPr>
          <w:p w:rsidR="00E0375A" w:rsidRPr="00E0375A" w:rsidRDefault="00E0375A" w:rsidP="000D3AC1">
            <w:pPr>
              <w:widowControl w:val="0"/>
              <w:jc w:val="center"/>
              <w:rPr>
                <w:b/>
                <w:sz w:val="20"/>
                <w:szCs w:val="20"/>
                <w:lang w:val="uk-UA"/>
              </w:rPr>
            </w:pPr>
            <w:r w:rsidRPr="00E0375A">
              <w:rPr>
                <w:b/>
                <w:sz w:val="20"/>
                <w:szCs w:val="20"/>
                <w:lang w:val="uk-UA"/>
              </w:rPr>
              <w:t>К-сть</w:t>
            </w:r>
          </w:p>
        </w:tc>
        <w:tc>
          <w:tcPr>
            <w:tcW w:w="6378"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E0375A" w:rsidRPr="00E0375A" w:rsidRDefault="00E0375A" w:rsidP="000D3AC1">
            <w:pPr>
              <w:widowControl w:val="0"/>
              <w:jc w:val="center"/>
              <w:rPr>
                <w:b/>
                <w:sz w:val="20"/>
                <w:szCs w:val="20"/>
                <w:lang w:val="uk-UA"/>
              </w:rPr>
            </w:pPr>
            <w:r w:rsidRPr="00E0375A">
              <w:rPr>
                <w:b/>
                <w:sz w:val="20"/>
                <w:szCs w:val="20"/>
                <w:lang w:val="uk-UA"/>
              </w:rPr>
              <w:t>Технічні та якісні характеристики предмета закупівлі</w:t>
            </w:r>
          </w:p>
          <w:p w:rsidR="00E0375A" w:rsidRPr="00E0375A" w:rsidRDefault="00E0375A" w:rsidP="000D3AC1">
            <w:pPr>
              <w:widowControl w:val="0"/>
              <w:jc w:val="center"/>
              <w:rPr>
                <w:b/>
                <w:sz w:val="20"/>
                <w:szCs w:val="20"/>
                <w:lang w:val="uk-UA"/>
              </w:rPr>
            </w:pPr>
            <w:r w:rsidRPr="00E0375A">
              <w:rPr>
                <w:b/>
                <w:sz w:val="20"/>
                <w:szCs w:val="20"/>
                <w:lang w:val="uk-UA"/>
              </w:rPr>
              <w:t>(Технічна специфікація)</w:t>
            </w:r>
          </w:p>
        </w:tc>
      </w:tr>
      <w:tr w:rsidR="00E0375A" w:rsidRPr="00E0375A" w:rsidTr="00E0375A">
        <w:trPr>
          <w:trHeight w:val="335"/>
        </w:trPr>
        <w:tc>
          <w:tcPr>
            <w:tcW w:w="758" w:type="dxa"/>
            <w:tcBorders>
              <w:top w:val="single" w:sz="4" w:space="0" w:color="auto"/>
              <w:left w:val="single" w:sz="4" w:space="0" w:color="auto"/>
              <w:bottom w:val="single" w:sz="4" w:space="0" w:color="auto"/>
              <w:right w:val="single" w:sz="4" w:space="0" w:color="auto"/>
            </w:tcBorders>
            <w:hideMark/>
          </w:tcPr>
          <w:p w:rsidR="00E0375A" w:rsidRPr="00E0375A" w:rsidRDefault="00E0375A" w:rsidP="000D3AC1">
            <w:pPr>
              <w:widowControl w:val="0"/>
              <w:rPr>
                <w:lang w:val="uk-UA"/>
              </w:rPr>
            </w:pPr>
            <w:r w:rsidRPr="00E0375A">
              <w:rPr>
                <w:lang w:val="uk-UA"/>
              </w:rPr>
              <w:t>1</w:t>
            </w:r>
          </w:p>
        </w:tc>
        <w:tc>
          <w:tcPr>
            <w:tcW w:w="1577" w:type="dxa"/>
            <w:tcBorders>
              <w:top w:val="single" w:sz="4" w:space="0" w:color="auto"/>
              <w:left w:val="single" w:sz="4" w:space="0" w:color="auto"/>
              <w:bottom w:val="single" w:sz="4" w:space="0" w:color="auto"/>
              <w:right w:val="single" w:sz="4" w:space="0" w:color="auto"/>
            </w:tcBorders>
            <w:hideMark/>
          </w:tcPr>
          <w:p w:rsidR="00E0375A" w:rsidRPr="00E0375A" w:rsidRDefault="00E0375A" w:rsidP="000D3AC1">
            <w:r w:rsidRPr="00E0375A">
              <w:t>Бетон</w:t>
            </w:r>
          </w:p>
        </w:tc>
        <w:tc>
          <w:tcPr>
            <w:tcW w:w="851" w:type="dxa"/>
            <w:tcBorders>
              <w:top w:val="single" w:sz="4" w:space="0" w:color="auto"/>
              <w:left w:val="single" w:sz="4" w:space="0" w:color="auto"/>
              <w:bottom w:val="single" w:sz="4" w:space="0" w:color="auto"/>
              <w:right w:val="single" w:sz="4" w:space="0" w:color="auto"/>
            </w:tcBorders>
          </w:tcPr>
          <w:p w:rsidR="00E0375A" w:rsidRPr="00E0375A" w:rsidRDefault="00E0375A" w:rsidP="000D3AC1">
            <w:r w:rsidRPr="00E0375A">
              <w:t>м³</w:t>
            </w:r>
          </w:p>
        </w:tc>
        <w:tc>
          <w:tcPr>
            <w:tcW w:w="709" w:type="dxa"/>
            <w:tcBorders>
              <w:top w:val="single" w:sz="4" w:space="0" w:color="auto"/>
              <w:left w:val="single" w:sz="4" w:space="0" w:color="auto"/>
              <w:bottom w:val="single" w:sz="4" w:space="0" w:color="auto"/>
              <w:right w:val="single" w:sz="4" w:space="0" w:color="auto"/>
            </w:tcBorders>
          </w:tcPr>
          <w:p w:rsidR="00E0375A" w:rsidRPr="00E0375A" w:rsidRDefault="00E0375A" w:rsidP="000D3AC1">
            <w:pPr>
              <w:widowControl w:val="0"/>
              <w:jc w:val="center"/>
              <w:rPr>
                <w:lang w:val="uk-UA"/>
              </w:rPr>
            </w:pPr>
            <w:r w:rsidRPr="00E0375A">
              <w:rPr>
                <w:lang w:val="uk-UA"/>
              </w:rPr>
              <w:t>6</w:t>
            </w:r>
          </w:p>
        </w:tc>
        <w:tc>
          <w:tcPr>
            <w:tcW w:w="6378" w:type="dxa"/>
            <w:tcBorders>
              <w:top w:val="single" w:sz="4" w:space="0" w:color="auto"/>
              <w:left w:val="single" w:sz="4" w:space="0" w:color="auto"/>
              <w:bottom w:val="single" w:sz="4" w:space="0" w:color="auto"/>
              <w:right w:val="single" w:sz="4" w:space="0" w:color="auto"/>
            </w:tcBorders>
          </w:tcPr>
          <w:p w:rsidR="00E0375A" w:rsidRPr="00E0375A" w:rsidRDefault="00E0375A" w:rsidP="000D3AC1">
            <w:pPr>
              <w:widowControl w:val="0"/>
              <w:jc w:val="both"/>
              <w:rPr>
                <w:lang w:val="uk-UA"/>
              </w:rPr>
            </w:pPr>
            <w:r w:rsidRPr="00E0375A">
              <w:rPr>
                <w:lang w:val="uk-UA"/>
              </w:rPr>
              <w:t>Марка бетону: М 200;</w:t>
            </w:r>
          </w:p>
          <w:p w:rsidR="00E0375A" w:rsidRPr="00E0375A" w:rsidRDefault="00E0375A" w:rsidP="000D3AC1">
            <w:pPr>
              <w:widowControl w:val="0"/>
              <w:jc w:val="both"/>
              <w:rPr>
                <w:lang w:val="uk-UA"/>
              </w:rPr>
            </w:pPr>
            <w:r w:rsidRPr="00E0375A">
              <w:rPr>
                <w:lang w:val="uk-UA"/>
              </w:rPr>
              <w:t>Водонепроникність: W6;</w:t>
            </w:r>
          </w:p>
          <w:p w:rsidR="00E0375A" w:rsidRPr="00E0375A" w:rsidRDefault="00E0375A" w:rsidP="000D3AC1">
            <w:pPr>
              <w:widowControl w:val="0"/>
              <w:jc w:val="both"/>
              <w:rPr>
                <w:lang w:val="uk-UA"/>
              </w:rPr>
            </w:pPr>
            <w:r w:rsidRPr="00E0375A">
              <w:rPr>
                <w:lang w:val="uk-UA"/>
              </w:rPr>
              <w:t>Пластичність: П4;</w:t>
            </w:r>
          </w:p>
          <w:p w:rsidR="00E0375A" w:rsidRPr="00E0375A" w:rsidRDefault="00E0375A" w:rsidP="000D3AC1">
            <w:pPr>
              <w:widowControl w:val="0"/>
              <w:jc w:val="both"/>
              <w:rPr>
                <w:lang w:val="uk-UA"/>
              </w:rPr>
            </w:pPr>
            <w:r w:rsidRPr="00E0375A">
              <w:rPr>
                <w:lang w:val="uk-UA"/>
              </w:rPr>
              <w:t>Клас міцності: В15;</w:t>
            </w:r>
          </w:p>
          <w:p w:rsidR="00E0375A" w:rsidRPr="00E0375A" w:rsidRDefault="00E0375A" w:rsidP="000D3AC1">
            <w:pPr>
              <w:jc w:val="both"/>
              <w:rPr>
                <w:i/>
                <w:lang w:val="uk-UA"/>
              </w:rPr>
            </w:pPr>
            <w:r w:rsidRPr="00E0375A">
              <w:rPr>
                <w:lang w:val="uk-UA"/>
              </w:rPr>
              <w:t xml:space="preserve">Морозостійкість: </w:t>
            </w:r>
            <w:r w:rsidRPr="00E0375A">
              <w:rPr>
                <w:b/>
                <w:i/>
                <w:color w:val="FF0000"/>
                <w:lang w:val="uk-UA"/>
              </w:rPr>
              <w:t>не менше</w:t>
            </w:r>
            <w:r w:rsidRPr="00E0375A">
              <w:rPr>
                <w:lang w:val="uk-UA"/>
              </w:rPr>
              <w:t xml:space="preserve"> F200 (</w:t>
            </w:r>
            <w:r w:rsidRPr="00E0375A">
              <w:rPr>
                <w:bCs/>
                <w:i/>
                <w:color w:val="0000FF"/>
                <w:sz w:val="18"/>
                <w:szCs w:val="18"/>
                <w:lang w:val="uk-UA" w:eastAsia="uk-UA"/>
              </w:rPr>
              <w:t xml:space="preserve">Учасник в тендерній пропозиції (технічній частині) повинен вказати конкретний показник морозостійкості без зазначення </w:t>
            </w:r>
            <w:proofErr w:type="spellStart"/>
            <w:r w:rsidRPr="00E0375A">
              <w:rPr>
                <w:i/>
                <w:iCs/>
                <w:color w:val="0000FF"/>
                <w:sz w:val="18"/>
                <w:szCs w:val="18"/>
              </w:rPr>
              <w:t>вираз</w:t>
            </w:r>
            <w:proofErr w:type="spellEnd"/>
            <w:r w:rsidRPr="00E0375A">
              <w:rPr>
                <w:i/>
                <w:iCs/>
                <w:color w:val="0000FF"/>
                <w:sz w:val="18"/>
                <w:szCs w:val="18"/>
                <w:lang w:val="uk-UA"/>
              </w:rPr>
              <w:t>у</w:t>
            </w:r>
            <w:r w:rsidRPr="00E0375A">
              <w:rPr>
                <w:bCs/>
                <w:i/>
                <w:color w:val="0000FF"/>
                <w:sz w:val="18"/>
                <w:szCs w:val="18"/>
                <w:lang w:val="uk-UA" w:eastAsia="uk-UA"/>
              </w:rPr>
              <w:t xml:space="preserve"> «не менше»)</w:t>
            </w:r>
          </w:p>
        </w:tc>
      </w:tr>
      <w:tr w:rsidR="00E0375A" w:rsidRPr="00E0375A" w:rsidTr="00E0375A">
        <w:trPr>
          <w:trHeight w:val="335"/>
        </w:trPr>
        <w:tc>
          <w:tcPr>
            <w:tcW w:w="758" w:type="dxa"/>
            <w:tcBorders>
              <w:top w:val="single" w:sz="4" w:space="0" w:color="auto"/>
              <w:left w:val="single" w:sz="4" w:space="0" w:color="auto"/>
              <w:bottom w:val="single" w:sz="4" w:space="0" w:color="auto"/>
              <w:right w:val="single" w:sz="4" w:space="0" w:color="auto"/>
            </w:tcBorders>
          </w:tcPr>
          <w:p w:rsidR="00E0375A" w:rsidRPr="00E0375A" w:rsidRDefault="00E0375A" w:rsidP="000D3AC1">
            <w:pPr>
              <w:widowControl w:val="0"/>
              <w:rPr>
                <w:lang w:val="uk-UA"/>
              </w:rPr>
            </w:pPr>
            <w:r w:rsidRPr="00E0375A">
              <w:rPr>
                <w:lang w:val="uk-UA"/>
              </w:rPr>
              <w:t>2</w:t>
            </w:r>
          </w:p>
        </w:tc>
        <w:tc>
          <w:tcPr>
            <w:tcW w:w="1577" w:type="dxa"/>
            <w:tcBorders>
              <w:top w:val="single" w:sz="4" w:space="0" w:color="auto"/>
              <w:left w:val="single" w:sz="4" w:space="0" w:color="auto"/>
              <w:bottom w:val="single" w:sz="4" w:space="0" w:color="auto"/>
              <w:right w:val="single" w:sz="4" w:space="0" w:color="auto"/>
            </w:tcBorders>
            <w:hideMark/>
          </w:tcPr>
          <w:p w:rsidR="00E0375A" w:rsidRPr="00E0375A" w:rsidRDefault="00E0375A" w:rsidP="000D3AC1">
            <w:r w:rsidRPr="00E0375A">
              <w:t>Бетон</w:t>
            </w:r>
          </w:p>
        </w:tc>
        <w:tc>
          <w:tcPr>
            <w:tcW w:w="851" w:type="dxa"/>
            <w:tcBorders>
              <w:top w:val="single" w:sz="4" w:space="0" w:color="auto"/>
              <w:left w:val="single" w:sz="4" w:space="0" w:color="auto"/>
              <w:bottom w:val="single" w:sz="4" w:space="0" w:color="auto"/>
              <w:right w:val="single" w:sz="4" w:space="0" w:color="auto"/>
            </w:tcBorders>
          </w:tcPr>
          <w:p w:rsidR="00E0375A" w:rsidRPr="00E0375A" w:rsidRDefault="00E0375A" w:rsidP="000D3AC1">
            <w:r w:rsidRPr="00E0375A">
              <w:t>м³</w:t>
            </w:r>
          </w:p>
        </w:tc>
        <w:tc>
          <w:tcPr>
            <w:tcW w:w="709" w:type="dxa"/>
            <w:tcBorders>
              <w:top w:val="single" w:sz="4" w:space="0" w:color="auto"/>
              <w:left w:val="single" w:sz="4" w:space="0" w:color="auto"/>
              <w:bottom w:val="single" w:sz="4" w:space="0" w:color="auto"/>
              <w:right w:val="single" w:sz="4" w:space="0" w:color="auto"/>
            </w:tcBorders>
          </w:tcPr>
          <w:p w:rsidR="00E0375A" w:rsidRPr="00E0375A" w:rsidRDefault="00E0375A" w:rsidP="000D3AC1">
            <w:pPr>
              <w:widowControl w:val="0"/>
              <w:jc w:val="center"/>
              <w:rPr>
                <w:lang w:val="uk-UA"/>
              </w:rPr>
            </w:pPr>
            <w:r w:rsidRPr="00E0375A">
              <w:rPr>
                <w:lang w:val="uk-UA"/>
              </w:rPr>
              <w:t>18</w:t>
            </w:r>
          </w:p>
        </w:tc>
        <w:tc>
          <w:tcPr>
            <w:tcW w:w="6378" w:type="dxa"/>
            <w:tcBorders>
              <w:top w:val="single" w:sz="4" w:space="0" w:color="auto"/>
              <w:left w:val="single" w:sz="4" w:space="0" w:color="auto"/>
              <w:bottom w:val="single" w:sz="4" w:space="0" w:color="auto"/>
              <w:right w:val="single" w:sz="4" w:space="0" w:color="auto"/>
            </w:tcBorders>
          </w:tcPr>
          <w:p w:rsidR="00E0375A" w:rsidRPr="00E0375A" w:rsidRDefault="00E0375A" w:rsidP="000D3AC1">
            <w:pPr>
              <w:widowControl w:val="0"/>
              <w:jc w:val="both"/>
              <w:rPr>
                <w:lang w:val="uk-UA"/>
              </w:rPr>
            </w:pPr>
            <w:r w:rsidRPr="00E0375A">
              <w:rPr>
                <w:lang w:val="uk-UA"/>
              </w:rPr>
              <w:t>Марка бетону: М 350;</w:t>
            </w:r>
          </w:p>
          <w:p w:rsidR="00E0375A" w:rsidRPr="00E0375A" w:rsidRDefault="00E0375A" w:rsidP="000D3AC1">
            <w:pPr>
              <w:widowControl w:val="0"/>
              <w:jc w:val="both"/>
              <w:rPr>
                <w:lang w:val="uk-UA"/>
              </w:rPr>
            </w:pPr>
            <w:r w:rsidRPr="00E0375A">
              <w:rPr>
                <w:lang w:val="uk-UA"/>
              </w:rPr>
              <w:t>Водонепроникність: W6;</w:t>
            </w:r>
          </w:p>
          <w:p w:rsidR="00E0375A" w:rsidRPr="00E0375A" w:rsidRDefault="00E0375A" w:rsidP="000D3AC1">
            <w:pPr>
              <w:widowControl w:val="0"/>
              <w:jc w:val="both"/>
              <w:rPr>
                <w:lang w:val="uk-UA"/>
              </w:rPr>
            </w:pPr>
            <w:r w:rsidRPr="00E0375A">
              <w:rPr>
                <w:lang w:val="uk-UA"/>
              </w:rPr>
              <w:t>Пластичність: П4;</w:t>
            </w:r>
          </w:p>
          <w:p w:rsidR="00E0375A" w:rsidRPr="00E0375A" w:rsidRDefault="00E0375A" w:rsidP="000D3AC1">
            <w:pPr>
              <w:widowControl w:val="0"/>
              <w:jc w:val="both"/>
              <w:rPr>
                <w:lang w:val="uk-UA"/>
              </w:rPr>
            </w:pPr>
            <w:r w:rsidRPr="00E0375A">
              <w:rPr>
                <w:lang w:val="uk-UA"/>
              </w:rPr>
              <w:t>Клас міцності: В25;</w:t>
            </w:r>
          </w:p>
          <w:p w:rsidR="00E0375A" w:rsidRPr="00E0375A" w:rsidRDefault="00E0375A" w:rsidP="000D3AC1">
            <w:pPr>
              <w:widowControl w:val="0"/>
              <w:jc w:val="both"/>
              <w:rPr>
                <w:lang w:val="uk-UA"/>
              </w:rPr>
            </w:pPr>
            <w:r w:rsidRPr="00E0375A">
              <w:rPr>
                <w:lang w:val="uk-UA"/>
              </w:rPr>
              <w:t xml:space="preserve">Морозостійкість: </w:t>
            </w:r>
            <w:r w:rsidRPr="00E0375A">
              <w:rPr>
                <w:b/>
                <w:i/>
                <w:color w:val="FF0000"/>
                <w:lang w:val="uk-UA"/>
              </w:rPr>
              <w:t>не менше</w:t>
            </w:r>
            <w:r w:rsidRPr="00E0375A">
              <w:rPr>
                <w:lang w:val="uk-UA"/>
              </w:rPr>
              <w:t xml:space="preserve"> F200 </w:t>
            </w:r>
            <w:r w:rsidRPr="00E0375A">
              <w:rPr>
                <w:bCs/>
                <w:i/>
                <w:color w:val="0000FF"/>
                <w:sz w:val="18"/>
                <w:szCs w:val="18"/>
                <w:lang w:val="uk-UA" w:eastAsia="uk-UA"/>
              </w:rPr>
              <w:t>(Учасник в тендерній пропозиції (технічній частині) повинен вказати конкретний показник морозостійкості без зазначення виразу «не менше»)</w:t>
            </w:r>
          </w:p>
        </w:tc>
      </w:tr>
    </w:tbl>
    <w:p w:rsidR="006F428D" w:rsidRPr="00E0375A" w:rsidRDefault="006F428D" w:rsidP="00A12478">
      <w:pPr>
        <w:rPr>
          <w:b/>
        </w:rPr>
      </w:pPr>
    </w:p>
    <w:sectPr w:rsidR="006F428D" w:rsidRPr="00E0375A"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9F" w:rsidRDefault="0043049F">
      <w:r>
        <w:separator/>
      </w:r>
    </w:p>
  </w:endnote>
  <w:endnote w:type="continuationSeparator" w:id="0">
    <w:p w:rsidR="0043049F" w:rsidRDefault="004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E449E"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65F23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35F45">
      <w:rPr>
        <w:sz w:val="20"/>
        <w:szCs w:val="20"/>
        <w:lang w:val="uk-UA"/>
      </w:rPr>
      <w:t>Бетон, код ДК 021:2015 - 44110000-4 - Конструкційні матеріали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538F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538F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9F" w:rsidRDefault="0043049F">
      <w:r>
        <w:separator/>
      </w:r>
    </w:p>
  </w:footnote>
  <w:footnote w:type="continuationSeparator" w:id="0">
    <w:p w:rsidR="0043049F" w:rsidRDefault="0043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E449E"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81E8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049F"/>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0ED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8FD"/>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985"/>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49E"/>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5F45"/>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375A"/>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43CB87-4ECF-4953-BBEF-79FA1F9B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037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DE45-06A6-4A98-B2B3-F0640DA3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2866</Words>
  <Characters>1634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2023-03-21T15:06:00Z</dcterms:created>
  <dcterms:modified xsi:type="dcterms:W3CDTF">2023-03-23T13:07:00Z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