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E1766"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E1766" w:rsidRDefault="004072F7" w:rsidP="007E1766">
            <w:pPr>
              <w:widowControl w:val="0"/>
              <w:ind w:right="-11"/>
              <w:jc w:val="center"/>
              <w:rPr>
                <w:sz w:val="22"/>
                <w:szCs w:val="22"/>
                <w:lang w:val="uk-UA" w:eastAsia="uk-UA"/>
              </w:rPr>
            </w:pPr>
            <w:r w:rsidRPr="007E1766">
              <w:rPr>
                <w:sz w:val="22"/>
                <w:szCs w:val="22"/>
                <w:lang w:val="uk-UA"/>
              </w:rPr>
              <w:t>п.</w:t>
            </w:r>
            <w:r w:rsidR="00A76484" w:rsidRPr="007E1766">
              <w:rPr>
                <w:sz w:val="22"/>
                <w:szCs w:val="22"/>
                <w:lang w:val="uk-UA"/>
              </w:rPr>
              <w:t xml:space="preserve"> </w:t>
            </w:r>
            <w:r w:rsidR="000E7199" w:rsidRPr="007E1766">
              <w:rPr>
                <w:sz w:val="22"/>
                <w:szCs w:val="22"/>
                <w:lang w:val="uk-UA"/>
              </w:rPr>
              <w:t xml:space="preserve">23.06 </w:t>
            </w:r>
            <w:r w:rsidR="00BD6E95" w:rsidRPr="007E1766">
              <w:rPr>
                <w:sz w:val="22"/>
                <w:szCs w:val="22"/>
                <w:lang w:val="uk-UA" w:eastAsia="uk-UA"/>
              </w:rPr>
              <w:t>(202</w:t>
            </w:r>
            <w:r w:rsidR="004E76E1" w:rsidRPr="007E1766">
              <w:rPr>
                <w:sz w:val="22"/>
                <w:szCs w:val="22"/>
                <w:lang w:val="uk-UA" w:eastAsia="uk-UA"/>
              </w:rPr>
              <w:t>3</w:t>
            </w:r>
            <w:r w:rsidR="00A76484" w:rsidRPr="007E1766">
              <w:rPr>
                <w:sz w:val="22"/>
                <w:szCs w:val="22"/>
                <w:lang w:val="uk-UA" w:eastAsia="uk-UA"/>
              </w:rPr>
              <w:t>)</w:t>
            </w:r>
          </w:p>
        </w:tc>
        <w:tc>
          <w:tcPr>
            <w:tcW w:w="1527" w:type="pct"/>
          </w:tcPr>
          <w:p w:rsidR="00A76484" w:rsidRPr="007E1766" w:rsidRDefault="000E7199" w:rsidP="00A12478">
            <w:pPr>
              <w:widowControl w:val="0"/>
              <w:rPr>
                <w:bCs/>
                <w:sz w:val="22"/>
                <w:szCs w:val="22"/>
                <w:lang w:val="uk-UA"/>
              </w:rPr>
            </w:pPr>
            <w:r w:rsidRPr="007E1766">
              <w:rPr>
                <w:b/>
                <w:sz w:val="22"/>
                <w:szCs w:val="22"/>
                <w:lang w:val="uk-UA"/>
              </w:rPr>
              <w:t xml:space="preserve">Надання права (повноваження) на використання програмного забезпечення </w:t>
            </w:r>
            <w:proofErr w:type="spellStart"/>
            <w:r w:rsidRPr="007E1766">
              <w:rPr>
                <w:b/>
                <w:sz w:val="22"/>
                <w:szCs w:val="22"/>
                <w:lang w:val="uk-UA"/>
              </w:rPr>
              <w:t>Ліга:Закон</w:t>
            </w:r>
            <w:proofErr w:type="spellEnd"/>
            <w:r w:rsidRPr="007E1766">
              <w:rPr>
                <w:b/>
                <w:sz w:val="22"/>
                <w:szCs w:val="22"/>
                <w:lang w:val="uk-UA"/>
              </w:rPr>
              <w:t xml:space="preserve">,  </w:t>
            </w:r>
            <w:r w:rsidRPr="007E1766">
              <w:rPr>
                <w:sz w:val="22"/>
                <w:szCs w:val="22"/>
                <w:lang w:val="uk-UA"/>
              </w:rPr>
              <w:t>код ДК 021:2015 - 72310000-1 - Послуги з обробки даних</w:t>
            </w:r>
            <w:r w:rsidRPr="007E1766">
              <w:rPr>
                <w:b/>
                <w:sz w:val="22"/>
                <w:szCs w:val="22"/>
                <w:lang w:val="uk-UA"/>
              </w:rPr>
              <w:t xml:space="preserve"> </w:t>
            </w:r>
          </w:p>
        </w:tc>
        <w:tc>
          <w:tcPr>
            <w:tcW w:w="947" w:type="pct"/>
          </w:tcPr>
          <w:p w:rsidR="00A76484" w:rsidRPr="007E1766" w:rsidRDefault="007E1766" w:rsidP="002D4D30">
            <w:pPr>
              <w:widowControl w:val="0"/>
              <w:jc w:val="center"/>
              <w:rPr>
                <w:sz w:val="22"/>
                <w:szCs w:val="22"/>
                <w:lang w:val="uk-UA"/>
              </w:rPr>
            </w:pPr>
            <w:r w:rsidRPr="007E1766">
              <w:rPr>
                <w:sz w:val="22"/>
                <w:szCs w:val="22"/>
                <w:lang w:val="uk-UA"/>
              </w:rPr>
              <w:t>490 723,20</w:t>
            </w:r>
          </w:p>
          <w:p w:rsidR="00A76484" w:rsidRPr="007E1766" w:rsidRDefault="00A76484" w:rsidP="002D4D30">
            <w:pPr>
              <w:widowControl w:val="0"/>
              <w:jc w:val="center"/>
              <w:rPr>
                <w:sz w:val="22"/>
                <w:szCs w:val="22"/>
                <w:lang w:val="uk-UA"/>
              </w:rPr>
            </w:pPr>
            <w:r w:rsidRPr="007E1766">
              <w:rPr>
                <w:sz w:val="22"/>
                <w:szCs w:val="22"/>
                <w:lang w:val="uk-UA"/>
              </w:rPr>
              <w:t>грн. з ПДВ</w:t>
            </w:r>
          </w:p>
        </w:tc>
        <w:tc>
          <w:tcPr>
            <w:tcW w:w="1102" w:type="pct"/>
          </w:tcPr>
          <w:p w:rsidR="00A76484" w:rsidRPr="007E1766" w:rsidRDefault="007E1766" w:rsidP="002D4D30">
            <w:pPr>
              <w:widowControl w:val="0"/>
              <w:jc w:val="center"/>
              <w:rPr>
                <w:sz w:val="22"/>
                <w:szCs w:val="22"/>
                <w:lang w:val="uk-UA"/>
              </w:rPr>
            </w:pPr>
            <w:r w:rsidRPr="007E1766">
              <w:rPr>
                <w:sz w:val="22"/>
                <w:szCs w:val="22"/>
                <w:lang w:val="uk-UA"/>
              </w:rPr>
              <w:t>408 936,00</w:t>
            </w:r>
          </w:p>
          <w:p w:rsidR="00A76484" w:rsidRPr="007E1766" w:rsidRDefault="00A76484" w:rsidP="002D4D30">
            <w:pPr>
              <w:widowControl w:val="0"/>
              <w:jc w:val="center"/>
              <w:rPr>
                <w:sz w:val="22"/>
                <w:szCs w:val="22"/>
                <w:lang w:val="uk-UA"/>
              </w:rPr>
            </w:pPr>
            <w:r w:rsidRPr="007E1766">
              <w:rPr>
                <w:sz w:val="22"/>
                <w:szCs w:val="22"/>
                <w:lang w:val="uk-UA"/>
              </w:rPr>
              <w:t xml:space="preserve">грн. без ПДВ </w:t>
            </w:r>
          </w:p>
        </w:tc>
        <w:tc>
          <w:tcPr>
            <w:tcW w:w="936" w:type="pct"/>
          </w:tcPr>
          <w:p w:rsidR="00A76484" w:rsidRPr="007101A5" w:rsidRDefault="000E7199" w:rsidP="002D4D30">
            <w:pPr>
              <w:widowControl w:val="0"/>
              <w:jc w:val="center"/>
              <w:rPr>
                <w:color w:val="0000FF"/>
                <w:sz w:val="22"/>
                <w:szCs w:val="22"/>
                <w:lang w:val="uk-UA"/>
              </w:rPr>
            </w:pPr>
            <w:r w:rsidRPr="007E1766">
              <w:rPr>
                <w:b/>
                <w:sz w:val="22"/>
                <w:szCs w:val="22"/>
                <w:lang w:val="uk-UA"/>
              </w:rPr>
              <w:t>UA-2023-03-20-011092-a</w:t>
            </w:r>
          </w:p>
        </w:tc>
      </w:tr>
    </w:tbl>
    <w:p w:rsidR="00A12478" w:rsidRPr="007101A5" w:rsidRDefault="00A12478" w:rsidP="0063471D">
      <w:pPr>
        <w:pStyle w:val="a3"/>
        <w:widowControl w:val="0"/>
        <w:jc w:val="both"/>
        <w:rPr>
          <w:sz w:val="24"/>
          <w:szCs w:val="24"/>
          <w:lang w:val="uk-UA"/>
        </w:rPr>
      </w:pPr>
    </w:p>
    <w:p w:rsidR="00392DAB" w:rsidRPr="007101A5" w:rsidRDefault="00392DAB" w:rsidP="00392DAB">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392DAB" w:rsidRPr="007101A5" w:rsidRDefault="00392DAB" w:rsidP="00392DAB">
      <w:pPr>
        <w:rPr>
          <w:b/>
          <w:lang w:val="uk-UA"/>
        </w:rPr>
      </w:pPr>
    </w:p>
    <w:tbl>
      <w:tblPr>
        <w:tblW w:w="10206" w:type="dxa"/>
        <w:tblInd w:w="9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392DAB" w:rsidRPr="00392DAB" w:rsidTr="00392DA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92DAB" w:rsidRPr="00392DAB" w:rsidRDefault="00392DAB" w:rsidP="00392DAB">
            <w:pPr>
              <w:rPr>
                <w:lang w:val="uk-UA"/>
              </w:rPr>
            </w:pPr>
            <w:r w:rsidRPr="00392DAB">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92DAB" w:rsidRPr="00392DAB" w:rsidRDefault="00392DAB" w:rsidP="00392DAB">
            <w:pPr>
              <w:rPr>
                <w:lang w:val="uk-UA"/>
              </w:rPr>
            </w:pPr>
            <w:r w:rsidRPr="00392DAB">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92DAB" w:rsidRPr="00392DAB" w:rsidRDefault="00392DAB" w:rsidP="00392DAB">
            <w:pPr>
              <w:widowControl w:val="0"/>
              <w:jc w:val="both"/>
              <w:rPr>
                <w:color w:val="FF0000"/>
                <w:sz w:val="22"/>
                <w:szCs w:val="22"/>
                <w:lang w:val="uk-UA"/>
              </w:rPr>
            </w:pPr>
            <w:r w:rsidRPr="00392DAB">
              <w:rPr>
                <w:lang w:val="uk-UA"/>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r w:rsidRPr="00392DAB">
              <w:rPr>
                <w:sz w:val="22"/>
                <w:szCs w:val="22"/>
                <w:lang w:val="uk-UA"/>
              </w:rPr>
              <w:t>Відповідно до діючого обсягу ліцензій на період воєнного стану</w:t>
            </w:r>
          </w:p>
        </w:tc>
      </w:tr>
      <w:tr w:rsidR="00392DAB" w:rsidRPr="00392DAB" w:rsidTr="00392DA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92DAB" w:rsidRPr="00392DAB" w:rsidRDefault="00392DAB" w:rsidP="00392DAB">
            <w:pPr>
              <w:rPr>
                <w:bCs/>
                <w:lang w:val="uk-UA"/>
              </w:rPr>
            </w:pPr>
            <w:r w:rsidRPr="00392DAB">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92DAB" w:rsidRPr="00392DAB" w:rsidRDefault="00392DAB" w:rsidP="00392DAB">
            <w:pPr>
              <w:rPr>
                <w:lang w:val="uk-UA"/>
              </w:rPr>
            </w:pPr>
            <w:r w:rsidRPr="00392DAB">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92DAB" w:rsidRPr="00392DAB" w:rsidRDefault="00392DAB" w:rsidP="00392DAB">
            <w:pPr>
              <w:widowControl w:val="0"/>
              <w:jc w:val="both"/>
              <w:rPr>
                <w:lang w:val="uk-UA" w:eastAsia="hi-IN" w:bidi="hi-IN"/>
              </w:rPr>
            </w:pPr>
            <w:r w:rsidRPr="00392DAB">
              <w:rPr>
                <w:lang w:val="uk-UA"/>
              </w:rPr>
              <w:t xml:space="preserve">Очікувана вартість предмета закупівлі розрахована згідно з вимогами </w:t>
            </w:r>
            <w:r w:rsidRPr="00392DAB">
              <w:rPr>
                <w:i/>
                <w:iCs/>
                <w:lang w:val="uk-UA"/>
              </w:rPr>
              <w:t>«Положенням про порядок визначення очікуваної вартості предмета закупівлі»</w:t>
            </w:r>
            <w:r w:rsidRPr="00392DAB">
              <w:rPr>
                <w:lang w:val="uk-UA"/>
              </w:rPr>
              <w:t xml:space="preserve"> від 17.05.2022 №50-06-1.</w:t>
            </w:r>
          </w:p>
          <w:p w:rsidR="00392DAB" w:rsidRPr="00392DAB" w:rsidRDefault="00392DAB" w:rsidP="00392DAB">
            <w:pPr>
              <w:widowControl w:val="0"/>
              <w:jc w:val="both"/>
              <w:rPr>
                <w:i/>
                <w:color w:val="FF0000"/>
                <w:sz w:val="22"/>
                <w:szCs w:val="22"/>
                <w:lang w:val="uk-UA"/>
              </w:rPr>
            </w:pPr>
            <w:r w:rsidRPr="00392DAB">
              <w:rPr>
                <w:lang w:val="uk-UA"/>
              </w:rPr>
              <w:t>Очікувана вартість предмета закупівлі визначена методом порівняння цін в комерційних пропозиціях, отриманих відповідно до запитів, та розрахована як середньоарифметична.</w:t>
            </w:r>
            <w:bookmarkStart w:id="0" w:name="_GoBack"/>
            <w:bookmarkEnd w:id="0"/>
          </w:p>
        </w:tc>
      </w:tr>
      <w:tr w:rsidR="00392DAB" w:rsidRPr="007101A5" w:rsidTr="00392DA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92DAB" w:rsidRPr="007101A5" w:rsidRDefault="00392DAB" w:rsidP="00392DAB">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92DAB" w:rsidRPr="007101A5" w:rsidRDefault="00392DAB" w:rsidP="00392DAB">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92DAB" w:rsidRPr="007A5CB6" w:rsidRDefault="00392DAB" w:rsidP="00392DAB">
            <w:pPr>
              <w:widowControl w:val="0"/>
              <w:jc w:val="both"/>
              <w:rPr>
                <w:i/>
                <w:color w:val="FF0000"/>
              </w:rPr>
            </w:pPr>
            <w:r w:rsidRPr="00392DAB">
              <w:rPr>
                <w:i/>
              </w:rPr>
              <w:t>-</w:t>
            </w:r>
          </w:p>
        </w:tc>
      </w:tr>
    </w:tbl>
    <w:p w:rsidR="006F428D" w:rsidRDefault="006F428D" w:rsidP="00A12478">
      <w:pPr>
        <w:rPr>
          <w:b/>
          <w:lang w:val="uk-UA"/>
        </w:rPr>
      </w:pPr>
    </w:p>
    <w:p w:rsidR="00392DAB" w:rsidRDefault="00392DAB" w:rsidP="00A12478">
      <w:pPr>
        <w:rPr>
          <w:b/>
          <w:lang w:val="uk-UA"/>
        </w:rPr>
      </w:pPr>
    </w:p>
    <w:p w:rsidR="00392DAB" w:rsidRPr="007101A5" w:rsidRDefault="00392DAB"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pPr w:leftFromText="180" w:rightFromText="180" w:vertAnchor="text" w:tblpXSpec="right" w:tblpY="1"/>
        <w:tblOverlap w:val="neve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41"/>
        <w:gridCol w:w="1212"/>
        <w:gridCol w:w="862"/>
        <w:gridCol w:w="5042"/>
      </w:tblGrid>
      <w:tr w:rsidR="00392DAB" w:rsidRPr="00177D05" w:rsidTr="00392DAB">
        <w:tc>
          <w:tcPr>
            <w:tcW w:w="758" w:type="dxa"/>
            <w:shd w:val="clear" w:color="auto" w:fill="D9E2F3"/>
          </w:tcPr>
          <w:p w:rsidR="00392DAB" w:rsidRPr="00177D05" w:rsidRDefault="00392DAB" w:rsidP="00392DAB">
            <w:pPr>
              <w:widowControl w:val="0"/>
              <w:rPr>
                <w:b/>
                <w:sz w:val="22"/>
                <w:szCs w:val="22"/>
                <w:lang w:val="uk-UA"/>
              </w:rPr>
            </w:pPr>
            <w:r w:rsidRPr="00177D05">
              <w:rPr>
                <w:b/>
                <w:sz w:val="22"/>
                <w:szCs w:val="22"/>
                <w:lang w:val="uk-UA"/>
              </w:rPr>
              <w:t>№ п/п</w:t>
            </w:r>
          </w:p>
        </w:tc>
        <w:tc>
          <w:tcPr>
            <w:tcW w:w="2541" w:type="dxa"/>
            <w:shd w:val="clear" w:color="auto" w:fill="D9E2F3"/>
          </w:tcPr>
          <w:p w:rsidR="00392DAB" w:rsidRPr="00177D05" w:rsidRDefault="00392DAB" w:rsidP="00392DAB">
            <w:pPr>
              <w:widowControl w:val="0"/>
              <w:jc w:val="center"/>
              <w:rPr>
                <w:b/>
                <w:sz w:val="22"/>
                <w:szCs w:val="22"/>
                <w:lang w:val="uk-UA"/>
              </w:rPr>
            </w:pPr>
            <w:r w:rsidRPr="00177D05">
              <w:rPr>
                <w:b/>
                <w:sz w:val="22"/>
                <w:szCs w:val="22"/>
                <w:lang w:val="uk-UA"/>
              </w:rPr>
              <w:t>Найменування Послуги</w:t>
            </w:r>
          </w:p>
        </w:tc>
        <w:tc>
          <w:tcPr>
            <w:tcW w:w="1212" w:type="dxa"/>
            <w:shd w:val="clear" w:color="auto" w:fill="D9E2F3"/>
            <w:hideMark/>
          </w:tcPr>
          <w:p w:rsidR="00392DAB" w:rsidRPr="00177D05" w:rsidRDefault="00392DAB" w:rsidP="00392DAB">
            <w:pPr>
              <w:widowControl w:val="0"/>
              <w:jc w:val="center"/>
              <w:rPr>
                <w:b/>
                <w:sz w:val="22"/>
                <w:szCs w:val="22"/>
                <w:lang w:val="uk-UA"/>
              </w:rPr>
            </w:pPr>
            <w:r w:rsidRPr="00177D05">
              <w:rPr>
                <w:b/>
                <w:sz w:val="22"/>
                <w:szCs w:val="22"/>
                <w:lang w:val="uk-UA"/>
              </w:rPr>
              <w:t>Одиниця</w:t>
            </w:r>
          </w:p>
          <w:p w:rsidR="00392DAB" w:rsidRPr="00177D05" w:rsidRDefault="00392DAB" w:rsidP="00392DAB">
            <w:pPr>
              <w:widowControl w:val="0"/>
              <w:jc w:val="center"/>
              <w:rPr>
                <w:b/>
                <w:sz w:val="22"/>
                <w:szCs w:val="22"/>
                <w:lang w:val="uk-UA"/>
              </w:rPr>
            </w:pPr>
            <w:r w:rsidRPr="00177D05">
              <w:rPr>
                <w:b/>
                <w:sz w:val="22"/>
                <w:szCs w:val="22"/>
                <w:lang w:val="uk-UA"/>
              </w:rPr>
              <w:t>виміру</w:t>
            </w:r>
          </w:p>
        </w:tc>
        <w:tc>
          <w:tcPr>
            <w:tcW w:w="862" w:type="dxa"/>
            <w:shd w:val="clear" w:color="auto" w:fill="D9E2F3"/>
          </w:tcPr>
          <w:p w:rsidR="00392DAB" w:rsidRPr="00177D05" w:rsidRDefault="00392DAB" w:rsidP="00392DAB">
            <w:pPr>
              <w:widowControl w:val="0"/>
              <w:jc w:val="center"/>
              <w:rPr>
                <w:b/>
                <w:sz w:val="22"/>
                <w:szCs w:val="22"/>
                <w:lang w:val="uk-UA"/>
              </w:rPr>
            </w:pPr>
            <w:r w:rsidRPr="00177D05">
              <w:rPr>
                <w:b/>
                <w:sz w:val="22"/>
                <w:szCs w:val="22"/>
                <w:lang w:val="uk-UA"/>
              </w:rPr>
              <w:t>Кількість</w:t>
            </w:r>
          </w:p>
          <w:p w:rsidR="00392DAB" w:rsidRPr="00177D05" w:rsidRDefault="00392DAB" w:rsidP="00392DAB">
            <w:pPr>
              <w:widowControl w:val="0"/>
              <w:jc w:val="center"/>
              <w:rPr>
                <w:b/>
                <w:sz w:val="22"/>
                <w:szCs w:val="22"/>
                <w:lang w:val="uk-UA"/>
              </w:rPr>
            </w:pPr>
          </w:p>
        </w:tc>
        <w:tc>
          <w:tcPr>
            <w:tcW w:w="5042" w:type="dxa"/>
            <w:shd w:val="clear" w:color="auto" w:fill="D9E2F3"/>
            <w:hideMark/>
          </w:tcPr>
          <w:p w:rsidR="00392DAB" w:rsidRPr="00177D05" w:rsidRDefault="00392DAB" w:rsidP="00392DAB">
            <w:pPr>
              <w:widowControl w:val="0"/>
              <w:jc w:val="center"/>
              <w:rPr>
                <w:b/>
                <w:sz w:val="22"/>
                <w:szCs w:val="22"/>
                <w:lang w:val="uk-UA"/>
              </w:rPr>
            </w:pPr>
            <w:r w:rsidRPr="00177D05">
              <w:rPr>
                <w:b/>
                <w:sz w:val="22"/>
                <w:szCs w:val="22"/>
                <w:lang w:val="uk-UA"/>
              </w:rPr>
              <w:t>Вид та обсяг Послуг</w:t>
            </w:r>
          </w:p>
          <w:p w:rsidR="00392DAB" w:rsidRPr="00177D05" w:rsidRDefault="00392DAB" w:rsidP="00392DAB">
            <w:pPr>
              <w:widowControl w:val="0"/>
              <w:jc w:val="center"/>
              <w:rPr>
                <w:b/>
                <w:sz w:val="22"/>
                <w:szCs w:val="22"/>
                <w:lang w:val="uk-UA"/>
              </w:rPr>
            </w:pPr>
            <w:r w:rsidRPr="00177D05">
              <w:rPr>
                <w:b/>
                <w:sz w:val="22"/>
                <w:szCs w:val="22"/>
                <w:lang w:val="uk-UA"/>
              </w:rPr>
              <w:t>(Технічна специфікація)</w:t>
            </w:r>
          </w:p>
        </w:tc>
      </w:tr>
      <w:tr w:rsidR="00392DAB" w:rsidRPr="00177D05" w:rsidTr="00392DAB">
        <w:trPr>
          <w:trHeight w:val="335"/>
        </w:trPr>
        <w:tc>
          <w:tcPr>
            <w:tcW w:w="758" w:type="dxa"/>
            <w:hideMark/>
          </w:tcPr>
          <w:p w:rsidR="00392DAB" w:rsidRPr="00177D05" w:rsidRDefault="00392DAB" w:rsidP="00392DAB">
            <w:pPr>
              <w:widowControl w:val="0"/>
              <w:rPr>
                <w:sz w:val="22"/>
                <w:szCs w:val="22"/>
                <w:lang w:val="uk-UA"/>
              </w:rPr>
            </w:pPr>
            <w:r w:rsidRPr="00177D05">
              <w:rPr>
                <w:sz w:val="22"/>
                <w:szCs w:val="22"/>
                <w:lang w:val="uk-UA"/>
              </w:rPr>
              <w:t>1</w:t>
            </w:r>
          </w:p>
        </w:tc>
        <w:tc>
          <w:tcPr>
            <w:tcW w:w="2541" w:type="dxa"/>
            <w:hideMark/>
          </w:tcPr>
          <w:p w:rsidR="00392DAB" w:rsidRPr="00177D05" w:rsidRDefault="00392DAB" w:rsidP="00392DAB">
            <w:pPr>
              <w:suppressAutoHyphens/>
              <w:jc w:val="center"/>
              <w:rPr>
                <w:sz w:val="22"/>
                <w:szCs w:val="22"/>
                <w:lang w:val="uk-UA"/>
              </w:rPr>
            </w:pPr>
            <w:r w:rsidRPr="00177D05">
              <w:rPr>
                <w:sz w:val="22"/>
                <w:szCs w:val="22"/>
                <w:lang w:val="uk-UA"/>
              </w:rPr>
              <w:t>Надання права</w:t>
            </w:r>
          </w:p>
          <w:p w:rsidR="00392DAB" w:rsidRPr="00177D05" w:rsidRDefault="00392DAB" w:rsidP="00392DAB">
            <w:pPr>
              <w:suppressAutoHyphens/>
              <w:jc w:val="center"/>
              <w:rPr>
                <w:sz w:val="22"/>
                <w:szCs w:val="22"/>
                <w:lang w:val="uk-UA"/>
              </w:rPr>
            </w:pPr>
            <w:r w:rsidRPr="00177D05">
              <w:rPr>
                <w:sz w:val="22"/>
                <w:szCs w:val="22"/>
                <w:lang w:val="uk-UA"/>
              </w:rPr>
              <w:t>(повноваження) на</w:t>
            </w:r>
          </w:p>
          <w:p w:rsidR="00392DAB" w:rsidRPr="00177D05" w:rsidRDefault="00392DAB" w:rsidP="00392DAB">
            <w:pPr>
              <w:suppressAutoHyphens/>
              <w:jc w:val="center"/>
              <w:rPr>
                <w:sz w:val="22"/>
                <w:szCs w:val="22"/>
                <w:lang w:val="uk-UA"/>
              </w:rPr>
            </w:pPr>
            <w:r w:rsidRPr="00177D05">
              <w:rPr>
                <w:sz w:val="22"/>
                <w:szCs w:val="22"/>
                <w:lang w:val="uk-UA"/>
              </w:rPr>
              <w:t>використання</w:t>
            </w:r>
          </w:p>
          <w:p w:rsidR="00392DAB" w:rsidRPr="00177D05" w:rsidRDefault="00392DAB" w:rsidP="00392DAB">
            <w:pPr>
              <w:suppressAutoHyphens/>
              <w:jc w:val="center"/>
              <w:rPr>
                <w:sz w:val="22"/>
                <w:szCs w:val="22"/>
                <w:lang w:val="uk-UA"/>
              </w:rPr>
            </w:pPr>
            <w:r w:rsidRPr="00177D05">
              <w:rPr>
                <w:sz w:val="22"/>
                <w:szCs w:val="22"/>
                <w:lang w:val="uk-UA"/>
              </w:rPr>
              <w:lastRenderedPageBreak/>
              <w:t>програмного</w:t>
            </w:r>
          </w:p>
          <w:p w:rsidR="00392DAB" w:rsidRPr="00177D05" w:rsidRDefault="00392DAB" w:rsidP="00392DAB">
            <w:pPr>
              <w:suppressAutoHyphens/>
              <w:jc w:val="center"/>
              <w:rPr>
                <w:sz w:val="22"/>
                <w:szCs w:val="22"/>
                <w:lang w:val="uk-UA"/>
              </w:rPr>
            </w:pPr>
            <w:r w:rsidRPr="00177D05">
              <w:rPr>
                <w:sz w:val="22"/>
                <w:szCs w:val="22"/>
                <w:lang w:val="uk-UA"/>
              </w:rPr>
              <w:t>забезпечення</w:t>
            </w:r>
          </w:p>
          <w:p w:rsidR="00392DAB" w:rsidRPr="00177D05" w:rsidRDefault="00392DAB" w:rsidP="00392DAB">
            <w:pPr>
              <w:suppressAutoHyphens/>
              <w:jc w:val="center"/>
              <w:rPr>
                <w:sz w:val="22"/>
                <w:szCs w:val="22"/>
                <w:lang w:val="uk-UA"/>
              </w:rPr>
            </w:pPr>
            <w:proofErr w:type="spellStart"/>
            <w:r w:rsidRPr="00177D05">
              <w:rPr>
                <w:sz w:val="22"/>
                <w:szCs w:val="22"/>
                <w:lang w:val="uk-UA"/>
              </w:rPr>
              <w:t>Ліга:Закон</w:t>
            </w:r>
            <w:proofErr w:type="spellEnd"/>
          </w:p>
        </w:tc>
        <w:tc>
          <w:tcPr>
            <w:tcW w:w="1212" w:type="dxa"/>
          </w:tcPr>
          <w:p w:rsidR="00392DAB" w:rsidRPr="00177D05" w:rsidRDefault="00392DAB" w:rsidP="00392DAB">
            <w:pPr>
              <w:suppressAutoHyphens/>
              <w:jc w:val="both"/>
              <w:rPr>
                <w:rFonts w:ascii="Calibri" w:hAnsi="Calibri" w:cs="Calibri"/>
                <w:sz w:val="22"/>
                <w:szCs w:val="22"/>
                <w:lang w:val="uk-UA"/>
              </w:rPr>
            </w:pPr>
            <w:r w:rsidRPr="00177D05">
              <w:rPr>
                <w:sz w:val="22"/>
                <w:szCs w:val="22"/>
                <w:lang w:val="uk-UA"/>
              </w:rPr>
              <w:lastRenderedPageBreak/>
              <w:t>Послуга</w:t>
            </w:r>
          </w:p>
        </w:tc>
        <w:tc>
          <w:tcPr>
            <w:tcW w:w="862" w:type="dxa"/>
          </w:tcPr>
          <w:p w:rsidR="00392DAB" w:rsidRPr="00177D05" w:rsidRDefault="00392DAB" w:rsidP="00392DAB">
            <w:pPr>
              <w:suppressAutoHyphens/>
              <w:jc w:val="center"/>
              <w:rPr>
                <w:sz w:val="22"/>
                <w:szCs w:val="22"/>
                <w:lang w:val="uk-UA"/>
              </w:rPr>
            </w:pPr>
            <w:r w:rsidRPr="00177D05">
              <w:rPr>
                <w:sz w:val="22"/>
                <w:szCs w:val="22"/>
                <w:lang w:val="uk-UA"/>
              </w:rPr>
              <w:t>1</w:t>
            </w:r>
          </w:p>
        </w:tc>
        <w:tc>
          <w:tcPr>
            <w:tcW w:w="5042" w:type="dxa"/>
          </w:tcPr>
          <w:p w:rsidR="00392DAB" w:rsidRDefault="00392DAB" w:rsidP="00392DAB">
            <w:pPr>
              <w:jc w:val="both"/>
              <w:rPr>
                <w:sz w:val="22"/>
                <w:szCs w:val="22"/>
                <w:lang w:val="uk-UA"/>
              </w:rPr>
            </w:pPr>
            <w:r w:rsidRPr="00177D05">
              <w:rPr>
                <w:sz w:val="22"/>
                <w:szCs w:val="22"/>
                <w:lang w:val="uk-UA"/>
              </w:rPr>
              <w:t>Надання право на використання нових ліцензій програмної продукції «LIGA 360» - 11 ліцензій:</w:t>
            </w:r>
          </w:p>
          <w:p w:rsidR="00392DAB" w:rsidRPr="00177D05" w:rsidRDefault="00392DAB" w:rsidP="00392DAB">
            <w:pPr>
              <w:jc w:val="both"/>
              <w:rPr>
                <w:sz w:val="22"/>
                <w:szCs w:val="22"/>
                <w:lang w:val="uk-UA"/>
              </w:rPr>
            </w:pPr>
          </w:p>
          <w:p w:rsidR="00392DAB" w:rsidRPr="00177D05" w:rsidRDefault="00392DAB" w:rsidP="00392DAB">
            <w:pPr>
              <w:jc w:val="both"/>
              <w:rPr>
                <w:sz w:val="22"/>
                <w:szCs w:val="22"/>
                <w:lang w:val="uk-UA"/>
              </w:rPr>
            </w:pPr>
            <w:r w:rsidRPr="00177D05">
              <w:rPr>
                <w:b/>
                <w:sz w:val="22"/>
                <w:szCs w:val="22"/>
                <w:lang w:val="uk-UA"/>
              </w:rPr>
              <w:lastRenderedPageBreak/>
              <w:t>1. LIGA360: ЮРИСТ ПРЕМІУМ</w:t>
            </w:r>
            <w:r w:rsidRPr="00177D05">
              <w:rPr>
                <w:sz w:val="22"/>
                <w:szCs w:val="22"/>
                <w:lang w:val="uk-UA"/>
              </w:rPr>
              <w:t xml:space="preserve"> – 4 ліцензії:</w:t>
            </w:r>
          </w:p>
          <w:p w:rsidR="00392DAB" w:rsidRPr="00177D05" w:rsidRDefault="00392DAB" w:rsidP="00392DAB">
            <w:pPr>
              <w:rPr>
                <w:sz w:val="22"/>
                <w:szCs w:val="22"/>
                <w:lang w:val="uk-UA"/>
              </w:rPr>
            </w:pPr>
            <w:r w:rsidRPr="00177D05">
              <w:rPr>
                <w:sz w:val="22"/>
                <w:szCs w:val="22"/>
                <w:lang w:val="uk-UA"/>
              </w:rPr>
              <w:t xml:space="preserve">• Інформаційно правову систему - вся законодавча, ситуації для бухгалтера, судова практика для бухгалтера, бухгалтерські проводки, правова картина дня, новації, влада України, банкрутство, довідники, галузі економіки, типові договори та шаблони, база податкових знань, судова практика, коментовані кодекси, європейське законодавство, типові договори та шаблони, галузі економіки, база податкових знань, та інше; </w:t>
            </w:r>
          </w:p>
          <w:p w:rsidR="00392DAB" w:rsidRPr="00177D05" w:rsidRDefault="00392DAB" w:rsidP="00392DAB">
            <w:pPr>
              <w:jc w:val="both"/>
              <w:rPr>
                <w:sz w:val="22"/>
                <w:szCs w:val="22"/>
                <w:lang w:val="uk-UA"/>
              </w:rPr>
            </w:pPr>
            <w:r w:rsidRPr="00177D05">
              <w:rPr>
                <w:sz w:val="22"/>
                <w:szCs w:val="22"/>
                <w:lang w:val="uk-UA"/>
              </w:rPr>
              <w:t xml:space="preserve">• систему аналізу судових рішень </w:t>
            </w:r>
            <w:proofErr w:type="spellStart"/>
            <w:r w:rsidRPr="00177D05">
              <w:rPr>
                <w:sz w:val="22"/>
                <w:szCs w:val="22"/>
                <w:lang w:val="uk-UA"/>
              </w:rPr>
              <w:t>VerdictumPRO</w:t>
            </w:r>
            <w:proofErr w:type="spellEnd"/>
            <w:r w:rsidRPr="00177D05">
              <w:rPr>
                <w:sz w:val="22"/>
                <w:szCs w:val="22"/>
                <w:lang w:val="uk-UA"/>
              </w:rPr>
              <w:t xml:space="preserve"> - всі судові рішення які є в реєстрі судових рішень, та додаткові фільтри, можливість </w:t>
            </w:r>
            <w:proofErr w:type="spellStart"/>
            <w:r w:rsidRPr="00177D05">
              <w:rPr>
                <w:sz w:val="22"/>
                <w:szCs w:val="22"/>
                <w:lang w:val="uk-UA"/>
              </w:rPr>
              <w:t>моніторити</w:t>
            </w:r>
            <w:proofErr w:type="spellEnd"/>
            <w:r w:rsidRPr="00177D05">
              <w:rPr>
                <w:sz w:val="22"/>
                <w:szCs w:val="22"/>
                <w:lang w:val="uk-UA"/>
              </w:rPr>
              <w:t xml:space="preserve"> судову справу і судові засідання, та оновлена функція - оцінка ймовірності перемоги у суді на основі аналізу позовної заяви за допомогою штучного інтелекту; </w:t>
            </w:r>
          </w:p>
          <w:p w:rsidR="00392DAB" w:rsidRPr="00177D05" w:rsidRDefault="00392DAB" w:rsidP="00392DAB">
            <w:pPr>
              <w:jc w:val="both"/>
              <w:rPr>
                <w:sz w:val="22"/>
                <w:szCs w:val="22"/>
                <w:lang w:val="uk-UA"/>
              </w:rPr>
            </w:pPr>
            <w:r w:rsidRPr="00177D05">
              <w:rPr>
                <w:sz w:val="22"/>
                <w:szCs w:val="22"/>
                <w:lang w:val="uk-UA"/>
              </w:rPr>
              <w:t xml:space="preserve">• систему перевірки контрагентів </w:t>
            </w:r>
            <w:proofErr w:type="spellStart"/>
            <w:r w:rsidRPr="00177D05">
              <w:rPr>
                <w:sz w:val="22"/>
                <w:szCs w:val="22"/>
                <w:lang w:val="uk-UA"/>
              </w:rPr>
              <w:t>Contragent</w:t>
            </w:r>
            <w:proofErr w:type="spellEnd"/>
            <w:r w:rsidRPr="00177D05">
              <w:rPr>
                <w:sz w:val="22"/>
                <w:szCs w:val="22"/>
                <w:lang w:val="uk-UA"/>
              </w:rPr>
              <w:t xml:space="preserve"> (250 переглядів в місяць і 50 карточок на моніторинг) - повне досьє </w:t>
            </w:r>
            <w:proofErr w:type="spellStart"/>
            <w:r w:rsidRPr="00177D05">
              <w:rPr>
                <w:sz w:val="22"/>
                <w:szCs w:val="22"/>
                <w:lang w:val="uk-UA"/>
              </w:rPr>
              <w:t>ФОПів</w:t>
            </w:r>
            <w:proofErr w:type="spellEnd"/>
            <w:r w:rsidRPr="00177D05">
              <w:rPr>
                <w:sz w:val="22"/>
                <w:szCs w:val="22"/>
                <w:lang w:val="uk-UA"/>
              </w:rPr>
              <w:t xml:space="preserve">, юридичних осіб, та фізичних осіб, тобто де ще фігурує підписант чи </w:t>
            </w:r>
            <w:proofErr w:type="spellStart"/>
            <w:r w:rsidRPr="00177D05">
              <w:rPr>
                <w:sz w:val="22"/>
                <w:szCs w:val="22"/>
                <w:lang w:val="uk-UA"/>
              </w:rPr>
              <w:t>бенефіціар</w:t>
            </w:r>
            <w:proofErr w:type="spellEnd"/>
            <w:r w:rsidRPr="00177D05">
              <w:rPr>
                <w:sz w:val="22"/>
                <w:szCs w:val="22"/>
                <w:lang w:val="uk-UA"/>
              </w:rPr>
              <w:t xml:space="preserve">, зв'язки з іншими компаніями, інформацію про використання публічних коштів, всі тендерні закупівлі і багато іншого; </w:t>
            </w:r>
          </w:p>
          <w:p w:rsidR="00392DAB" w:rsidRPr="00177D05" w:rsidRDefault="00392DAB" w:rsidP="00392DAB">
            <w:pPr>
              <w:jc w:val="both"/>
              <w:rPr>
                <w:sz w:val="22"/>
                <w:szCs w:val="22"/>
                <w:lang w:val="uk-UA"/>
              </w:rPr>
            </w:pPr>
            <w:r w:rsidRPr="00177D05">
              <w:rPr>
                <w:sz w:val="22"/>
                <w:szCs w:val="22"/>
                <w:lang w:val="uk-UA"/>
              </w:rPr>
              <w:t xml:space="preserve">• електронне видання ЮРИСТ і ЗАКОН - аналітичне видання щодо практики правозастосування з нагальних для юристів питань. Вміщує унікальні типи аналітичних матеріалів щодо огляду </w:t>
            </w:r>
            <w:proofErr w:type="spellStart"/>
            <w:r w:rsidRPr="00177D05">
              <w:rPr>
                <w:sz w:val="22"/>
                <w:szCs w:val="22"/>
                <w:lang w:val="uk-UA"/>
              </w:rPr>
              <w:t>тематик</w:t>
            </w:r>
            <w:proofErr w:type="spellEnd"/>
            <w:r w:rsidRPr="00177D05">
              <w:rPr>
                <w:sz w:val="22"/>
                <w:szCs w:val="22"/>
                <w:lang w:val="uk-UA"/>
              </w:rPr>
              <w:t xml:space="preserve"> професійних юридичних форумів, алгоритми дії у практичних ситуаціях, зразки документів із рекомендаціями щодо складання та застосування. </w:t>
            </w:r>
          </w:p>
          <w:p w:rsidR="00392DAB" w:rsidRPr="00177D05" w:rsidRDefault="00392DAB" w:rsidP="00392DAB">
            <w:pPr>
              <w:jc w:val="both"/>
              <w:rPr>
                <w:sz w:val="22"/>
                <w:szCs w:val="22"/>
                <w:lang w:val="uk-UA"/>
              </w:rPr>
            </w:pPr>
            <w:r w:rsidRPr="00177D05">
              <w:rPr>
                <w:sz w:val="22"/>
                <w:szCs w:val="22"/>
                <w:lang w:val="uk-UA"/>
              </w:rPr>
              <w:t xml:space="preserve">• А також продукт – </w:t>
            </w:r>
            <w:proofErr w:type="spellStart"/>
            <w:r w:rsidRPr="00177D05">
              <w:rPr>
                <w:sz w:val="22"/>
                <w:szCs w:val="22"/>
                <w:lang w:val="uk-UA"/>
              </w:rPr>
              <w:t>Contractum</w:t>
            </w:r>
            <w:proofErr w:type="spellEnd"/>
            <w:r w:rsidRPr="00177D05">
              <w:rPr>
                <w:sz w:val="22"/>
                <w:szCs w:val="22"/>
                <w:lang w:val="uk-UA"/>
              </w:rPr>
              <w:t xml:space="preserve"> - управління ризиками протягом усього життєвого циклу договору, забезпечення відповідності діючому законодавству, концепція доступу для різноманітних ролей у компанії, безперервність відслідковування виконання, автоматичне нагадування про продовження термінів, зручні функції пошуку, класифікація та сортування, швидкий хмарний доступ до всіх інструментів та функцій. Використовуючи функціонал </w:t>
            </w:r>
            <w:proofErr w:type="spellStart"/>
            <w:r w:rsidRPr="00177D05">
              <w:rPr>
                <w:sz w:val="22"/>
                <w:szCs w:val="22"/>
                <w:lang w:val="uk-UA"/>
              </w:rPr>
              <w:t>Contractum</w:t>
            </w:r>
            <w:proofErr w:type="spellEnd"/>
            <w:r w:rsidRPr="00177D05">
              <w:rPr>
                <w:sz w:val="22"/>
                <w:szCs w:val="22"/>
                <w:lang w:val="uk-UA"/>
              </w:rPr>
              <w:t xml:space="preserve"> в рамках комплексного рішення LIGA360, фахівці компанії тепер можуть автоматизувати роботу з договорами на усіх етапах – від отримання вимог замовників до постановки договору на моніторинг та відстеження його виконання.</w:t>
            </w:r>
          </w:p>
          <w:p w:rsidR="00392DAB" w:rsidRPr="00177D05" w:rsidRDefault="00392DAB" w:rsidP="00392DAB">
            <w:pPr>
              <w:jc w:val="both"/>
              <w:rPr>
                <w:sz w:val="22"/>
                <w:szCs w:val="22"/>
                <w:lang w:val="uk-UA"/>
              </w:rPr>
            </w:pPr>
          </w:p>
          <w:p w:rsidR="00392DAB" w:rsidRPr="00177D05" w:rsidRDefault="00392DAB" w:rsidP="00392DAB">
            <w:pPr>
              <w:jc w:val="both"/>
              <w:rPr>
                <w:sz w:val="22"/>
                <w:szCs w:val="22"/>
                <w:lang w:val="uk-UA"/>
              </w:rPr>
            </w:pPr>
            <w:r w:rsidRPr="00177D05">
              <w:rPr>
                <w:b/>
                <w:sz w:val="22"/>
                <w:szCs w:val="22"/>
                <w:lang w:val="uk-UA"/>
              </w:rPr>
              <w:t>2. LIGA360: БУХГАЛТЕР ПРЕМІУМ</w:t>
            </w:r>
            <w:r w:rsidRPr="00177D05">
              <w:rPr>
                <w:sz w:val="22"/>
                <w:szCs w:val="22"/>
                <w:lang w:val="uk-UA"/>
              </w:rPr>
              <w:t xml:space="preserve"> – 3 ліцензії:</w:t>
            </w:r>
          </w:p>
          <w:p w:rsidR="00392DAB" w:rsidRPr="00177D05" w:rsidRDefault="00392DAB" w:rsidP="00392DAB">
            <w:pPr>
              <w:jc w:val="both"/>
              <w:rPr>
                <w:sz w:val="22"/>
                <w:szCs w:val="22"/>
                <w:lang w:val="uk-UA"/>
              </w:rPr>
            </w:pPr>
            <w:r w:rsidRPr="00177D05">
              <w:rPr>
                <w:sz w:val="22"/>
                <w:szCs w:val="22"/>
                <w:lang w:val="uk-UA"/>
              </w:rPr>
              <w:t xml:space="preserve">• Інформаційно правову систему - вся законодавча, ситуації для бухгалтера, судова практика для бухгалтера, бухгалтерські проводки, правова картина дня, новації, влада України, банкрутство, довідники, галузі економіки, типові договори та шаблони, база податкових знань, судова практика, коментовані кодекси, європейське законодавство, типові договори та шаблони, галузі економіки, база </w:t>
            </w:r>
            <w:r w:rsidRPr="00177D05">
              <w:rPr>
                <w:sz w:val="22"/>
                <w:szCs w:val="22"/>
                <w:lang w:val="uk-UA"/>
              </w:rPr>
              <w:lastRenderedPageBreak/>
              <w:t xml:space="preserve">податкових знань, та інше; • систему перевірки контрагентів CONTR AGENT (50 переглядів в місяць і 20 карточок на моніторинг) - повне досьє </w:t>
            </w:r>
            <w:proofErr w:type="spellStart"/>
            <w:r w:rsidRPr="00177D05">
              <w:rPr>
                <w:sz w:val="22"/>
                <w:szCs w:val="22"/>
                <w:lang w:val="uk-UA"/>
              </w:rPr>
              <w:t>ФОПів</w:t>
            </w:r>
            <w:proofErr w:type="spellEnd"/>
            <w:r w:rsidRPr="00177D05">
              <w:rPr>
                <w:sz w:val="22"/>
                <w:szCs w:val="22"/>
                <w:lang w:val="uk-UA"/>
              </w:rPr>
              <w:t xml:space="preserve">, юридичних осіб, та фізичних осіб, тобто де ще фігурує підписант чи </w:t>
            </w:r>
            <w:proofErr w:type="spellStart"/>
            <w:r w:rsidRPr="00177D05">
              <w:rPr>
                <w:sz w:val="22"/>
                <w:szCs w:val="22"/>
                <w:lang w:val="uk-UA"/>
              </w:rPr>
              <w:t>бенефіціар</w:t>
            </w:r>
            <w:proofErr w:type="spellEnd"/>
            <w:r w:rsidRPr="00177D05">
              <w:rPr>
                <w:sz w:val="22"/>
                <w:szCs w:val="22"/>
                <w:lang w:val="uk-UA"/>
              </w:rPr>
              <w:t xml:space="preserve">, зв'язки з іншими компаніями, інформація про використання публічних коштів, всі тендерні закупівлі і багато іншого; • електронне видання БУХГАЛТЕР і ЗАКОН - аналітичне видання для бухгалтерів та фінансистів із глибинним систематизованим аналізом найважливіших бухгалтерських </w:t>
            </w:r>
            <w:proofErr w:type="spellStart"/>
            <w:r w:rsidRPr="00177D05">
              <w:rPr>
                <w:sz w:val="22"/>
                <w:szCs w:val="22"/>
                <w:lang w:val="uk-UA"/>
              </w:rPr>
              <w:t>тематик</w:t>
            </w:r>
            <w:proofErr w:type="spellEnd"/>
            <w:r w:rsidRPr="00177D05">
              <w:rPr>
                <w:sz w:val="22"/>
                <w:szCs w:val="22"/>
                <w:lang w:val="uk-UA"/>
              </w:rPr>
              <w:t xml:space="preserve"> з оглядом на практику, досвід судового вирішення питань, рекомендації фіскальних та контролюючих органів. • ОСОБИСТИЙ ЕКСПЕРТ (1 консультація на міс.) • електронне видання ІНТРЕБУХ - щоденна електронна газета та новини, база нормативних документів, тематичні спецвипуски, </w:t>
            </w:r>
            <w:proofErr w:type="spellStart"/>
            <w:r w:rsidRPr="00177D05">
              <w:rPr>
                <w:sz w:val="22"/>
                <w:szCs w:val="22"/>
                <w:lang w:val="uk-UA"/>
              </w:rPr>
              <w:t>вебінари</w:t>
            </w:r>
            <w:proofErr w:type="spellEnd"/>
            <w:r w:rsidRPr="00177D05">
              <w:rPr>
                <w:sz w:val="22"/>
                <w:szCs w:val="22"/>
                <w:lang w:val="uk-UA"/>
              </w:rPr>
              <w:t>; • електронне видання ВІСНИК МСФЗ - Аналітичне видання про застосування міжнародних стандартів фінансової звітності (МСФЗ) в практиці українських підприємств. Містить бібліотеку офіційних перекладів МСФЗ та аналітичні матеріали експертів, також висвітлюються питання міжнародного оподаткування.</w:t>
            </w:r>
          </w:p>
          <w:p w:rsidR="00392DAB" w:rsidRPr="00177D05" w:rsidRDefault="00392DAB" w:rsidP="00392DAB">
            <w:pPr>
              <w:jc w:val="both"/>
              <w:rPr>
                <w:sz w:val="22"/>
                <w:szCs w:val="22"/>
                <w:lang w:val="uk-UA"/>
              </w:rPr>
            </w:pPr>
          </w:p>
          <w:p w:rsidR="00392DAB" w:rsidRPr="00177D05" w:rsidRDefault="00392DAB" w:rsidP="00392DAB">
            <w:pPr>
              <w:jc w:val="both"/>
              <w:rPr>
                <w:sz w:val="22"/>
                <w:szCs w:val="22"/>
                <w:lang w:val="uk-UA"/>
              </w:rPr>
            </w:pPr>
            <w:r w:rsidRPr="00177D05">
              <w:rPr>
                <w:b/>
                <w:sz w:val="22"/>
                <w:szCs w:val="22"/>
                <w:lang w:val="uk-UA"/>
              </w:rPr>
              <w:t>3. LIGA360: КЕРІВНИК ПРЕМІУМ</w:t>
            </w:r>
            <w:r w:rsidRPr="00177D05">
              <w:rPr>
                <w:sz w:val="22"/>
                <w:szCs w:val="22"/>
                <w:lang w:val="uk-UA"/>
              </w:rPr>
              <w:t xml:space="preserve"> – 1 ліцензія:</w:t>
            </w:r>
          </w:p>
          <w:p w:rsidR="00392DAB" w:rsidRPr="00177D05" w:rsidRDefault="00392DAB" w:rsidP="00392DAB">
            <w:pPr>
              <w:jc w:val="both"/>
              <w:rPr>
                <w:sz w:val="22"/>
                <w:szCs w:val="22"/>
                <w:lang w:val="uk-UA"/>
              </w:rPr>
            </w:pPr>
            <w:r w:rsidRPr="00177D05">
              <w:rPr>
                <w:sz w:val="22"/>
                <w:szCs w:val="22"/>
                <w:lang w:val="uk-UA"/>
              </w:rPr>
              <w:t>• інформаційно-правову систему Прайм - вся законодавча база, правова картина дня, новації, влада України, банкрутство, довідники, галузі економіки, судова практика, коментовані кодекси, європейське законодавство, типові договори та шаблони та інше, база податкових знань;</w:t>
            </w:r>
          </w:p>
          <w:p w:rsidR="00392DAB" w:rsidRPr="00177D05" w:rsidRDefault="00392DAB" w:rsidP="00392DAB">
            <w:pPr>
              <w:jc w:val="both"/>
              <w:rPr>
                <w:sz w:val="22"/>
                <w:szCs w:val="22"/>
                <w:lang w:val="uk-UA"/>
              </w:rPr>
            </w:pPr>
            <w:r w:rsidRPr="00177D05">
              <w:rPr>
                <w:sz w:val="22"/>
                <w:szCs w:val="22"/>
                <w:lang w:val="uk-UA"/>
              </w:rPr>
              <w:t xml:space="preserve">• систему перевірки контрагентів </w:t>
            </w:r>
            <w:proofErr w:type="spellStart"/>
            <w:r w:rsidRPr="00177D05">
              <w:rPr>
                <w:sz w:val="22"/>
                <w:szCs w:val="22"/>
                <w:lang w:val="uk-UA"/>
              </w:rPr>
              <w:t>Contr</w:t>
            </w:r>
            <w:proofErr w:type="spellEnd"/>
            <w:r w:rsidRPr="00177D05">
              <w:rPr>
                <w:sz w:val="22"/>
                <w:szCs w:val="22"/>
                <w:lang w:val="uk-UA"/>
              </w:rPr>
              <w:t xml:space="preserve"> </w:t>
            </w:r>
            <w:proofErr w:type="spellStart"/>
            <w:r w:rsidRPr="00177D05">
              <w:rPr>
                <w:sz w:val="22"/>
                <w:szCs w:val="22"/>
                <w:lang w:val="uk-UA"/>
              </w:rPr>
              <w:t>Agent</w:t>
            </w:r>
            <w:proofErr w:type="spellEnd"/>
            <w:r w:rsidRPr="00177D05">
              <w:rPr>
                <w:sz w:val="22"/>
                <w:szCs w:val="22"/>
                <w:lang w:val="uk-UA"/>
              </w:rPr>
              <w:t xml:space="preserve"> (750 переглядів в місяць і 150 карточок на моніторинг) - повне досьє </w:t>
            </w:r>
            <w:proofErr w:type="spellStart"/>
            <w:r w:rsidRPr="00177D05">
              <w:rPr>
                <w:sz w:val="22"/>
                <w:szCs w:val="22"/>
                <w:lang w:val="uk-UA"/>
              </w:rPr>
              <w:t>ФОПів</w:t>
            </w:r>
            <w:proofErr w:type="spellEnd"/>
            <w:r w:rsidRPr="00177D05">
              <w:rPr>
                <w:sz w:val="22"/>
                <w:szCs w:val="22"/>
                <w:lang w:val="uk-UA"/>
              </w:rPr>
              <w:t xml:space="preserve">, юридичних осіб, та фізичних осіб, тобто де ще фігурує підписант чи </w:t>
            </w:r>
            <w:proofErr w:type="spellStart"/>
            <w:r w:rsidRPr="00177D05">
              <w:rPr>
                <w:sz w:val="22"/>
                <w:szCs w:val="22"/>
                <w:lang w:val="uk-UA"/>
              </w:rPr>
              <w:t>бенефіціар</w:t>
            </w:r>
            <w:proofErr w:type="spellEnd"/>
            <w:r w:rsidRPr="00177D05">
              <w:rPr>
                <w:sz w:val="22"/>
                <w:szCs w:val="22"/>
                <w:lang w:val="uk-UA"/>
              </w:rPr>
              <w:t xml:space="preserve">, зв'язки з іншими компаніями, інформація про використання публічних коштів, всі тендерні закупівлі, та багато іншого; • сервіс SEMANTRUM 1 тема - персональний онлайн-сервіс моніторингу всіх типів ЗМІ та </w:t>
            </w:r>
            <w:proofErr w:type="spellStart"/>
            <w:r w:rsidRPr="00177D05">
              <w:rPr>
                <w:sz w:val="22"/>
                <w:szCs w:val="22"/>
                <w:lang w:val="uk-UA"/>
              </w:rPr>
              <w:t>соцмедіа</w:t>
            </w:r>
            <w:proofErr w:type="spellEnd"/>
            <w:r w:rsidRPr="00177D05">
              <w:rPr>
                <w:sz w:val="22"/>
                <w:szCs w:val="22"/>
                <w:lang w:val="uk-UA"/>
              </w:rPr>
              <w:t>.</w:t>
            </w:r>
          </w:p>
          <w:p w:rsidR="00392DAB" w:rsidRPr="00177D05" w:rsidRDefault="00392DAB" w:rsidP="00392DAB">
            <w:pPr>
              <w:jc w:val="both"/>
              <w:rPr>
                <w:sz w:val="22"/>
                <w:szCs w:val="22"/>
                <w:lang w:val="uk-UA"/>
              </w:rPr>
            </w:pPr>
          </w:p>
          <w:p w:rsidR="00392DAB" w:rsidRPr="00177D05" w:rsidRDefault="00392DAB" w:rsidP="00392DAB">
            <w:pPr>
              <w:jc w:val="both"/>
              <w:rPr>
                <w:sz w:val="22"/>
                <w:szCs w:val="22"/>
                <w:lang w:val="uk-UA"/>
              </w:rPr>
            </w:pPr>
            <w:r w:rsidRPr="00177D05">
              <w:rPr>
                <w:b/>
                <w:sz w:val="22"/>
                <w:szCs w:val="22"/>
                <w:lang w:val="uk-UA"/>
              </w:rPr>
              <w:t>4. LIGA360: АУДИТОР</w:t>
            </w:r>
            <w:r w:rsidRPr="00177D05">
              <w:rPr>
                <w:sz w:val="22"/>
                <w:szCs w:val="22"/>
                <w:lang w:val="uk-UA"/>
              </w:rPr>
              <w:t xml:space="preserve"> – 1 ліцензія:</w:t>
            </w:r>
          </w:p>
          <w:p w:rsidR="00392DAB" w:rsidRPr="00177D05" w:rsidRDefault="00392DAB" w:rsidP="00392DAB">
            <w:pPr>
              <w:jc w:val="both"/>
              <w:rPr>
                <w:sz w:val="22"/>
                <w:szCs w:val="22"/>
                <w:lang w:val="uk-UA"/>
              </w:rPr>
            </w:pPr>
            <w:r w:rsidRPr="00177D05">
              <w:rPr>
                <w:sz w:val="22"/>
                <w:szCs w:val="22"/>
                <w:lang w:val="uk-UA"/>
              </w:rPr>
              <w:t xml:space="preserve">• Інформаційно правову систему - вся законодавча, ситуації для бухгалтера, судова практика для бухгалтера, бухгалтерські проводки, правова картина дня, новації, влада України, банкрутство, довідники, галузі економіки, типові договори та шаблони, база податкових знань, судова практика, коментовані кодекси, європейське законодавство, типові договори та шаблони, галузі економіки, база податкових знань, та інше; • систему перевірки контрагентів CONTR AGENT (50 переглядів в місяць і 20 карточок на моніторинг) - повне досьє </w:t>
            </w:r>
            <w:proofErr w:type="spellStart"/>
            <w:r w:rsidRPr="00177D05">
              <w:rPr>
                <w:sz w:val="22"/>
                <w:szCs w:val="22"/>
                <w:lang w:val="uk-UA"/>
              </w:rPr>
              <w:t>ФОПів</w:t>
            </w:r>
            <w:proofErr w:type="spellEnd"/>
            <w:r w:rsidRPr="00177D05">
              <w:rPr>
                <w:sz w:val="22"/>
                <w:szCs w:val="22"/>
                <w:lang w:val="uk-UA"/>
              </w:rPr>
              <w:t xml:space="preserve">, юридичних осіб, та фізичних осіб, тобто де ще фігурує підписант чи </w:t>
            </w:r>
            <w:proofErr w:type="spellStart"/>
            <w:r w:rsidRPr="00177D05">
              <w:rPr>
                <w:sz w:val="22"/>
                <w:szCs w:val="22"/>
                <w:lang w:val="uk-UA"/>
              </w:rPr>
              <w:t>бенефіціар</w:t>
            </w:r>
            <w:proofErr w:type="spellEnd"/>
            <w:r w:rsidRPr="00177D05">
              <w:rPr>
                <w:sz w:val="22"/>
                <w:szCs w:val="22"/>
                <w:lang w:val="uk-UA"/>
              </w:rPr>
              <w:t xml:space="preserve">, зв'язки з іншими компаніями, інформація про використання публічних коштів, всі тендерні закупівлі і багато </w:t>
            </w:r>
            <w:r w:rsidRPr="00177D05">
              <w:rPr>
                <w:sz w:val="22"/>
                <w:szCs w:val="22"/>
                <w:lang w:val="uk-UA"/>
              </w:rPr>
              <w:lastRenderedPageBreak/>
              <w:t>іншого; • електронне видання ВІСНИК МСФЗ - Аналітичне видання про застосування міжнародних стандартів фінансової звітності (МСФЗ) в практиці українських підприємств. Містить бібліотеку офіційних перекладів МСФЗ та аналітичні матеріали експертів, також висвітлюються питання міжнародного оподаткування;</w:t>
            </w:r>
          </w:p>
          <w:p w:rsidR="00392DAB" w:rsidRPr="00177D05" w:rsidRDefault="00392DAB" w:rsidP="00392DAB">
            <w:pPr>
              <w:jc w:val="both"/>
              <w:rPr>
                <w:sz w:val="22"/>
                <w:szCs w:val="22"/>
                <w:lang w:val="uk-UA"/>
              </w:rPr>
            </w:pPr>
          </w:p>
          <w:p w:rsidR="00392DAB" w:rsidRPr="00177D05" w:rsidRDefault="00392DAB" w:rsidP="00392DAB">
            <w:pPr>
              <w:jc w:val="both"/>
              <w:rPr>
                <w:sz w:val="22"/>
                <w:szCs w:val="22"/>
                <w:lang w:val="uk-UA"/>
              </w:rPr>
            </w:pPr>
            <w:r w:rsidRPr="00177D05">
              <w:rPr>
                <w:b/>
                <w:sz w:val="22"/>
                <w:szCs w:val="22"/>
                <w:lang w:val="uk-UA"/>
              </w:rPr>
              <w:t>5. LIGA360: HR ПРЕМІУМ</w:t>
            </w:r>
            <w:r w:rsidRPr="00177D05">
              <w:rPr>
                <w:sz w:val="22"/>
                <w:szCs w:val="22"/>
                <w:lang w:val="uk-UA"/>
              </w:rPr>
              <w:t xml:space="preserve"> – 1 ліцензія:</w:t>
            </w:r>
          </w:p>
          <w:p w:rsidR="00392DAB" w:rsidRPr="00177D05" w:rsidRDefault="00392DAB" w:rsidP="00392DAB">
            <w:pPr>
              <w:jc w:val="both"/>
              <w:rPr>
                <w:sz w:val="22"/>
                <w:szCs w:val="22"/>
                <w:lang w:val="uk-UA"/>
              </w:rPr>
            </w:pPr>
            <w:r w:rsidRPr="00177D05">
              <w:rPr>
                <w:sz w:val="22"/>
                <w:szCs w:val="22"/>
                <w:lang w:val="uk-UA"/>
              </w:rPr>
              <w:t xml:space="preserve">• інформаційно-правову систему Кадровик - вся законодавча, ситуації для </w:t>
            </w:r>
            <w:proofErr w:type="spellStart"/>
            <w:r w:rsidRPr="00177D05">
              <w:rPr>
                <w:sz w:val="22"/>
                <w:szCs w:val="22"/>
                <w:lang w:val="uk-UA"/>
              </w:rPr>
              <w:t>кадро</w:t>
            </w:r>
            <w:proofErr w:type="spellEnd"/>
            <w:r w:rsidRPr="00177D05">
              <w:rPr>
                <w:sz w:val="22"/>
                <w:szCs w:val="22"/>
                <w:lang w:val="uk-UA"/>
              </w:rPr>
              <w:t xml:space="preserve">-вика, інструкції та шаблони для кадровика, правова картина дня, новації, влада України, банкрутство, довідники, типові договори та шаблони, база податкових знань; • систему перевірки контрагентів </w:t>
            </w:r>
            <w:proofErr w:type="spellStart"/>
            <w:r w:rsidRPr="00177D05">
              <w:rPr>
                <w:sz w:val="22"/>
                <w:szCs w:val="22"/>
                <w:lang w:val="uk-UA"/>
              </w:rPr>
              <w:t>Contr</w:t>
            </w:r>
            <w:proofErr w:type="spellEnd"/>
            <w:r w:rsidRPr="00177D05">
              <w:rPr>
                <w:sz w:val="22"/>
                <w:szCs w:val="22"/>
                <w:lang w:val="uk-UA"/>
              </w:rPr>
              <w:t xml:space="preserve"> </w:t>
            </w:r>
            <w:proofErr w:type="spellStart"/>
            <w:r w:rsidRPr="00177D05">
              <w:rPr>
                <w:sz w:val="22"/>
                <w:szCs w:val="22"/>
                <w:lang w:val="uk-UA"/>
              </w:rPr>
              <w:t>Agent</w:t>
            </w:r>
            <w:proofErr w:type="spellEnd"/>
            <w:r w:rsidRPr="00177D05">
              <w:rPr>
                <w:sz w:val="22"/>
                <w:szCs w:val="22"/>
                <w:lang w:val="uk-UA"/>
              </w:rPr>
              <w:t xml:space="preserve"> (50 переглядів в місяць і 20 карточок на моніторинг) - повне досьє </w:t>
            </w:r>
            <w:proofErr w:type="spellStart"/>
            <w:r w:rsidRPr="00177D05">
              <w:rPr>
                <w:sz w:val="22"/>
                <w:szCs w:val="22"/>
                <w:lang w:val="uk-UA"/>
              </w:rPr>
              <w:t>ФОПів</w:t>
            </w:r>
            <w:proofErr w:type="spellEnd"/>
            <w:r w:rsidRPr="00177D05">
              <w:rPr>
                <w:sz w:val="22"/>
                <w:szCs w:val="22"/>
                <w:lang w:val="uk-UA"/>
              </w:rPr>
              <w:t xml:space="preserve">, юридичних осіб, та фізичних осіб, тобто де ще фігурує підписант чи </w:t>
            </w:r>
            <w:proofErr w:type="spellStart"/>
            <w:r w:rsidRPr="00177D05">
              <w:rPr>
                <w:sz w:val="22"/>
                <w:szCs w:val="22"/>
                <w:lang w:val="uk-UA"/>
              </w:rPr>
              <w:t>бенефіціар</w:t>
            </w:r>
            <w:proofErr w:type="spellEnd"/>
            <w:r w:rsidRPr="00177D05">
              <w:rPr>
                <w:sz w:val="22"/>
                <w:szCs w:val="22"/>
                <w:lang w:val="uk-UA"/>
              </w:rPr>
              <w:t xml:space="preserve">, зв'язки з іншими компаніями, інформація про використання публічних коштів, всі тендерні закупівлі і багато іншого; • сервіс SEMANTRUM 1 тема - персональний онлайн-сервіс моніторингу всіх типів ЗМІ та </w:t>
            </w:r>
            <w:proofErr w:type="spellStart"/>
            <w:r w:rsidRPr="00177D05">
              <w:rPr>
                <w:sz w:val="22"/>
                <w:szCs w:val="22"/>
                <w:lang w:val="uk-UA"/>
              </w:rPr>
              <w:t>соцмедіа</w:t>
            </w:r>
            <w:proofErr w:type="spellEnd"/>
            <w:r w:rsidRPr="00177D05">
              <w:rPr>
                <w:sz w:val="22"/>
                <w:szCs w:val="22"/>
                <w:lang w:val="uk-UA"/>
              </w:rPr>
              <w:t xml:space="preserve"> • електронне видання БУХГАЛТЕР і ЗАКОН - аналітичне видання для бухгалтерів та фінансистів із глибинним систематизованим аналізом найважливіших бухгалтерських </w:t>
            </w:r>
            <w:proofErr w:type="spellStart"/>
            <w:r w:rsidRPr="00177D05">
              <w:rPr>
                <w:sz w:val="22"/>
                <w:szCs w:val="22"/>
                <w:lang w:val="uk-UA"/>
              </w:rPr>
              <w:t>тематик</w:t>
            </w:r>
            <w:proofErr w:type="spellEnd"/>
            <w:r w:rsidRPr="00177D05">
              <w:rPr>
                <w:sz w:val="22"/>
                <w:szCs w:val="22"/>
                <w:lang w:val="uk-UA"/>
              </w:rPr>
              <w:t xml:space="preserve"> з оглядом на практику, досвід судового вирішення питань, рекомендації фіскальних та контролюючих органів.</w:t>
            </w:r>
          </w:p>
          <w:p w:rsidR="00392DAB" w:rsidRPr="00177D05" w:rsidRDefault="00392DAB" w:rsidP="00392DAB">
            <w:pPr>
              <w:jc w:val="both"/>
              <w:rPr>
                <w:sz w:val="22"/>
                <w:szCs w:val="22"/>
                <w:lang w:val="uk-UA"/>
              </w:rPr>
            </w:pPr>
          </w:p>
          <w:p w:rsidR="00392DAB" w:rsidRPr="00177D05" w:rsidRDefault="00392DAB" w:rsidP="00392DAB">
            <w:pPr>
              <w:jc w:val="both"/>
              <w:rPr>
                <w:sz w:val="22"/>
                <w:szCs w:val="22"/>
                <w:lang w:val="uk-UA"/>
              </w:rPr>
            </w:pPr>
            <w:r w:rsidRPr="00177D05">
              <w:rPr>
                <w:b/>
                <w:sz w:val="22"/>
                <w:szCs w:val="22"/>
                <w:lang w:val="uk-UA"/>
              </w:rPr>
              <w:t>6. LIGA360: СПЕЦІАЛІСТ З БЕЗПЕКИ ПРЕМІУМ</w:t>
            </w:r>
            <w:r w:rsidRPr="00177D05">
              <w:rPr>
                <w:sz w:val="22"/>
                <w:szCs w:val="22"/>
                <w:lang w:val="uk-UA"/>
              </w:rPr>
              <w:t xml:space="preserve"> – 1 ліцензія:</w:t>
            </w:r>
          </w:p>
          <w:p w:rsidR="00392DAB" w:rsidRPr="00177D05" w:rsidRDefault="00392DAB" w:rsidP="00392DAB">
            <w:pPr>
              <w:suppressAutoHyphens/>
              <w:jc w:val="both"/>
              <w:rPr>
                <w:sz w:val="22"/>
                <w:szCs w:val="22"/>
                <w:lang w:val="uk-UA"/>
              </w:rPr>
            </w:pPr>
            <w:r w:rsidRPr="00177D05">
              <w:rPr>
                <w:sz w:val="22"/>
                <w:szCs w:val="22"/>
                <w:lang w:val="uk-UA"/>
              </w:rPr>
              <w:t xml:space="preserve">• інформаційно-правову систему Прайм - вся законодавча база, правова картина дня, новації, влада України, банкрутство, довідники, галузі економіки, судова практика, коментовані кодекси, європейське законодавство, типові договори та шаблони та інше, база податкових знань; • систему перевірки контрагентів </w:t>
            </w:r>
            <w:proofErr w:type="spellStart"/>
            <w:r w:rsidRPr="00177D05">
              <w:rPr>
                <w:sz w:val="22"/>
                <w:szCs w:val="22"/>
                <w:lang w:val="uk-UA"/>
              </w:rPr>
              <w:t>Contr</w:t>
            </w:r>
            <w:proofErr w:type="spellEnd"/>
            <w:r w:rsidRPr="00177D05">
              <w:rPr>
                <w:sz w:val="22"/>
                <w:szCs w:val="22"/>
                <w:lang w:val="uk-UA"/>
              </w:rPr>
              <w:t xml:space="preserve"> </w:t>
            </w:r>
            <w:proofErr w:type="spellStart"/>
            <w:r w:rsidRPr="00177D05">
              <w:rPr>
                <w:sz w:val="22"/>
                <w:szCs w:val="22"/>
                <w:lang w:val="uk-UA"/>
              </w:rPr>
              <w:t>Agent</w:t>
            </w:r>
            <w:proofErr w:type="spellEnd"/>
            <w:r w:rsidRPr="00177D05">
              <w:rPr>
                <w:sz w:val="22"/>
                <w:szCs w:val="22"/>
                <w:lang w:val="uk-UA"/>
              </w:rPr>
              <w:t xml:space="preserve"> (750 переглядів в місяць і 150 карточок на моніторинг) - повне досьє </w:t>
            </w:r>
            <w:proofErr w:type="spellStart"/>
            <w:r w:rsidRPr="00177D05">
              <w:rPr>
                <w:sz w:val="22"/>
                <w:szCs w:val="22"/>
                <w:lang w:val="uk-UA"/>
              </w:rPr>
              <w:t>ФОПів</w:t>
            </w:r>
            <w:proofErr w:type="spellEnd"/>
            <w:r w:rsidRPr="00177D05">
              <w:rPr>
                <w:sz w:val="22"/>
                <w:szCs w:val="22"/>
                <w:lang w:val="uk-UA"/>
              </w:rPr>
              <w:t xml:space="preserve">, юридичних осіб, та фізичних осіб, тобто де ще фігурує підписант чи </w:t>
            </w:r>
            <w:proofErr w:type="spellStart"/>
            <w:r w:rsidRPr="00177D05">
              <w:rPr>
                <w:sz w:val="22"/>
                <w:szCs w:val="22"/>
                <w:lang w:val="uk-UA"/>
              </w:rPr>
              <w:t>бенефіціар</w:t>
            </w:r>
            <w:proofErr w:type="spellEnd"/>
            <w:r w:rsidRPr="00177D05">
              <w:rPr>
                <w:sz w:val="22"/>
                <w:szCs w:val="22"/>
                <w:lang w:val="uk-UA"/>
              </w:rPr>
              <w:t xml:space="preserve">, зв'язки з іншими компаніями, інформація про використання публічних коштів, всі тендерні закупівлі, та багато іншого; • сервіс SEMANTRUM 1 тема - персональний онлайн-сервіс моніторингу всіх типів ЗМІ та </w:t>
            </w:r>
            <w:proofErr w:type="spellStart"/>
            <w:r w:rsidRPr="00177D05">
              <w:rPr>
                <w:sz w:val="22"/>
                <w:szCs w:val="22"/>
                <w:lang w:val="uk-UA"/>
              </w:rPr>
              <w:t>соцмедіа</w:t>
            </w:r>
            <w:proofErr w:type="spellEnd"/>
            <w:r w:rsidRPr="00177D05">
              <w:rPr>
                <w:sz w:val="22"/>
                <w:szCs w:val="22"/>
                <w:lang w:val="uk-UA"/>
              </w:rPr>
              <w:t>.</w:t>
            </w:r>
          </w:p>
          <w:p w:rsidR="00392DAB" w:rsidRPr="00177D05" w:rsidRDefault="00392DAB" w:rsidP="00392DAB">
            <w:pPr>
              <w:suppressAutoHyphens/>
              <w:jc w:val="both"/>
              <w:rPr>
                <w:sz w:val="22"/>
                <w:szCs w:val="22"/>
                <w:lang w:val="uk-UA"/>
              </w:rPr>
            </w:pPr>
          </w:p>
          <w:p w:rsidR="00392DAB" w:rsidRPr="00177D05" w:rsidRDefault="00392DAB" w:rsidP="00392DAB">
            <w:pPr>
              <w:suppressAutoHyphens/>
              <w:jc w:val="both"/>
              <w:rPr>
                <w:rFonts w:ascii="Calibri" w:hAnsi="Calibri" w:cs="Calibri"/>
                <w:sz w:val="22"/>
                <w:szCs w:val="22"/>
                <w:lang w:val="uk-UA"/>
              </w:rPr>
            </w:pPr>
            <w:r w:rsidRPr="00177D05">
              <w:rPr>
                <w:sz w:val="22"/>
                <w:szCs w:val="22"/>
                <w:lang w:val="uk-UA"/>
              </w:rPr>
              <w:t>Строк права використання ліцензій – 12 місяців.</w:t>
            </w:r>
          </w:p>
        </w:tc>
      </w:tr>
    </w:tbl>
    <w:p w:rsidR="006F428D" w:rsidRPr="007101A5" w:rsidRDefault="00392DAB" w:rsidP="00A12478">
      <w:pPr>
        <w:rPr>
          <w:b/>
          <w:lang w:val="uk-UA"/>
        </w:rPr>
      </w:pPr>
      <w:r>
        <w:rPr>
          <w:b/>
          <w:lang w:val="uk-UA"/>
        </w:rPr>
        <w:lastRenderedPageBreak/>
        <w:br w:type="textWrapping" w:clear="all"/>
      </w:r>
    </w:p>
    <w:sectPr w:rsidR="006F428D" w:rsidRPr="007101A5" w:rsidSect="00392DAB">
      <w:headerReference w:type="even" r:id="rId9"/>
      <w:headerReference w:type="default" r:id="rId10"/>
      <w:footerReference w:type="default" r:id="rId11"/>
      <w:pgSz w:w="11906" w:h="16838"/>
      <w:pgMar w:top="567" w:right="567" w:bottom="567" w:left="113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B9" w:rsidRDefault="00CC39B9">
      <w:r>
        <w:separator/>
      </w:r>
    </w:p>
  </w:endnote>
  <w:endnote w:type="continuationSeparator" w:id="0">
    <w:p w:rsidR="00CC39B9" w:rsidRDefault="00CC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E176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2324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E7199">
      <w:rPr>
        <w:sz w:val="20"/>
        <w:szCs w:val="20"/>
        <w:lang w:val="uk-UA"/>
      </w:rPr>
      <w:t xml:space="preserve">Надання права (повноваження) на використання програмного забезпечення </w:t>
    </w:r>
    <w:proofErr w:type="spellStart"/>
    <w:r w:rsidR="000E7199">
      <w:rPr>
        <w:sz w:val="20"/>
        <w:szCs w:val="20"/>
        <w:lang w:val="uk-UA"/>
      </w:rPr>
      <w:t>Ліга:Закон</w:t>
    </w:r>
    <w:proofErr w:type="spellEnd"/>
    <w:r w:rsidR="000E7199">
      <w:rPr>
        <w:sz w:val="20"/>
        <w:szCs w:val="20"/>
        <w:lang w:val="uk-UA"/>
      </w:rPr>
      <w:t xml:space="preserve">,  код ДК 021:2015 - 72310000-1 - Послуги з обробки даних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92DAB">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92DAB">
      <w:rPr>
        <w:bCs/>
        <w:noProof/>
        <w:sz w:val="20"/>
        <w:szCs w:val="20"/>
      </w:rPr>
      <w:t>4</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B9" w:rsidRDefault="00CC39B9">
      <w:r>
        <w:separator/>
      </w:r>
    </w:p>
  </w:footnote>
  <w:footnote w:type="continuationSeparator" w:id="0">
    <w:p w:rsidR="00CC39B9" w:rsidRDefault="00CC39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E176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A256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E7199"/>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2DAB"/>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1766"/>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39B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817CD"/>
  <w15:chartTrackingRefBased/>
  <w15:docId w15:val="{09307603-C0A7-4EEB-817E-5A7F97AB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ABE3B-38F7-4C50-99D9-AC6B74AF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5968</Words>
  <Characters>3402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2023-03-20T15:20:00Z</dcterms:created>
  <dcterms:modified xsi:type="dcterms:W3CDTF">2023-03-20T15:22:00Z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