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911C5E" w:rsidTr="001021AF">
        <w:tc>
          <w:tcPr>
            <w:tcW w:w="4683" w:type="dxa"/>
          </w:tcPr>
          <w:p w:rsidR="00825A6B" w:rsidRPr="00911C5E" w:rsidRDefault="00C840DA" w:rsidP="006926A0">
            <w:pPr>
              <w:pStyle w:val="a3"/>
              <w:widowControl w:val="0"/>
              <w:rPr>
                <w:szCs w:val="17"/>
                <w:lang w:val="uk-UA"/>
              </w:rPr>
            </w:pPr>
            <w:r w:rsidRPr="00911C5E">
              <w:rPr>
                <w:noProof/>
                <w:lang w:val="uk-UA" w:eastAsia="uk-UA"/>
              </w:rPr>
              <w:drawing>
                <wp:inline distT="0" distB="0" distL="0" distR="0">
                  <wp:extent cx="1446530"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8290"/>
                          </a:xfrm>
                          <a:prstGeom prst="rect">
                            <a:avLst/>
                          </a:prstGeom>
                          <a:noFill/>
                          <a:ln>
                            <a:noFill/>
                          </a:ln>
                        </pic:spPr>
                      </pic:pic>
                    </a:graphicData>
                  </a:graphic>
                </wp:inline>
              </w:drawing>
            </w:r>
          </w:p>
        </w:tc>
        <w:tc>
          <w:tcPr>
            <w:tcW w:w="5171" w:type="dxa"/>
          </w:tcPr>
          <w:p w:rsidR="006926A0" w:rsidRPr="00911C5E" w:rsidRDefault="006926A0" w:rsidP="006926A0">
            <w:pPr>
              <w:widowControl w:val="0"/>
              <w:autoSpaceDE w:val="0"/>
              <w:autoSpaceDN w:val="0"/>
              <w:adjustRightInd w:val="0"/>
              <w:rPr>
                <w:rFonts w:ascii="Times New Roman CYR" w:hAnsi="Times New Roman CYR"/>
                <w:b/>
              </w:rPr>
            </w:pPr>
            <w:r w:rsidRPr="00911C5E">
              <w:rPr>
                <w:rFonts w:ascii="Times New Roman CYR" w:hAnsi="Times New Roman CYR"/>
                <w:b/>
              </w:rPr>
              <w:t>ДЕРЖАВНЕ ПІДПРИЄМСТВО</w:t>
            </w:r>
          </w:p>
          <w:p w:rsidR="00DD71E4" w:rsidRPr="00911C5E" w:rsidRDefault="006926A0" w:rsidP="006926A0">
            <w:pPr>
              <w:widowControl w:val="0"/>
              <w:autoSpaceDE w:val="0"/>
              <w:autoSpaceDN w:val="0"/>
              <w:adjustRightInd w:val="0"/>
            </w:pPr>
            <w:r w:rsidRPr="00911C5E">
              <w:rPr>
                <w:rFonts w:ascii="Times New Roman CYR" w:hAnsi="Times New Roman CYR"/>
                <w:b/>
              </w:rPr>
              <w:t>«</w:t>
            </w:r>
            <w:r w:rsidRPr="00911C5E">
              <w:rPr>
                <w:b/>
              </w:rPr>
              <w:t>МІЖНАРОДНИЙ АЕРОПОРТ «БОРИСПІЛЬ»</w:t>
            </w:r>
            <w:r w:rsidRPr="00911C5E">
              <w:t xml:space="preserve"> </w:t>
            </w:r>
          </w:p>
          <w:p w:rsidR="006926A0" w:rsidRPr="00911C5E" w:rsidRDefault="006926A0" w:rsidP="006926A0">
            <w:pPr>
              <w:widowControl w:val="0"/>
              <w:autoSpaceDE w:val="0"/>
              <w:autoSpaceDN w:val="0"/>
              <w:adjustRightInd w:val="0"/>
            </w:pPr>
            <w:r w:rsidRPr="00911C5E">
              <w:t>08300, Україна, Київська обл., Бориспільський рай</w:t>
            </w:r>
            <w:r w:rsidR="00056A55" w:rsidRPr="00911C5E">
              <w:t>он, село Гора, вулиця Бориспіль</w:t>
            </w:r>
            <w:r w:rsidRPr="00911C5E">
              <w:t xml:space="preserve">-7, код 20572069, </w:t>
            </w:r>
          </w:p>
          <w:p w:rsidR="00825A6B" w:rsidRPr="00911C5E" w:rsidRDefault="006926A0" w:rsidP="006926A0">
            <w:pPr>
              <w:pStyle w:val="4"/>
              <w:keepNext w:val="0"/>
              <w:widowControl w:val="0"/>
              <w:ind w:left="0"/>
              <w:jc w:val="left"/>
            </w:pPr>
            <w:r w:rsidRPr="00911C5E">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911C5E">
              <w:rPr>
                <w:color w:val="000000"/>
              </w:rPr>
              <w:t>»</w:t>
            </w:r>
          </w:p>
        </w:tc>
      </w:tr>
      <w:tr w:rsidR="001021AF" w:rsidRPr="00911C5E" w:rsidTr="00C62708">
        <w:tc>
          <w:tcPr>
            <w:tcW w:w="9854" w:type="dxa"/>
            <w:gridSpan w:val="2"/>
          </w:tcPr>
          <w:p w:rsidR="003C4B6B" w:rsidRPr="00911C5E" w:rsidRDefault="003C4B6B" w:rsidP="007D7B6F">
            <w:pPr>
              <w:pStyle w:val="1"/>
              <w:keepNext w:val="0"/>
              <w:widowControl w:val="0"/>
              <w:rPr>
                <w:sz w:val="28"/>
                <w:szCs w:val="28"/>
              </w:rPr>
            </w:pPr>
          </w:p>
          <w:p w:rsidR="001021AF" w:rsidRPr="00911C5E" w:rsidRDefault="007D7B6F" w:rsidP="007D7B6F">
            <w:pPr>
              <w:pStyle w:val="1"/>
              <w:keepNext w:val="0"/>
              <w:widowControl w:val="0"/>
            </w:pPr>
            <w:r w:rsidRPr="00911C5E">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911C5E" w:rsidRDefault="005F3529" w:rsidP="0063471D">
      <w:pPr>
        <w:pStyle w:val="a3"/>
        <w:widowControl w:val="0"/>
        <w:jc w:val="both"/>
        <w:rPr>
          <w:sz w:val="24"/>
          <w:szCs w:val="24"/>
          <w:lang w:val="uk-UA"/>
        </w:rPr>
      </w:pPr>
    </w:p>
    <w:p w:rsidR="007D7B6F" w:rsidRPr="00911C5E" w:rsidRDefault="003C4B6B" w:rsidP="0063471D">
      <w:pPr>
        <w:pStyle w:val="a3"/>
        <w:widowControl w:val="0"/>
        <w:jc w:val="both"/>
        <w:rPr>
          <w:sz w:val="24"/>
          <w:szCs w:val="24"/>
          <w:lang w:val="uk-UA"/>
        </w:rPr>
      </w:pPr>
      <w:r w:rsidRPr="00911C5E">
        <w:rPr>
          <w:sz w:val="24"/>
          <w:szCs w:val="24"/>
          <w:lang w:val="uk-UA"/>
        </w:rPr>
        <w:t xml:space="preserve">Підстава: </w:t>
      </w:r>
      <w:r w:rsidR="007D7B6F" w:rsidRPr="00911C5E">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911C5E"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911C5E" w:rsidTr="00E705D3">
        <w:tc>
          <w:tcPr>
            <w:tcW w:w="487" w:type="pct"/>
            <w:shd w:val="clear" w:color="auto" w:fill="DEEAF6"/>
          </w:tcPr>
          <w:p w:rsidR="00A76484" w:rsidRPr="00AA0B8E" w:rsidRDefault="00A76484" w:rsidP="002D4D30">
            <w:pPr>
              <w:widowControl w:val="0"/>
              <w:contextualSpacing/>
              <w:jc w:val="center"/>
              <w:rPr>
                <w:b/>
                <w:sz w:val="22"/>
                <w:szCs w:val="22"/>
              </w:rPr>
            </w:pPr>
            <w:r w:rsidRPr="00AA0B8E">
              <w:rPr>
                <w:b/>
                <w:sz w:val="22"/>
                <w:szCs w:val="22"/>
              </w:rPr>
              <w:t>Пункт Кошторису</w:t>
            </w:r>
          </w:p>
        </w:tc>
        <w:tc>
          <w:tcPr>
            <w:tcW w:w="1527" w:type="pct"/>
            <w:shd w:val="clear" w:color="auto" w:fill="DEEAF6"/>
          </w:tcPr>
          <w:p w:rsidR="00A76484" w:rsidRPr="00AA0B8E" w:rsidRDefault="00A76484" w:rsidP="002D4D30">
            <w:pPr>
              <w:widowControl w:val="0"/>
              <w:contextualSpacing/>
              <w:jc w:val="center"/>
              <w:rPr>
                <w:b/>
                <w:sz w:val="22"/>
                <w:szCs w:val="22"/>
              </w:rPr>
            </w:pPr>
            <w:r w:rsidRPr="00AA0B8E">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AA0B8E" w:rsidRDefault="00A76484" w:rsidP="00DB2D70">
            <w:pPr>
              <w:widowControl w:val="0"/>
              <w:contextualSpacing/>
              <w:jc w:val="center"/>
              <w:rPr>
                <w:b/>
                <w:sz w:val="22"/>
                <w:szCs w:val="22"/>
              </w:rPr>
            </w:pPr>
            <w:r w:rsidRPr="00AA0B8E">
              <w:rPr>
                <w:b/>
                <w:sz w:val="22"/>
                <w:szCs w:val="22"/>
              </w:rPr>
              <w:t>Очікувана варт</w:t>
            </w:r>
            <w:r w:rsidR="00DB2D70" w:rsidRPr="00AA0B8E">
              <w:rPr>
                <w:b/>
                <w:sz w:val="22"/>
                <w:szCs w:val="22"/>
              </w:rPr>
              <w:t>ість предмета закупівлі згідно р</w:t>
            </w:r>
            <w:r w:rsidRPr="00AA0B8E">
              <w:rPr>
                <w:b/>
                <w:sz w:val="22"/>
                <w:szCs w:val="22"/>
              </w:rPr>
              <w:t xml:space="preserve">ічного плану </w:t>
            </w:r>
            <w:proofErr w:type="spellStart"/>
            <w:r w:rsidRPr="00AA0B8E">
              <w:rPr>
                <w:b/>
                <w:sz w:val="22"/>
                <w:szCs w:val="22"/>
              </w:rPr>
              <w:t>закупівель</w:t>
            </w:r>
            <w:proofErr w:type="spellEnd"/>
          </w:p>
        </w:tc>
        <w:tc>
          <w:tcPr>
            <w:tcW w:w="1102" w:type="pct"/>
            <w:shd w:val="clear" w:color="auto" w:fill="DEEAF6"/>
          </w:tcPr>
          <w:p w:rsidR="00A76484" w:rsidRPr="00AA0B8E" w:rsidRDefault="00A76484" w:rsidP="002D4D30">
            <w:pPr>
              <w:widowControl w:val="0"/>
              <w:contextualSpacing/>
              <w:jc w:val="center"/>
              <w:rPr>
                <w:b/>
                <w:sz w:val="22"/>
                <w:szCs w:val="22"/>
              </w:rPr>
            </w:pPr>
            <w:r w:rsidRPr="00AA0B8E">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AA0B8E" w:rsidRDefault="00A355EA" w:rsidP="002D4D30">
            <w:pPr>
              <w:widowControl w:val="0"/>
              <w:contextualSpacing/>
              <w:jc w:val="center"/>
              <w:rPr>
                <w:b/>
                <w:sz w:val="22"/>
                <w:szCs w:val="22"/>
              </w:rPr>
            </w:pPr>
            <w:r w:rsidRPr="00AA0B8E">
              <w:rPr>
                <w:b/>
                <w:sz w:val="22"/>
                <w:szCs w:val="22"/>
              </w:rPr>
              <w:t>Ідентифікатор процедури закупівлі</w:t>
            </w:r>
          </w:p>
        </w:tc>
      </w:tr>
      <w:tr w:rsidR="00A76484" w:rsidRPr="00911C5E" w:rsidTr="00E705D3">
        <w:tc>
          <w:tcPr>
            <w:tcW w:w="487" w:type="pct"/>
          </w:tcPr>
          <w:p w:rsidR="006F2D9C" w:rsidRPr="00AA0B8E" w:rsidRDefault="004E2AED" w:rsidP="00056A55">
            <w:pPr>
              <w:widowControl w:val="0"/>
              <w:ind w:right="-11"/>
              <w:jc w:val="center"/>
              <w:rPr>
                <w:sz w:val="22"/>
                <w:szCs w:val="22"/>
              </w:rPr>
            </w:pPr>
            <w:r w:rsidRPr="00AA0B8E">
              <w:rPr>
                <w:sz w:val="22"/>
                <w:szCs w:val="22"/>
              </w:rPr>
              <w:t xml:space="preserve">23.11 </w:t>
            </w:r>
          </w:p>
          <w:p w:rsidR="00A76484" w:rsidRPr="00AA0B8E" w:rsidRDefault="00BD6E95" w:rsidP="00056A55">
            <w:pPr>
              <w:widowControl w:val="0"/>
              <w:ind w:right="-11"/>
              <w:jc w:val="center"/>
              <w:rPr>
                <w:sz w:val="22"/>
                <w:szCs w:val="22"/>
                <w:lang w:eastAsia="uk-UA"/>
              </w:rPr>
            </w:pPr>
            <w:r w:rsidRPr="00AA0B8E">
              <w:rPr>
                <w:sz w:val="22"/>
                <w:szCs w:val="22"/>
                <w:lang w:eastAsia="uk-UA"/>
              </w:rPr>
              <w:t>(202</w:t>
            </w:r>
            <w:r w:rsidR="004E76E1" w:rsidRPr="00AA0B8E">
              <w:rPr>
                <w:sz w:val="22"/>
                <w:szCs w:val="22"/>
                <w:lang w:eastAsia="uk-UA"/>
              </w:rPr>
              <w:t>3</w:t>
            </w:r>
            <w:r w:rsidR="00A76484" w:rsidRPr="00AA0B8E">
              <w:rPr>
                <w:sz w:val="22"/>
                <w:szCs w:val="22"/>
                <w:lang w:eastAsia="uk-UA"/>
              </w:rPr>
              <w:t>)</w:t>
            </w:r>
          </w:p>
        </w:tc>
        <w:tc>
          <w:tcPr>
            <w:tcW w:w="1527" w:type="pct"/>
          </w:tcPr>
          <w:p w:rsidR="00A76484" w:rsidRPr="00AA0B8E" w:rsidRDefault="004E2AED" w:rsidP="00056A55">
            <w:pPr>
              <w:widowControl w:val="0"/>
              <w:jc w:val="both"/>
              <w:rPr>
                <w:bCs/>
                <w:sz w:val="22"/>
                <w:szCs w:val="22"/>
              </w:rPr>
            </w:pPr>
            <w:r w:rsidRPr="00AA0B8E">
              <w:rPr>
                <w:b/>
                <w:sz w:val="22"/>
                <w:szCs w:val="22"/>
              </w:rPr>
              <w:t xml:space="preserve">Послуги мобільного (стільникового) зв’язку, </w:t>
            </w:r>
            <w:r w:rsidRPr="00AA0B8E">
              <w:rPr>
                <w:sz w:val="22"/>
                <w:szCs w:val="22"/>
              </w:rPr>
              <w:t>код ДК 021:2015 - 64210000-1 - Послуги телефонного зв’язку та передачі даних</w:t>
            </w:r>
          </w:p>
        </w:tc>
        <w:tc>
          <w:tcPr>
            <w:tcW w:w="947" w:type="pct"/>
          </w:tcPr>
          <w:p w:rsidR="00C4607A" w:rsidRPr="00AA0B8E" w:rsidRDefault="00C4607A" w:rsidP="00C4607A">
            <w:pPr>
              <w:widowControl w:val="0"/>
              <w:jc w:val="center"/>
              <w:rPr>
                <w:sz w:val="22"/>
                <w:szCs w:val="22"/>
              </w:rPr>
            </w:pPr>
            <w:r w:rsidRPr="00AA0B8E">
              <w:rPr>
                <w:sz w:val="22"/>
                <w:szCs w:val="22"/>
              </w:rPr>
              <w:t xml:space="preserve">1 159 295,25 </w:t>
            </w:r>
          </w:p>
          <w:p w:rsidR="00A76484" w:rsidRPr="00AA0B8E" w:rsidRDefault="00C4607A" w:rsidP="00C4607A">
            <w:pPr>
              <w:widowControl w:val="0"/>
              <w:jc w:val="center"/>
              <w:rPr>
                <w:sz w:val="22"/>
                <w:szCs w:val="22"/>
              </w:rPr>
            </w:pPr>
            <w:r w:rsidRPr="00AA0B8E">
              <w:rPr>
                <w:sz w:val="22"/>
                <w:szCs w:val="22"/>
              </w:rPr>
              <w:t>грн. з ПДВ та збором до Пенсійного фонду</w:t>
            </w:r>
          </w:p>
        </w:tc>
        <w:tc>
          <w:tcPr>
            <w:tcW w:w="1102" w:type="pct"/>
          </w:tcPr>
          <w:p w:rsidR="008D558E" w:rsidRPr="00AA0B8E" w:rsidRDefault="008D558E" w:rsidP="008D558E">
            <w:pPr>
              <w:widowControl w:val="0"/>
              <w:jc w:val="center"/>
              <w:rPr>
                <w:sz w:val="22"/>
                <w:szCs w:val="22"/>
              </w:rPr>
            </w:pPr>
            <w:r w:rsidRPr="00AA0B8E">
              <w:rPr>
                <w:sz w:val="22"/>
                <w:szCs w:val="22"/>
              </w:rPr>
              <w:t>966 079,38</w:t>
            </w:r>
          </w:p>
          <w:p w:rsidR="00A76484" w:rsidRPr="00AA0B8E" w:rsidRDefault="008D558E" w:rsidP="008D558E">
            <w:pPr>
              <w:widowControl w:val="0"/>
              <w:jc w:val="center"/>
              <w:rPr>
                <w:sz w:val="22"/>
                <w:szCs w:val="22"/>
              </w:rPr>
            </w:pPr>
            <w:r w:rsidRPr="00AA0B8E">
              <w:rPr>
                <w:sz w:val="22"/>
                <w:szCs w:val="22"/>
              </w:rPr>
              <w:t>грн. без ПДВ</w:t>
            </w:r>
            <w:r w:rsidR="00A76484" w:rsidRPr="00AA0B8E">
              <w:rPr>
                <w:sz w:val="22"/>
                <w:szCs w:val="22"/>
              </w:rPr>
              <w:t xml:space="preserve"> </w:t>
            </w:r>
          </w:p>
        </w:tc>
        <w:tc>
          <w:tcPr>
            <w:tcW w:w="936" w:type="pct"/>
          </w:tcPr>
          <w:p w:rsidR="00A76484" w:rsidRPr="00AA0B8E" w:rsidRDefault="00874570" w:rsidP="00AA0B8E">
            <w:pPr>
              <w:widowControl w:val="0"/>
              <w:jc w:val="center"/>
              <w:rPr>
                <w:color w:val="0000FF"/>
                <w:sz w:val="22"/>
                <w:szCs w:val="22"/>
              </w:rPr>
            </w:pPr>
            <w:r w:rsidRPr="00874570">
              <w:rPr>
                <w:color w:val="0000FF"/>
                <w:sz w:val="22"/>
                <w:szCs w:val="22"/>
              </w:rPr>
              <w:t>UA-2023-03-28-009248-a</w:t>
            </w:r>
            <w:bookmarkStart w:id="0" w:name="_GoBack"/>
            <w:bookmarkEnd w:id="0"/>
          </w:p>
        </w:tc>
      </w:tr>
    </w:tbl>
    <w:p w:rsidR="00A12478" w:rsidRPr="00911C5E" w:rsidRDefault="00A12478" w:rsidP="0063471D">
      <w:pPr>
        <w:pStyle w:val="a3"/>
        <w:widowControl w:val="0"/>
        <w:jc w:val="both"/>
        <w:rPr>
          <w:sz w:val="24"/>
          <w:szCs w:val="24"/>
          <w:lang w:val="uk-UA"/>
        </w:rPr>
      </w:pPr>
    </w:p>
    <w:p w:rsidR="00A355EA" w:rsidRPr="00911C5E" w:rsidRDefault="00A355EA" w:rsidP="00C62708">
      <w:pPr>
        <w:widowControl w:val="0"/>
        <w:shd w:val="clear" w:color="auto" w:fill="DEEAF6"/>
        <w:jc w:val="center"/>
      </w:pPr>
      <w:r w:rsidRPr="00911C5E">
        <w:rPr>
          <w:b/>
        </w:rPr>
        <w:t>Обґрунтування на виконання вимог Постанови КМУ від 11.10.2016 № 710:</w:t>
      </w:r>
    </w:p>
    <w:p w:rsidR="006F428D" w:rsidRPr="00911C5E"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911C5E"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11C5E" w:rsidRDefault="006F428D" w:rsidP="00C62708">
            <w:r w:rsidRPr="00911C5E">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11C5E" w:rsidRDefault="006F428D" w:rsidP="00C62708">
            <w:r w:rsidRPr="00911C5E">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11C5E" w:rsidRDefault="00EB552A" w:rsidP="00EB552A">
            <w:pPr>
              <w:jc w:val="both"/>
              <w:rPr>
                <w:i/>
              </w:rPr>
            </w:pPr>
            <w:r w:rsidRPr="00911C5E">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6F428D" w:rsidRPr="00911C5E"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11C5E" w:rsidRDefault="006F428D" w:rsidP="00C62708">
            <w:pPr>
              <w:rPr>
                <w:bCs/>
              </w:rPr>
            </w:pPr>
            <w:r w:rsidRPr="00911C5E">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11C5E" w:rsidRDefault="006F428D" w:rsidP="00C62708">
            <w:r w:rsidRPr="00911C5E">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B552A" w:rsidRPr="00EB552A" w:rsidRDefault="00EB552A" w:rsidP="00EB552A">
            <w:pPr>
              <w:widowControl w:val="0"/>
              <w:jc w:val="both"/>
              <w:rPr>
                <w:rFonts w:eastAsia="SimSun"/>
                <w:lang w:eastAsia="hi-IN" w:bidi="hi-IN"/>
              </w:rPr>
            </w:pPr>
            <w:r w:rsidRPr="00EB552A">
              <w:rPr>
                <w:rFonts w:eastAsia="SimSun"/>
              </w:rPr>
              <w:t xml:space="preserve">Очікувана вартість предмета закупівлі розрахована згідно з вимогами </w:t>
            </w:r>
            <w:r w:rsidRPr="00EB552A">
              <w:rPr>
                <w:rFonts w:eastAsia="SimSun"/>
                <w:i/>
              </w:rPr>
              <w:t>«Положенням про порядок визначення очікуваної вартості предмета закупівлі»</w:t>
            </w:r>
            <w:r w:rsidRPr="00EB552A">
              <w:rPr>
                <w:rFonts w:eastAsia="SimSun"/>
              </w:rPr>
              <w:t xml:space="preserve"> від 17.05.2022 №</w:t>
            </w:r>
            <w:r w:rsidRPr="00911C5E">
              <w:rPr>
                <w:rFonts w:eastAsia="SimSun"/>
              </w:rPr>
              <w:t xml:space="preserve"> </w:t>
            </w:r>
            <w:r w:rsidRPr="00EB552A">
              <w:rPr>
                <w:rFonts w:eastAsia="SimSun"/>
              </w:rPr>
              <w:t>50-06-1.</w:t>
            </w:r>
          </w:p>
          <w:p w:rsidR="006F428D" w:rsidRPr="00911C5E" w:rsidRDefault="00EB552A" w:rsidP="00EB552A">
            <w:pPr>
              <w:jc w:val="both"/>
              <w:rPr>
                <w:i/>
              </w:rPr>
            </w:pPr>
            <w:r w:rsidRPr="00911C5E">
              <w:rPr>
                <w:rFonts w:eastAsia="SimSun"/>
              </w:rPr>
              <w:t>Очікувана вартість предмета закупівлі визначена методом порівняння цін в комерційних пропозиціях, отриманих відповідно  до запитів від двох операторів та розрахована як середньоарифметична.</w:t>
            </w:r>
          </w:p>
        </w:tc>
      </w:tr>
      <w:tr w:rsidR="006F428D" w:rsidRPr="00911C5E"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11C5E" w:rsidRDefault="006F428D" w:rsidP="00C62708">
            <w:pPr>
              <w:rPr>
                <w:bCs/>
              </w:rPr>
            </w:pPr>
            <w:r w:rsidRPr="00911C5E">
              <w:rPr>
                <w:bCs/>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11C5E" w:rsidRDefault="006F428D" w:rsidP="00C62708">
            <w:r w:rsidRPr="00911C5E">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11C5E" w:rsidRDefault="00735E2C" w:rsidP="00735E2C">
            <w:pPr>
              <w:jc w:val="both"/>
            </w:pPr>
            <w:r w:rsidRPr="00911C5E">
              <w:t>Розрахунок очікуваної вартості послуг комбінованим методом порівняння ринкових цін ні є ефективним, так як очікувана вартість є меншою ніж надана в комерційних пропозиціях від постачальників.</w:t>
            </w:r>
          </w:p>
        </w:tc>
      </w:tr>
    </w:tbl>
    <w:p w:rsidR="006F428D" w:rsidRPr="00911C5E" w:rsidRDefault="006F428D" w:rsidP="00A12478">
      <w:pPr>
        <w:rPr>
          <w:b/>
        </w:rPr>
      </w:pPr>
    </w:p>
    <w:p w:rsidR="006926A0" w:rsidRPr="00911C5E" w:rsidRDefault="006926A0" w:rsidP="006926A0">
      <w:pPr>
        <w:ind w:firstLine="567"/>
        <w:jc w:val="both"/>
      </w:pPr>
      <w:r w:rsidRPr="00911C5E">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911C5E" w:rsidRDefault="006F428D" w:rsidP="00A12478">
      <w:pPr>
        <w:rPr>
          <w:b/>
        </w:rPr>
      </w:pPr>
    </w:p>
    <w:p w:rsidR="006F428D" w:rsidRPr="00911C5E" w:rsidRDefault="006F428D" w:rsidP="00A12478">
      <w:pPr>
        <w:rPr>
          <w:b/>
        </w:rPr>
      </w:pPr>
    </w:p>
    <w:p w:rsidR="006F428D" w:rsidRPr="00911C5E"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729"/>
        <w:gridCol w:w="1281"/>
        <w:gridCol w:w="1099"/>
        <w:gridCol w:w="4300"/>
      </w:tblGrid>
      <w:tr w:rsidR="00A941BC" w:rsidRPr="009C7893" w:rsidTr="00796711">
        <w:tc>
          <w:tcPr>
            <w:tcW w:w="385" w:type="pct"/>
            <w:shd w:val="clear" w:color="auto" w:fill="D9E2F3"/>
          </w:tcPr>
          <w:p w:rsidR="00A941BC" w:rsidRPr="009C7893" w:rsidRDefault="00A941BC" w:rsidP="00796711">
            <w:pPr>
              <w:widowControl w:val="0"/>
              <w:jc w:val="center"/>
              <w:rPr>
                <w:b/>
                <w:sz w:val="20"/>
                <w:szCs w:val="20"/>
              </w:rPr>
            </w:pPr>
            <w:r w:rsidRPr="009C7893">
              <w:rPr>
                <w:b/>
                <w:sz w:val="20"/>
                <w:szCs w:val="20"/>
              </w:rPr>
              <w:t>№ п/п</w:t>
            </w:r>
          </w:p>
        </w:tc>
        <w:tc>
          <w:tcPr>
            <w:tcW w:w="1338" w:type="pct"/>
            <w:shd w:val="clear" w:color="auto" w:fill="D9E2F3"/>
          </w:tcPr>
          <w:p w:rsidR="00A941BC" w:rsidRPr="009C7893" w:rsidRDefault="00A941BC" w:rsidP="00796711">
            <w:pPr>
              <w:widowControl w:val="0"/>
              <w:jc w:val="center"/>
              <w:rPr>
                <w:b/>
                <w:sz w:val="20"/>
                <w:szCs w:val="20"/>
              </w:rPr>
            </w:pPr>
            <w:r w:rsidRPr="009C7893">
              <w:rPr>
                <w:b/>
                <w:sz w:val="20"/>
                <w:szCs w:val="20"/>
              </w:rPr>
              <w:t>Найменування Послуги</w:t>
            </w:r>
          </w:p>
        </w:tc>
        <w:tc>
          <w:tcPr>
            <w:tcW w:w="628" w:type="pct"/>
            <w:shd w:val="clear" w:color="auto" w:fill="D9E2F3"/>
            <w:hideMark/>
          </w:tcPr>
          <w:p w:rsidR="00A941BC" w:rsidRPr="009C7893" w:rsidRDefault="00A941BC" w:rsidP="00796711">
            <w:pPr>
              <w:widowControl w:val="0"/>
              <w:jc w:val="center"/>
              <w:rPr>
                <w:b/>
                <w:sz w:val="20"/>
                <w:szCs w:val="20"/>
              </w:rPr>
            </w:pPr>
            <w:r w:rsidRPr="009C7893">
              <w:rPr>
                <w:b/>
                <w:sz w:val="20"/>
                <w:szCs w:val="20"/>
              </w:rPr>
              <w:t>Одиниця</w:t>
            </w:r>
          </w:p>
          <w:p w:rsidR="00A941BC" w:rsidRPr="009C7893" w:rsidRDefault="00A941BC" w:rsidP="00796711">
            <w:pPr>
              <w:widowControl w:val="0"/>
              <w:jc w:val="center"/>
              <w:rPr>
                <w:b/>
                <w:sz w:val="20"/>
                <w:szCs w:val="20"/>
              </w:rPr>
            </w:pPr>
            <w:r w:rsidRPr="009C7893">
              <w:rPr>
                <w:b/>
                <w:sz w:val="20"/>
                <w:szCs w:val="20"/>
              </w:rPr>
              <w:t>виміру</w:t>
            </w:r>
          </w:p>
        </w:tc>
        <w:tc>
          <w:tcPr>
            <w:tcW w:w="539" w:type="pct"/>
            <w:shd w:val="clear" w:color="auto" w:fill="D9E2F3"/>
          </w:tcPr>
          <w:p w:rsidR="00A941BC" w:rsidRPr="009C7893" w:rsidRDefault="00A941BC" w:rsidP="00796711">
            <w:pPr>
              <w:widowControl w:val="0"/>
              <w:jc w:val="center"/>
              <w:rPr>
                <w:b/>
                <w:sz w:val="20"/>
                <w:szCs w:val="20"/>
              </w:rPr>
            </w:pPr>
            <w:r w:rsidRPr="009C7893">
              <w:rPr>
                <w:b/>
                <w:sz w:val="20"/>
                <w:szCs w:val="20"/>
              </w:rPr>
              <w:t>Кількість</w:t>
            </w:r>
          </w:p>
          <w:p w:rsidR="00A941BC" w:rsidRPr="009C7893" w:rsidRDefault="00A941BC" w:rsidP="00796711">
            <w:pPr>
              <w:widowControl w:val="0"/>
              <w:jc w:val="center"/>
              <w:rPr>
                <w:b/>
                <w:sz w:val="20"/>
                <w:szCs w:val="20"/>
              </w:rPr>
            </w:pPr>
          </w:p>
        </w:tc>
        <w:tc>
          <w:tcPr>
            <w:tcW w:w="2109" w:type="pct"/>
            <w:shd w:val="clear" w:color="auto" w:fill="D9E2F3"/>
            <w:hideMark/>
          </w:tcPr>
          <w:p w:rsidR="00A941BC" w:rsidRPr="009C7893" w:rsidRDefault="00A941BC" w:rsidP="00796711">
            <w:pPr>
              <w:widowControl w:val="0"/>
              <w:jc w:val="center"/>
              <w:rPr>
                <w:b/>
                <w:sz w:val="20"/>
                <w:szCs w:val="20"/>
              </w:rPr>
            </w:pPr>
            <w:r w:rsidRPr="009C7893">
              <w:rPr>
                <w:b/>
                <w:sz w:val="20"/>
                <w:szCs w:val="20"/>
              </w:rPr>
              <w:t>Технічні та якісні характеристики предмета закупівлі</w:t>
            </w:r>
          </w:p>
          <w:p w:rsidR="00A941BC" w:rsidRPr="009C7893" w:rsidRDefault="00A941BC" w:rsidP="00796711">
            <w:pPr>
              <w:widowControl w:val="0"/>
              <w:jc w:val="center"/>
              <w:rPr>
                <w:b/>
                <w:sz w:val="20"/>
                <w:szCs w:val="20"/>
              </w:rPr>
            </w:pPr>
            <w:r w:rsidRPr="009C7893">
              <w:rPr>
                <w:b/>
                <w:sz w:val="20"/>
                <w:szCs w:val="20"/>
              </w:rPr>
              <w:t>(Технічна специфікація)</w:t>
            </w:r>
          </w:p>
        </w:tc>
      </w:tr>
      <w:tr w:rsidR="00A941BC" w:rsidRPr="009C7893" w:rsidTr="00796711">
        <w:trPr>
          <w:trHeight w:val="335"/>
        </w:trPr>
        <w:tc>
          <w:tcPr>
            <w:tcW w:w="385" w:type="pct"/>
            <w:hideMark/>
          </w:tcPr>
          <w:p w:rsidR="00A941BC" w:rsidRPr="009C7893" w:rsidRDefault="00A941BC" w:rsidP="00796711">
            <w:pPr>
              <w:widowControl w:val="0"/>
              <w:rPr>
                <w:sz w:val="20"/>
                <w:szCs w:val="20"/>
              </w:rPr>
            </w:pPr>
            <w:r w:rsidRPr="009C7893">
              <w:rPr>
                <w:sz w:val="20"/>
                <w:szCs w:val="20"/>
              </w:rPr>
              <w:t>1</w:t>
            </w:r>
          </w:p>
        </w:tc>
        <w:tc>
          <w:tcPr>
            <w:tcW w:w="1338" w:type="pct"/>
            <w:shd w:val="clear" w:color="auto" w:fill="FFFFFA"/>
            <w:hideMark/>
          </w:tcPr>
          <w:p w:rsidR="00A941BC" w:rsidRPr="009C7893" w:rsidRDefault="00A941BC" w:rsidP="00796711">
            <w:pPr>
              <w:suppressAutoHyphens/>
              <w:jc w:val="center"/>
              <w:rPr>
                <w:sz w:val="20"/>
                <w:szCs w:val="20"/>
              </w:rPr>
            </w:pPr>
            <w:r w:rsidRPr="009C7893">
              <w:rPr>
                <w:sz w:val="20"/>
                <w:szCs w:val="20"/>
              </w:rPr>
              <w:t>Послуги мобільного (стільникового) зв’язку - Тарифний пакет «Директор»</w:t>
            </w:r>
          </w:p>
        </w:tc>
        <w:tc>
          <w:tcPr>
            <w:tcW w:w="628" w:type="pct"/>
            <w:shd w:val="clear" w:color="auto" w:fill="FFFFFA"/>
          </w:tcPr>
          <w:p w:rsidR="00A941BC" w:rsidRPr="009C7893" w:rsidRDefault="00A941BC" w:rsidP="00796711">
            <w:pPr>
              <w:suppressAutoHyphens/>
              <w:jc w:val="center"/>
              <w:rPr>
                <w:sz w:val="20"/>
                <w:szCs w:val="20"/>
              </w:rPr>
            </w:pPr>
            <w:r w:rsidRPr="009C7893">
              <w:rPr>
                <w:sz w:val="20"/>
                <w:szCs w:val="20"/>
              </w:rPr>
              <w:t>шт.</w:t>
            </w:r>
          </w:p>
        </w:tc>
        <w:tc>
          <w:tcPr>
            <w:tcW w:w="539" w:type="pct"/>
            <w:shd w:val="clear" w:color="auto" w:fill="FFFFFA"/>
          </w:tcPr>
          <w:p w:rsidR="00A941BC" w:rsidRPr="009C7893" w:rsidRDefault="00A941BC" w:rsidP="00796711">
            <w:pPr>
              <w:suppressAutoHyphens/>
              <w:jc w:val="center"/>
              <w:rPr>
                <w:sz w:val="20"/>
                <w:szCs w:val="20"/>
              </w:rPr>
            </w:pPr>
            <w:r w:rsidRPr="009C7893">
              <w:rPr>
                <w:sz w:val="20"/>
                <w:szCs w:val="20"/>
              </w:rPr>
              <w:t>10</w:t>
            </w:r>
          </w:p>
        </w:tc>
        <w:tc>
          <w:tcPr>
            <w:tcW w:w="2109" w:type="pct"/>
            <w:shd w:val="clear" w:color="auto" w:fill="FFFFFA"/>
          </w:tcPr>
          <w:p w:rsidR="00A941BC" w:rsidRPr="009C7893" w:rsidRDefault="00A941BC" w:rsidP="00796711">
            <w:pPr>
              <w:suppressAutoHyphens/>
              <w:jc w:val="both"/>
              <w:rPr>
                <w:rFonts w:ascii="Calibri" w:cs="Calibri"/>
                <w:sz w:val="18"/>
                <w:szCs w:val="1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40" w:type="dxa"/>
              </w:tblCellMar>
              <w:tblLook w:val="0000" w:firstRow="0" w:lastRow="0" w:firstColumn="0" w:lastColumn="0" w:noHBand="0" w:noVBand="0"/>
            </w:tblPr>
            <w:tblGrid>
              <w:gridCol w:w="2266"/>
              <w:gridCol w:w="741"/>
              <w:gridCol w:w="1067"/>
            </w:tblGrid>
            <w:tr w:rsidR="00A941BC" w:rsidRPr="009C7893" w:rsidTr="00796711">
              <w:trPr>
                <w:trHeight w:hRule="exact" w:val="805"/>
              </w:trPr>
              <w:tc>
                <w:tcPr>
                  <w:tcW w:w="2829" w:type="pct"/>
                  <w:tcBorders>
                    <w:top w:val="single" w:sz="4" w:space="0" w:color="000000"/>
                    <w:left w:val="single" w:sz="4" w:space="0" w:color="000000"/>
                    <w:bottom w:val="single" w:sz="4" w:space="0" w:color="000000"/>
                    <w:right w:val="single" w:sz="4" w:space="0" w:color="000000"/>
                  </w:tcBorders>
                  <w:shd w:val="clear" w:color="auto" w:fill="F2F2F2"/>
                  <w:tcMar>
                    <w:left w:w="40" w:type="dxa"/>
                  </w:tcMar>
                </w:tcPr>
                <w:p w:rsidR="00A941BC" w:rsidRPr="009C7893" w:rsidRDefault="00A941BC" w:rsidP="00796711">
                  <w:pPr>
                    <w:pStyle w:val="Style4"/>
                    <w:widowControl/>
                    <w:jc w:val="center"/>
                    <w:rPr>
                      <w:rFonts w:hint="eastAsia"/>
                      <w:sz w:val="16"/>
                      <w:szCs w:val="16"/>
                      <w:lang w:val="uk-UA"/>
                    </w:rPr>
                  </w:pPr>
                  <w:r w:rsidRPr="009C7893">
                    <w:rPr>
                      <w:rStyle w:val="FontStyle14"/>
                      <w:rFonts w:ascii="Times New Roman" w:hAnsi="Times New Roman" w:cs="Times New Roman"/>
                      <w:b/>
                      <w:sz w:val="16"/>
                      <w:szCs w:val="16"/>
                      <w:lang w:val="uk-UA" w:eastAsia="uk-UA"/>
                    </w:rPr>
                    <w:t>Послуга</w:t>
                  </w:r>
                </w:p>
              </w:tc>
              <w:tc>
                <w:tcPr>
                  <w:tcW w:w="815" w:type="pct"/>
                  <w:tcBorders>
                    <w:top w:val="single" w:sz="4" w:space="0" w:color="000000"/>
                    <w:left w:val="single" w:sz="4" w:space="0" w:color="000000"/>
                    <w:bottom w:val="single" w:sz="4" w:space="0" w:color="000000"/>
                    <w:right w:val="single" w:sz="4" w:space="0" w:color="000000"/>
                  </w:tcBorders>
                  <w:shd w:val="clear" w:color="auto" w:fill="F2F2F2"/>
                  <w:tcMar>
                    <w:left w:w="40" w:type="dxa"/>
                  </w:tcMar>
                </w:tcPr>
                <w:p w:rsidR="00A941BC" w:rsidRPr="009C7893" w:rsidRDefault="00A941BC" w:rsidP="00796711">
                  <w:pPr>
                    <w:pStyle w:val="Style4"/>
                    <w:widowControl/>
                    <w:jc w:val="center"/>
                    <w:rPr>
                      <w:rFonts w:hint="eastAsia"/>
                      <w:sz w:val="16"/>
                      <w:szCs w:val="16"/>
                      <w:lang w:val="uk-UA"/>
                    </w:rPr>
                  </w:pPr>
                  <w:r w:rsidRPr="009C7893">
                    <w:rPr>
                      <w:rStyle w:val="FontStyle14"/>
                      <w:rFonts w:ascii="Times New Roman" w:hAnsi="Times New Roman" w:cs="Times New Roman"/>
                      <w:b/>
                      <w:sz w:val="16"/>
                      <w:szCs w:val="16"/>
                      <w:lang w:val="uk-UA" w:eastAsia="uk-UA"/>
                    </w:rPr>
                    <w:t>Одиниця виміру</w:t>
                  </w:r>
                </w:p>
              </w:tc>
              <w:tc>
                <w:tcPr>
                  <w:tcW w:w="1356" w:type="pct"/>
                  <w:tcBorders>
                    <w:top w:val="single" w:sz="4" w:space="0" w:color="000000"/>
                    <w:left w:val="single" w:sz="4" w:space="0" w:color="000000"/>
                    <w:bottom w:val="single" w:sz="4" w:space="0" w:color="000000"/>
                    <w:right w:val="single" w:sz="4" w:space="0" w:color="000000"/>
                  </w:tcBorders>
                  <w:shd w:val="clear" w:color="auto" w:fill="F2F2F2"/>
                  <w:tcMar>
                    <w:left w:w="40" w:type="dxa"/>
                  </w:tcMar>
                </w:tcPr>
                <w:p w:rsidR="00A941BC" w:rsidRPr="009C7893" w:rsidRDefault="00A941BC" w:rsidP="00796711">
                  <w:pPr>
                    <w:pStyle w:val="Style5"/>
                    <w:widowControl/>
                    <w:spacing w:line="240" w:lineRule="auto"/>
                    <w:jc w:val="center"/>
                    <w:rPr>
                      <w:rFonts w:hint="eastAsia"/>
                      <w:sz w:val="16"/>
                      <w:szCs w:val="16"/>
                      <w:lang w:val="uk-UA"/>
                    </w:rPr>
                  </w:pPr>
                  <w:r w:rsidRPr="009C7893">
                    <w:rPr>
                      <w:rStyle w:val="FontStyle14"/>
                      <w:rFonts w:ascii="Times New Roman" w:hAnsi="Times New Roman" w:cs="Times New Roman"/>
                      <w:b/>
                      <w:sz w:val="16"/>
                      <w:szCs w:val="16"/>
                      <w:lang w:val="uk-UA" w:eastAsia="uk-UA"/>
                    </w:rPr>
                    <w:t xml:space="preserve">Значення </w:t>
                  </w:r>
                  <w:r w:rsidRPr="009C7893">
                    <w:rPr>
                      <w:rStyle w:val="FontStyle17"/>
                      <w:rFonts w:ascii="Times New Roman" w:hAnsi="Times New Roman" w:cs="Times New Roman"/>
                      <w:b/>
                      <w:sz w:val="16"/>
                      <w:szCs w:val="16"/>
                      <w:lang w:val="uk-UA" w:eastAsia="uk-UA"/>
                    </w:rPr>
                    <w:t xml:space="preserve">(за одиницю виміру) / </w:t>
                  </w:r>
                  <w:r w:rsidRPr="009C7893">
                    <w:rPr>
                      <w:rStyle w:val="FontStyle14"/>
                      <w:rFonts w:ascii="Times New Roman" w:hAnsi="Times New Roman" w:cs="Times New Roman"/>
                      <w:b/>
                      <w:sz w:val="16"/>
                      <w:szCs w:val="16"/>
                      <w:lang w:val="uk-UA" w:eastAsia="uk-UA"/>
                    </w:rPr>
                    <w:t>Кількість</w:t>
                  </w:r>
                </w:p>
              </w:tc>
            </w:tr>
            <w:tr w:rsidR="00A941BC" w:rsidRPr="009C7893" w:rsidTr="00796711">
              <w:trPr>
                <w:trHeight w:hRule="exact" w:val="776"/>
              </w:trPr>
              <w:tc>
                <w:tcPr>
                  <w:tcW w:w="2829"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af8"/>
                    <w:rPr>
                      <w:sz w:val="16"/>
                      <w:szCs w:val="16"/>
                    </w:rPr>
                  </w:pPr>
                  <w:r w:rsidRPr="009C7893">
                    <w:rPr>
                      <w:rStyle w:val="FontStyle17"/>
                      <w:sz w:val="16"/>
                      <w:szCs w:val="16"/>
                      <w:lang w:eastAsia="uk-UA"/>
                    </w:rPr>
                    <w:t>Вихідні дзвінки в корпоративній мережі ДП МА «Бориспіль» та мережі оператора</w:t>
                  </w:r>
                </w:p>
              </w:tc>
              <w:tc>
                <w:tcPr>
                  <w:tcW w:w="815"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jc w:val="center"/>
                    <w:rPr>
                      <w:rFonts w:hint="eastAsia"/>
                      <w:sz w:val="16"/>
                      <w:szCs w:val="16"/>
                      <w:lang w:val="uk-UA"/>
                    </w:rPr>
                  </w:pPr>
                  <w:r w:rsidRPr="009C7893">
                    <w:rPr>
                      <w:rStyle w:val="FontStyle17"/>
                      <w:rFonts w:ascii="Times New Roman" w:hAnsi="Times New Roman" w:cs="Times New Roman"/>
                      <w:sz w:val="16"/>
                      <w:szCs w:val="16"/>
                      <w:lang w:val="uk-UA" w:eastAsia="uk-UA"/>
                    </w:rPr>
                    <w:t>Хв.</w:t>
                  </w:r>
                </w:p>
              </w:tc>
              <w:tc>
                <w:tcPr>
                  <w:tcW w:w="1356"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jc w:val="center"/>
                    <w:rPr>
                      <w:rFonts w:hint="eastAsia"/>
                      <w:sz w:val="16"/>
                      <w:szCs w:val="16"/>
                      <w:lang w:val="uk-UA"/>
                    </w:rPr>
                  </w:pPr>
                  <w:proofErr w:type="spellStart"/>
                  <w:r w:rsidRPr="009C7893">
                    <w:rPr>
                      <w:rStyle w:val="FontStyle17"/>
                      <w:rFonts w:ascii="Times New Roman" w:hAnsi="Times New Roman" w:cs="Times New Roman"/>
                      <w:sz w:val="16"/>
                      <w:szCs w:val="16"/>
                      <w:lang w:val="uk-UA" w:eastAsia="uk-UA"/>
                    </w:rPr>
                    <w:t>Безліміт</w:t>
                  </w:r>
                  <w:proofErr w:type="spellEnd"/>
                </w:p>
              </w:tc>
            </w:tr>
            <w:tr w:rsidR="00A941BC" w:rsidRPr="009C7893" w:rsidTr="00796711">
              <w:trPr>
                <w:trHeight w:hRule="exact" w:val="844"/>
              </w:trPr>
              <w:tc>
                <w:tcPr>
                  <w:tcW w:w="2829"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af8"/>
                    <w:rPr>
                      <w:rStyle w:val="FontStyle17"/>
                      <w:sz w:val="16"/>
                      <w:szCs w:val="16"/>
                      <w:lang w:eastAsia="uk-UA"/>
                    </w:rPr>
                  </w:pPr>
                  <w:r w:rsidRPr="009C7893">
                    <w:rPr>
                      <w:rStyle w:val="FontStyle17"/>
                      <w:sz w:val="16"/>
                      <w:szCs w:val="16"/>
                      <w:lang w:eastAsia="uk-UA"/>
                    </w:rPr>
                    <w:t>Вихідні дзвінки на номери інших операторів мобільного та фіксованого телефонного зв’язку</w:t>
                  </w:r>
                </w:p>
                <w:p w:rsidR="00A941BC" w:rsidRPr="009C7893" w:rsidRDefault="00A941BC" w:rsidP="00796711">
                  <w:pPr>
                    <w:pStyle w:val="af8"/>
                    <w:rPr>
                      <w:rStyle w:val="FontStyle17"/>
                      <w:sz w:val="16"/>
                      <w:szCs w:val="16"/>
                      <w:lang w:eastAsia="uk-UA"/>
                    </w:rPr>
                  </w:pPr>
                </w:p>
                <w:p w:rsidR="00A941BC" w:rsidRPr="009C7893" w:rsidRDefault="00A941BC" w:rsidP="00796711">
                  <w:pPr>
                    <w:pStyle w:val="af8"/>
                    <w:rPr>
                      <w:rStyle w:val="FontStyle17"/>
                      <w:sz w:val="16"/>
                      <w:szCs w:val="16"/>
                      <w:lang w:eastAsia="uk-UA"/>
                    </w:rPr>
                  </w:pPr>
                </w:p>
                <w:p w:rsidR="00A941BC" w:rsidRPr="009C7893" w:rsidRDefault="00A941BC" w:rsidP="00796711">
                  <w:pPr>
                    <w:pStyle w:val="af8"/>
                    <w:rPr>
                      <w:rStyle w:val="FontStyle17"/>
                      <w:sz w:val="16"/>
                      <w:szCs w:val="16"/>
                      <w:lang w:eastAsia="uk-UA"/>
                    </w:rPr>
                  </w:pPr>
                </w:p>
                <w:p w:rsidR="00A941BC" w:rsidRPr="009C7893" w:rsidRDefault="00A941BC" w:rsidP="00796711">
                  <w:pPr>
                    <w:pStyle w:val="af8"/>
                    <w:rPr>
                      <w:sz w:val="16"/>
                      <w:szCs w:val="16"/>
                    </w:rPr>
                  </w:pPr>
                </w:p>
              </w:tc>
              <w:tc>
                <w:tcPr>
                  <w:tcW w:w="815"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jc w:val="center"/>
                    <w:rPr>
                      <w:rFonts w:hint="eastAsia"/>
                      <w:sz w:val="16"/>
                      <w:szCs w:val="16"/>
                      <w:lang w:val="uk-UA"/>
                    </w:rPr>
                  </w:pPr>
                  <w:r w:rsidRPr="009C7893">
                    <w:rPr>
                      <w:rStyle w:val="FontStyle17"/>
                      <w:rFonts w:ascii="Times New Roman" w:hAnsi="Times New Roman" w:cs="Times New Roman"/>
                      <w:sz w:val="16"/>
                      <w:szCs w:val="16"/>
                      <w:lang w:val="uk-UA" w:eastAsia="uk-UA"/>
                    </w:rPr>
                    <w:t>Хв.</w:t>
                  </w:r>
                </w:p>
              </w:tc>
              <w:tc>
                <w:tcPr>
                  <w:tcW w:w="1356"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jc w:val="center"/>
                    <w:rPr>
                      <w:rFonts w:hint="eastAsia"/>
                      <w:sz w:val="16"/>
                      <w:szCs w:val="16"/>
                      <w:lang w:val="uk-UA"/>
                    </w:rPr>
                  </w:pPr>
                  <w:r w:rsidRPr="009C7893">
                    <w:rPr>
                      <w:rStyle w:val="FontStyle17"/>
                      <w:rFonts w:ascii="Times New Roman" w:hAnsi="Times New Roman" w:cs="Times New Roman"/>
                      <w:sz w:val="16"/>
                      <w:szCs w:val="16"/>
                      <w:lang w:val="uk-UA" w:eastAsia="uk-UA"/>
                    </w:rPr>
                    <w:t>500</w:t>
                  </w:r>
                </w:p>
              </w:tc>
            </w:tr>
            <w:tr w:rsidR="00A941BC" w:rsidRPr="009C7893" w:rsidTr="00796711">
              <w:trPr>
                <w:trHeight w:hRule="exact" w:val="252"/>
              </w:trPr>
              <w:tc>
                <w:tcPr>
                  <w:tcW w:w="2829"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rPr>
                      <w:rFonts w:hint="eastAsia"/>
                      <w:sz w:val="16"/>
                      <w:szCs w:val="16"/>
                      <w:lang w:val="uk-UA"/>
                    </w:rPr>
                  </w:pPr>
                  <w:r w:rsidRPr="009C7893">
                    <w:rPr>
                      <w:rStyle w:val="FontStyle14"/>
                      <w:rFonts w:ascii="Times New Roman" w:hAnsi="Times New Roman" w:cs="Times New Roman"/>
                      <w:sz w:val="16"/>
                      <w:szCs w:val="16"/>
                      <w:lang w:val="uk-UA" w:eastAsia="uk-UA"/>
                    </w:rPr>
                    <w:t>SМS</w:t>
                  </w:r>
                </w:p>
              </w:tc>
              <w:tc>
                <w:tcPr>
                  <w:tcW w:w="815"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jc w:val="center"/>
                    <w:rPr>
                      <w:rFonts w:hint="eastAsia"/>
                      <w:sz w:val="16"/>
                      <w:szCs w:val="16"/>
                      <w:lang w:val="uk-UA"/>
                    </w:rPr>
                  </w:pPr>
                  <w:r w:rsidRPr="009C7893">
                    <w:rPr>
                      <w:rStyle w:val="FontStyle17"/>
                      <w:rFonts w:ascii="Times New Roman" w:hAnsi="Times New Roman" w:cs="Times New Roman"/>
                      <w:sz w:val="16"/>
                      <w:szCs w:val="16"/>
                      <w:lang w:val="uk-UA" w:eastAsia="uk-UA"/>
                    </w:rPr>
                    <w:t>Од.</w:t>
                  </w:r>
                </w:p>
              </w:tc>
              <w:tc>
                <w:tcPr>
                  <w:tcW w:w="1356"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jc w:val="center"/>
                    <w:rPr>
                      <w:rFonts w:hint="eastAsia"/>
                      <w:sz w:val="16"/>
                      <w:szCs w:val="16"/>
                      <w:lang w:val="uk-UA"/>
                    </w:rPr>
                  </w:pPr>
                  <w:r w:rsidRPr="009C7893">
                    <w:rPr>
                      <w:rStyle w:val="FontStyle17"/>
                      <w:rFonts w:ascii="Times New Roman" w:hAnsi="Times New Roman" w:cs="Times New Roman"/>
                      <w:sz w:val="16"/>
                      <w:szCs w:val="16"/>
                      <w:lang w:val="uk-UA" w:eastAsia="uk-UA"/>
                    </w:rPr>
                    <w:t>500</w:t>
                  </w:r>
                </w:p>
              </w:tc>
            </w:tr>
            <w:tr w:rsidR="00A941BC" w:rsidRPr="009C7893" w:rsidTr="00796711">
              <w:trPr>
                <w:trHeight w:hRule="exact" w:val="239"/>
              </w:trPr>
              <w:tc>
                <w:tcPr>
                  <w:tcW w:w="2829"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rPr>
                      <w:rFonts w:hint="eastAsia"/>
                      <w:sz w:val="16"/>
                      <w:szCs w:val="16"/>
                      <w:lang w:val="uk-UA"/>
                    </w:rPr>
                  </w:pPr>
                  <w:r w:rsidRPr="009C7893">
                    <w:rPr>
                      <w:rStyle w:val="FontStyle14"/>
                      <w:rFonts w:ascii="Times New Roman" w:hAnsi="Times New Roman" w:cs="Times New Roman"/>
                      <w:sz w:val="16"/>
                      <w:szCs w:val="16"/>
                      <w:lang w:val="uk-UA" w:eastAsia="uk-UA"/>
                    </w:rPr>
                    <w:t>4G/3G/GPRS/EDGE</w:t>
                  </w:r>
                  <w:r w:rsidRPr="009C7893">
                    <w:rPr>
                      <w:rStyle w:val="FontStyle17"/>
                      <w:rFonts w:ascii="Times New Roman" w:hAnsi="Times New Roman" w:cs="Times New Roman"/>
                      <w:sz w:val="16"/>
                      <w:szCs w:val="16"/>
                      <w:lang w:val="uk-UA" w:eastAsia="uk-UA"/>
                    </w:rPr>
                    <w:t xml:space="preserve"> Інтернет</w:t>
                  </w:r>
                </w:p>
              </w:tc>
              <w:tc>
                <w:tcPr>
                  <w:tcW w:w="815"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jc w:val="center"/>
                    <w:rPr>
                      <w:rFonts w:hint="eastAsia"/>
                      <w:sz w:val="16"/>
                      <w:szCs w:val="16"/>
                      <w:lang w:val="uk-UA"/>
                    </w:rPr>
                  </w:pPr>
                  <w:proofErr w:type="spellStart"/>
                  <w:r w:rsidRPr="009C7893">
                    <w:rPr>
                      <w:rStyle w:val="FontStyle17"/>
                      <w:rFonts w:ascii="Times New Roman" w:hAnsi="Times New Roman" w:cs="Times New Roman"/>
                      <w:sz w:val="16"/>
                      <w:szCs w:val="16"/>
                      <w:lang w:val="uk-UA" w:eastAsia="uk-UA"/>
                    </w:rPr>
                    <w:t>Мб</w:t>
                  </w:r>
                  <w:proofErr w:type="spellEnd"/>
                </w:p>
              </w:tc>
              <w:tc>
                <w:tcPr>
                  <w:tcW w:w="1356"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jc w:val="center"/>
                    <w:rPr>
                      <w:rFonts w:hint="eastAsia"/>
                      <w:sz w:val="16"/>
                      <w:szCs w:val="16"/>
                      <w:lang w:val="uk-UA"/>
                    </w:rPr>
                  </w:pPr>
                  <w:r w:rsidRPr="009C7893">
                    <w:rPr>
                      <w:rStyle w:val="FontStyle17"/>
                      <w:rFonts w:ascii="Times New Roman" w:hAnsi="Times New Roman" w:cs="Times New Roman"/>
                      <w:sz w:val="16"/>
                      <w:szCs w:val="16"/>
                      <w:lang w:val="uk-UA" w:eastAsia="uk-UA"/>
                    </w:rPr>
                    <w:t>10 000</w:t>
                  </w:r>
                </w:p>
              </w:tc>
            </w:tr>
          </w:tbl>
          <w:p w:rsidR="00A941BC" w:rsidRPr="009C7893" w:rsidRDefault="00A941BC" w:rsidP="00796711">
            <w:pPr>
              <w:suppressAutoHyphens/>
              <w:jc w:val="both"/>
              <w:rPr>
                <w:rFonts w:ascii="Calibri" w:cs="Calibri"/>
                <w:sz w:val="18"/>
                <w:szCs w:val="18"/>
              </w:rPr>
            </w:pPr>
          </w:p>
        </w:tc>
      </w:tr>
      <w:tr w:rsidR="00A941BC" w:rsidRPr="009C7893" w:rsidTr="00796711">
        <w:trPr>
          <w:trHeight w:val="335"/>
        </w:trPr>
        <w:tc>
          <w:tcPr>
            <w:tcW w:w="385" w:type="pct"/>
          </w:tcPr>
          <w:p w:rsidR="00A941BC" w:rsidRPr="009C7893" w:rsidRDefault="00A941BC" w:rsidP="00796711">
            <w:pPr>
              <w:widowControl w:val="0"/>
              <w:rPr>
                <w:sz w:val="20"/>
                <w:szCs w:val="20"/>
              </w:rPr>
            </w:pPr>
            <w:r w:rsidRPr="009C7893">
              <w:rPr>
                <w:sz w:val="20"/>
                <w:szCs w:val="20"/>
              </w:rPr>
              <w:t>2</w:t>
            </w:r>
          </w:p>
        </w:tc>
        <w:tc>
          <w:tcPr>
            <w:tcW w:w="1338" w:type="pct"/>
            <w:shd w:val="clear" w:color="auto" w:fill="FFFFFA"/>
            <w:hideMark/>
          </w:tcPr>
          <w:p w:rsidR="00A941BC" w:rsidRPr="009C7893" w:rsidRDefault="00A941BC" w:rsidP="00796711">
            <w:pPr>
              <w:suppressAutoHyphens/>
              <w:jc w:val="center"/>
              <w:rPr>
                <w:sz w:val="20"/>
                <w:szCs w:val="20"/>
              </w:rPr>
            </w:pPr>
            <w:r w:rsidRPr="009C7893">
              <w:rPr>
                <w:sz w:val="20"/>
                <w:szCs w:val="20"/>
              </w:rPr>
              <w:t>Послуги мобільного (стільникового) зв’язку - Тарифний пакет «Керівник»</w:t>
            </w:r>
          </w:p>
        </w:tc>
        <w:tc>
          <w:tcPr>
            <w:tcW w:w="628" w:type="pct"/>
            <w:shd w:val="clear" w:color="auto" w:fill="FFFFFA"/>
          </w:tcPr>
          <w:p w:rsidR="00A941BC" w:rsidRPr="009C7893" w:rsidRDefault="00A941BC" w:rsidP="00796711">
            <w:pPr>
              <w:suppressAutoHyphens/>
              <w:jc w:val="center"/>
              <w:rPr>
                <w:sz w:val="20"/>
                <w:szCs w:val="20"/>
              </w:rPr>
            </w:pPr>
            <w:r w:rsidRPr="009C7893">
              <w:rPr>
                <w:sz w:val="20"/>
                <w:szCs w:val="20"/>
              </w:rPr>
              <w:t>шт.</w:t>
            </w:r>
          </w:p>
        </w:tc>
        <w:tc>
          <w:tcPr>
            <w:tcW w:w="539" w:type="pct"/>
            <w:shd w:val="clear" w:color="auto" w:fill="FFFFFA"/>
          </w:tcPr>
          <w:p w:rsidR="00A941BC" w:rsidRPr="009C7893" w:rsidRDefault="00A941BC" w:rsidP="00796711">
            <w:pPr>
              <w:suppressAutoHyphens/>
              <w:jc w:val="center"/>
              <w:rPr>
                <w:sz w:val="20"/>
                <w:szCs w:val="20"/>
              </w:rPr>
            </w:pPr>
            <w:r w:rsidRPr="009C7893">
              <w:rPr>
                <w:sz w:val="20"/>
                <w:szCs w:val="20"/>
              </w:rPr>
              <w:t>230</w:t>
            </w:r>
          </w:p>
        </w:tc>
        <w:tc>
          <w:tcPr>
            <w:tcW w:w="2109" w:type="pct"/>
            <w:shd w:val="clear" w:color="auto" w:fill="FFFFFA"/>
          </w:tcPr>
          <w:p w:rsidR="00A941BC" w:rsidRPr="009C7893" w:rsidRDefault="00A941BC" w:rsidP="00796711">
            <w:pPr>
              <w:suppressAutoHyphens/>
              <w:jc w:val="both"/>
              <w:rPr>
                <w:sz w:val="18"/>
                <w:szCs w:val="1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40" w:type="dxa"/>
              </w:tblCellMar>
              <w:tblLook w:val="0000" w:firstRow="0" w:lastRow="0" w:firstColumn="0" w:lastColumn="0" w:noHBand="0" w:noVBand="0"/>
            </w:tblPr>
            <w:tblGrid>
              <w:gridCol w:w="1997"/>
              <w:gridCol w:w="741"/>
              <w:gridCol w:w="1336"/>
            </w:tblGrid>
            <w:tr w:rsidR="00A941BC" w:rsidRPr="009C7893" w:rsidTr="00796711">
              <w:trPr>
                <w:trHeight w:hRule="exact" w:val="580"/>
              </w:trPr>
              <w:tc>
                <w:tcPr>
                  <w:tcW w:w="2569" w:type="pct"/>
                  <w:tcBorders>
                    <w:top w:val="single" w:sz="4" w:space="0" w:color="000000"/>
                    <w:left w:val="single" w:sz="4" w:space="0" w:color="000000"/>
                    <w:bottom w:val="single" w:sz="4" w:space="0" w:color="000000"/>
                    <w:right w:val="single" w:sz="4" w:space="0" w:color="000000"/>
                  </w:tcBorders>
                  <w:shd w:val="clear" w:color="auto" w:fill="EEEEEE"/>
                  <w:tcMar>
                    <w:left w:w="40" w:type="dxa"/>
                  </w:tcMar>
                </w:tcPr>
                <w:p w:rsidR="00A941BC" w:rsidRPr="009C7893" w:rsidRDefault="00A941BC" w:rsidP="00796711">
                  <w:pPr>
                    <w:pStyle w:val="Style5"/>
                    <w:widowControl/>
                    <w:spacing w:line="240" w:lineRule="auto"/>
                    <w:jc w:val="center"/>
                    <w:rPr>
                      <w:rFonts w:ascii="Times New Roman" w:cs="Times New Roman" w:hint="eastAsia"/>
                      <w:sz w:val="16"/>
                      <w:szCs w:val="16"/>
                      <w:lang w:val="uk-UA"/>
                    </w:rPr>
                  </w:pPr>
                  <w:r w:rsidRPr="009C7893">
                    <w:rPr>
                      <w:rStyle w:val="FontStyle17"/>
                      <w:rFonts w:ascii="Times New Roman" w:hAnsi="Times New Roman" w:cs="Times New Roman"/>
                      <w:b/>
                      <w:sz w:val="16"/>
                      <w:szCs w:val="16"/>
                      <w:lang w:val="uk-UA" w:eastAsia="uk-UA"/>
                    </w:rPr>
                    <w:t>Послуга</w:t>
                  </w:r>
                </w:p>
              </w:tc>
              <w:tc>
                <w:tcPr>
                  <w:tcW w:w="675" w:type="pct"/>
                  <w:tcBorders>
                    <w:top w:val="single" w:sz="4" w:space="0" w:color="000000"/>
                    <w:left w:val="single" w:sz="4" w:space="0" w:color="000000"/>
                    <w:bottom w:val="single" w:sz="4" w:space="0" w:color="000000"/>
                    <w:right w:val="single" w:sz="4" w:space="0" w:color="000000"/>
                  </w:tcBorders>
                  <w:shd w:val="clear" w:color="auto" w:fill="EEEEEE"/>
                  <w:tcMar>
                    <w:left w:w="40" w:type="dxa"/>
                  </w:tcMar>
                </w:tcPr>
                <w:p w:rsidR="00A941BC" w:rsidRPr="009C7893" w:rsidRDefault="00A941BC" w:rsidP="00796711">
                  <w:pPr>
                    <w:pStyle w:val="Style5"/>
                    <w:widowControl/>
                    <w:spacing w:line="240" w:lineRule="auto"/>
                    <w:jc w:val="center"/>
                    <w:rPr>
                      <w:rFonts w:ascii="Times New Roman" w:cs="Times New Roman" w:hint="eastAsia"/>
                      <w:sz w:val="16"/>
                      <w:szCs w:val="16"/>
                      <w:lang w:val="uk-UA"/>
                    </w:rPr>
                  </w:pPr>
                  <w:r w:rsidRPr="009C7893">
                    <w:rPr>
                      <w:rStyle w:val="FontStyle17"/>
                      <w:rFonts w:ascii="Times New Roman" w:hAnsi="Times New Roman" w:cs="Times New Roman"/>
                      <w:b/>
                      <w:sz w:val="16"/>
                      <w:szCs w:val="16"/>
                      <w:lang w:val="uk-UA" w:eastAsia="uk-UA"/>
                    </w:rPr>
                    <w:t>Одиниця виміру</w:t>
                  </w:r>
                </w:p>
              </w:tc>
              <w:tc>
                <w:tcPr>
                  <w:tcW w:w="1757" w:type="pct"/>
                  <w:tcBorders>
                    <w:top w:val="single" w:sz="4" w:space="0" w:color="000000"/>
                    <w:left w:val="single" w:sz="4" w:space="0" w:color="000000"/>
                    <w:bottom w:val="single" w:sz="4" w:space="0" w:color="000000"/>
                    <w:right w:val="single" w:sz="4" w:space="0" w:color="000000"/>
                  </w:tcBorders>
                  <w:shd w:val="clear" w:color="auto" w:fill="EEEEEE"/>
                  <w:tcMar>
                    <w:left w:w="40" w:type="dxa"/>
                  </w:tcMar>
                </w:tcPr>
                <w:p w:rsidR="00A941BC" w:rsidRPr="009C7893" w:rsidRDefault="00A941BC" w:rsidP="00796711">
                  <w:pPr>
                    <w:pStyle w:val="Style5"/>
                    <w:widowControl/>
                    <w:spacing w:line="240" w:lineRule="auto"/>
                    <w:jc w:val="center"/>
                    <w:rPr>
                      <w:rFonts w:ascii="Times New Roman" w:cs="Times New Roman" w:hint="eastAsia"/>
                      <w:sz w:val="16"/>
                      <w:szCs w:val="16"/>
                      <w:lang w:val="uk-UA"/>
                    </w:rPr>
                  </w:pPr>
                  <w:r w:rsidRPr="009C7893">
                    <w:rPr>
                      <w:rStyle w:val="FontStyle17"/>
                      <w:rFonts w:ascii="Times New Roman" w:hAnsi="Times New Roman" w:cs="Times New Roman"/>
                      <w:b/>
                      <w:sz w:val="16"/>
                      <w:szCs w:val="16"/>
                      <w:lang w:val="uk-UA" w:eastAsia="uk-UA"/>
                    </w:rPr>
                    <w:t>Значення (за одиницю виміру) / Кількість</w:t>
                  </w:r>
                </w:p>
              </w:tc>
            </w:tr>
            <w:tr w:rsidR="00A941BC" w:rsidRPr="009C7893" w:rsidTr="00796711">
              <w:trPr>
                <w:trHeight w:val="800"/>
              </w:trPr>
              <w:tc>
                <w:tcPr>
                  <w:tcW w:w="2569"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af8"/>
                    <w:rPr>
                      <w:sz w:val="16"/>
                      <w:szCs w:val="16"/>
                    </w:rPr>
                  </w:pPr>
                  <w:r w:rsidRPr="009C7893">
                    <w:rPr>
                      <w:rStyle w:val="FontStyle17"/>
                      <w:sz w:val="16"/>
                      <w:szCs w:val="16"/>
                      <w:lang w:eastAsia="uk-UA"/>
                    </w:rPr>
                    <w:t>Вихідні дзвінки в корпоративній мережі ДП МА «Бориспіль» та мережі оператора</w:t>
                  </w:r>
                </w:p>
              </w:tc>
              <w:tc>
                <w:tcPr>
                  <w:tcW w:w="675"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af8"/>
                    <w:jc w:val="center"/>
                    <w:rPr>
                      <w:sz w:val="16"/>
                      <w:szCs w:val="16"/>
                    </w:rPr>
                  </w:pPr>
                  <w:r w:rsidRPr="009C7893">
                    <w:rPr>
                      <w:rStyle w:val="FontStyle17"/>
                      <w:sz w:val="16"/>
                      <w:szCs w:val="16"/>
                      <w:lang w:eastAsia="uk-UA"/>
                    </w:rPr>
                    <w:t>Хв.</w:t>
                  </w:r>
                </w:p>
              </w:tc>
              <w:tc>
                <w:tcPr>
                  <w:tcW w:w="1757" w:type="pct"/>
                  <w:tcBorders>
                    <w:top w:val="single" w:sz="4" w:space="0" w:color="000000"/>
                    <w:left w:val="single" w:sz="4" w:space="0" w:color="000000"/>
                    <w:bottom w:val="single" w:sz="4" w:space="0" w:color="000000"/>
                    <w:right w:val="single" w:sz="4" w:space="0" w:color="000000"/>
                  </w:tcBorders>
                  <w:shd w:val="clear" w:color="auto" w:fill="FFFFFF"/>
                  <w:tcMar>
                    <w:left w:w="40" w:type="dxa"/>
                  </w:tcMar>
                </w:tcPr>
                <w:p w:rsidR="00A941BC" w:rsidRPr="009C7893" w:rsidRDefault="00A941BC" w:rsidP="00796711">
                  <w:pPr>
                    <w:pStyle w:val="af8"/>
                    <w:jc w:val="center"/>
                    <w:rPr>
                      <w:sz w:val="16"/>
                      <w:szCs w:val="16"/>
                    </w:rPr>
                  </w:pPr>
                  <w:proofErr w:type="spellStart"/>
                  <w:r w:rsidRPr="009C7893">
                    <w:rPr>
                      <w:rStyle w:val="FontStyle17"/>
                      <w:sz w:val="16"/>
                      <w:szCs w:val="16"/>
                      <w:lang w:eastAsia="uk-UA"/>
                    </w:rPr>
                    <w:t>Безліміт</w:t>
                  </w:r>
                  <w:proofErr w:type="spellEnd"/>
                </w:p>
              </w:tc>
            </w:tr>
            <w:tr w:rsidR="00A941BC" w:rsidRPr="009C7893" w:rsidTr="00796711">
              <w:trPr>
                <w:trHeight w:val="696"/>
              </w:trPr>
              <w:tc>
                <w:tcPr>
                  <w:tcW w:w="2569"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af8"/>
                    <w:rPr>
                      <w:sz w:val="16"/>
                      <w:szCs w:val="16"/>
                    </w:rPr>
                  </w:pPr>
                  <w:r w:rsidRPr="009C7893">
                    <w:rPr>
                      <w:rStyle w:val="FontStyle17"/>
                      <w:sz w:val="16"/>
                      <w:szCs w:val="16"/>
                      <w:lang w:eastAsia="uk-UA"/>
                    </w:rPr>
                    <w:t>Вихідні дзвінки на номери інших операторів мобільного та фіксованого телефонного зв’язку</w:t>
                  </w:r>
                </w:p>
              </w:tc>
              <w:tc>
                <w:tcPr>
                  <w:tcW w:w="675"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af8"/>
                    <w:jc w:val="center"/>
                    <w:rPr>
                      <w:sz w:val="16"/>
                      <w:szCs w:val="16"/>
                    </w:rPr>
                  </w:pPr>
                  <w:r w:rsidRPr="009C7893">
                    <w:rPr>
                      <w:rStyle w:val="FontStyle17"/>
                      <w:sz w:val="16"/>
                      <w:szCs w:val="16"/>
                      <w:lang w:eastAsia="uk-UA"/>
                    </w:rPr>
                    <w:t>Хв.</w:t>
                  </w:r>
                </w:p>
              </w:tc>
              <w:tc>
                <w:tcPr>
                  <w:tcW w:w="1757" w:type="pct"/>
                  <w:tcBorders>
                    <w:top w:val="single" w:sz="4" w:space="0" w:color="000000"/>
                    <w:left w:val="single" w:sz="4" w:space="0" w:color="000000"/>
                    <w:bottom w:val="single" w:sz="4" w:space="0" w:color="000000"/>
                    <w:right w:val="single" w:sz="4" w:space="0" w:color="000000"/>
                  </w:tcBorders>
                  <w:shd w:val="clear" w:color="auto" w:fill="FFFFFF"/>
                  <w:tcMar>
                    <w:left w:w="40" w:type="dxa"/>
                  </w:tcMar>
                </w:tcPr>
                <w:p w:rsidR="00A941BC" w:rsidRPr="009C7893" w:rsidRDefault="00A941BC" w:rsidP="00796711">
                  <w:pPr>
                    <w:pStyle w:val="af8"/>
                    <w:jc w:val="center"/>
                    <w:rPr>
                      <w:sz w:val="16"/>
                      <w:szCs w:val="16"/>
                    </w:rPr>
                  </w:pPr>
                  <w:r w:rsidRPr="009C7893">
                    <w:rPr>
                      <w:rStyle w:val="FontStyle17"/>
                      <w:sz w:val="16"/>
                      <w:szCs w:val="16"/>
                      <w:lang w:eastAsia="uk-UA"/>
                    </w:rPr>
                    <w:t>200</w:t>
                  </w:r>
                </w:p>
              </w:tc>
            </w:tr>
            <w:tr w:rsidR="00A941BC" w:rsidRPr="009C7893" w:rsidTr="00796711">
              <w:trPr>
                <w:trHeight w:val="181"/>
              </w:trPr>
              <w:tc>
                <w:tcPr>
                  <w:tcW w:w="2569"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af8"/>
                    <w:rPr>
                      <w:sz w:val="16"/>
                      <w:szCs w:val="16"/>
                    </w:rPr>
                  </w:pPr>
                  <w:r w:rsidRPr="009C7893">
                    <w:rPr>
                      <w:rStyle w:val="FontStyle14"/>
                      <w:sz w:val="16"/>
                      <w:szCs w:val="16"/>
                      <w:lang w:eastAsia="uk-UA"/>
                    </w:rPr>
                    <w:t>SМS</w:t>
                  </w:r>
                </w:p>
              </w:tc>
              <w:tc>
                <w:tcPr>
                  <w:tcW w:w="675"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af8"/>
                    <w:jc w:val="center"/>
                    <w:rPr>
                      <w:sz w:val="16"/>
                      <w:szCs w:val="16"/>
                    </w:rPr>
                  </w:pPr>
                  <w:r w:rsidRPr="009C7893">
                    <w:rPr>
                      <w:rStyle w:val="FontStyle17"/>
                      <w:sz w:val="16"/>
                      <w:szCs w:val="16"/>
                      <w:lang w:eastAsia="uk-UA"/>
                    </w:rPr>
                    <w:t>Од.</w:t>
                  </w:r>
                </w:p>
              </w:tc>
              <w:tc>
                <w:tcPr>
                  <w:tcW w:w="1757" w:type="pct"/>
                  <w:tcBorders>
                    <w:top w:val="single" w:sz="4" w:space="0" w:color="000000"/>
                    <w:left w:val="single" w:sz="4" w:space="0" w:color="000000"/>
                    <w:bottom w:val="single" w:sz="4" w:space="0" w:color="000000"/>
                    <w:right w:val="single" w:sz="4" w:space="0" w:color="000000"/>
                  </w:tcBorders>
                  <w:shd w:val="clear" w:color="auto" w:fill="FFFFFF"/>
                  <w:tcMar>
                    <w:left w:w="40" w:type="dxa"/>
                  </w:tcMar>
                </w:tcPr>
                <w:p w:rsidR="00A941BC" w:rsidRPr="009C7893" w:rsidRDefault="00A941BC" w:rsidP="00796711">
                  <w:pPr>
                    <w:pStyle w:val="af8"/>
                    <w:jc w:val="center"/>
                    <w:rPr>
                      <w:sz w:val="16"/>
                      <w:szCs w:val="16"/>
                    </w:rPr>
                  </w:pPr>
                  <w:r w:rsidRPr="009C7893">
                    <w:rPr>
                      <w:rStyle w:val="FontStyle17"/>
                      <w:sz w:val="16"/>
                      <w:szCs w:val="16"/>
                      <w:lang w:eastAsia="uk-UA"/>
                    </w:rPr>
                    <w:t>200</w:t>
                  </w:r>
                </w:p>
              </w:tc>
            </w:tr>
            <w:tr w:rsidR="00A941BC" w:rsidRPr="009C7893" w:rsidTr="00796711">
              <w:trPr>
                <w:trHeight w:val="181"/>
              </w:trPr>
              <w:tc>
                <w:tcPr>
                  <w:tcW w:w="2569"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af8"/>
                    <w:rPr>
                      <w:sz w:val="16"/>
                      <w:szCs w:val="16"/>
                    </w:rPr>
                  </w:pPr>
                  <w:r w:rsidRPr="009C7893">
                    <w:rPr>
                      <w:rStyle w:val="FontStyle14"/>
                      <w:sz w:val="16"/>
                      <w:szCs w:val="16"/>
                      <w:lang w:eastAsia="uk-UA"/>
                    </w:rPr>
                    <w:t>4G/3G/GPRS/EDGE</w:t>
                  </w:r>
                  <w:r w:rsidRPr="009C7893">
                    <w:rPr>
                      <w:rStyle w:val="FontStyle17"/>
                      <w:sz w:val="16"/>
                      <w:szCs w:val="16"/>
                      <w:lang w:eastAsia="uk-UA"/>
                    </w:rPr>
                    <w:t xml:space="preserve"> Інтернет</w:t>
                  </w:r>
                </w:p>
              </w:tc>
              <w:tc>
                <w:tcPr>
                  <w:tcW w:w="675"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af8"/>
                    <w:jc w:val="center"/>
                    <w:rPr>
                      <w:sz w:val="16"/>
                      <w:szCs w:val="16"/>
                    </w:rPr>
                  </w:pPr>
                  <w:proofErr w:type="spellStart"/>
                  <w:r w:rsidRPr="009C7893">
                    <w:rPr>
                      <w:rStyle w:val="FontStyle17"/>
                      <w:sz w:val="16"/>
                      <w:szCs w:val="16"/>
                      <w:lang w:eastAsia="uk-UA"/>
                    </w:rPr>
                    <w:t>Мб</w:t>
                  </w:r>
                  <w:proofErr w:type="spellEnd"/>
                </w:p>
              </w:tc>
              <w:tc>
                <w:tcPr>
                  <w:tcW w:w="1757" w:type="pct"/>
                  <w:tcBorders>
                    <w:top w:val="single" w:sz="4" w:space="0" w:color="000000"/>
                    <w:left w:val="single" w:sz="4" w:space="0" w:color="000000"/>
                    <w:bottom w:val="single" w:sz="4" w:space="0" w:color="000000"/>
                    <w:right w:val="single" w:sz="4" w:space="0" w:color="000000"/>
                  </w:tcBorders>
                  <w:shd w:val="clear" w:color="auto" w:fill="FFFFFF"/>
                  <w:tcMar>
                    <w:left w:w="40" w:type="dxa"/>
                  </w:tcMar>
                </w:tcPr>
                <w:p w:rsidR="00A941BC" w:rsidRPr="009C7893" w:rsidRDefault="00A941BC" w:rsidP="00796711">
                  <w:pPr>
                    <w:pStyle w:val="af8"/>
                    <w:jc w:val="center"/>
                    <w:rPr>
                      <w:sz w:val="16"/>
                      <w:szCs w:val="16"/>
                    </w:rPr>
                  </w:pPr>
                  <w:r w:rsidRPr="009C7893">
                    <w:rPr>
                      <w:rStyle w:val="FontStyle17"/>
                      <w:sz w:val="16"/>
                      <w:szCs w:val="16"/>
                      <w:lang w:eastAsia="uk-UA"/>
                    </w:rPr>
                    <w:t>6 000</w:t>
                  </w:r>
                </w:p>
              </w:tc>
            </w:tr>
          </w:tbl>
          <w:p w:rsidR="00A941BC" w:rsidRPr="009C7893" w:rsidRDefault="00A941BC" w:rsidP="00796711">
            <w:pPr>
              <w:suppressAutoHyphens/>
              <w:rPr>
                <w:sz w:val="18"/>
                <w:szCs w:val="18"/>
              </w:rPr>
            </w:pPr>
            <w:r w:rsidRPr="009C7893">
              <w:rPr>
                <w:rStyle w:val="FontStyle14"/>
                <w:sz w:val="18"/>
                <w:szCs w:val="18"/>
              </w:rPr>
              <w:t>Для тарифного пакету «Керівник» повинна бути передбачена функція обмеження витрат*, яка надає можливість встановлювати суму обмеження коштів на місяць для кожного абонента та надає можливість контролювати витрати в рамках встановленої суми.</w:t>
            </w:r>
          </w:p>
          <w:p w:rsidR="00A941BC" w:rsidRPr="009C7893" w:rsidRDefault="00A941BC" w:rsidP="00796711">
            <w:pPr>
              <w:suppressAutoHyphens/>
              <w:jc w:val="both"/>
              <w:rPr>
                <w:sz w:val="18"/>
                <w:szCs w:val="18"/>
              </w:rPr>
            </w:pPr>
            <w:r w:rsidRPr="009C7893">
              <w:rPr>
                <w:sz w:val="18"/>
                <w:szCs w:val="18"/>
              </w:rPr>
              <w:t xml:space="preserve">*Обмеження витрат по номерам в межах розрахункового періоду в разі досягнення вартості спожитих послуг, що надаються протягом одного розрахункового періоду. </w:t>
            </w:r>
          </w:p>
          <w:p w:rsidR="00A941BC" w:rsidRPr="009C7893" w:rsidRDefault="00A941BC" w:rsidP="00796711">
            <w:pPr>
              <w:suppressAutoHyphens/>
              <w:jc w:val="both"/>
              <w:rPr>
                <w:sz w:val="18"/>
                <w:szCs w:val="18"/>
              </w:rPr>
            </w:pPr>
            <w:r w:rsidRPr="009C7893">
              <w:rPr>
                <w:sz w:val="18"/>
                <w:szCs w:val="18"/>
              </w:rPr>
              <w:t>При включенні даної послуги у користувача тимчасово обмежується всі послуги, які були надані згідно встановленого пакету, крім:</w:t>
            </w:r>
          </w:p>
          <w:p w:rsidR="00A941BC" w:rsidRPr="009C7893" w:rsidRDefault="00A941BC" w:rsidP="00A941BC">
            <w:pPr>
              <w:widowControl w:val="0"/>
              <w:numPr>
                <w:ilvl w:val="0"/>
                <w:numId w:val="26"/>
              </w:numPr>
              <w:overflowPunct w:val="0"/>
              <w:ind w:left="0" w:firstLine="567"/>
              <w:jc w:val="both"/>
              <w:rPr>
                <w:sz w:val="18"/>
                <w:szCs w:val="18"/>
              </w:rPr>
            </w:pPr>
            <w:r w:rsidRPr="009C7893">
              <w:rPr>
                <w:sz w:val="18"/>
                <w:szCs w:val="18"/>
              </w:rPr>
              <w:t>отримання вхідних дзвінків;</w:t>
            </w:r>
          </w:p>
          <w:p w:rsidR="00A941BC" w:rsidRPr="009C7893" w:rsidRDefault="00A941BC" w:rsidP="00A941BC">
            <w:pPr>
              <w:widowControl w:val="0"/>
              <w:numPr>
                <w:ilvl w:val="0"/>
                <w:numId w:val="26"/>
              </w:numPr>
              <w:overflowPunct w:val="0"/>
              <w:ind w:left="0" w:firstLine="567"/>
              <w:jc w:val="both"/>
              <w:rPr>
                <w:sz w:val="18"/>
                <w:szCs w:val="18"/>
              </w:rPr>
            </w:pPr>
            <w:r w:rsidRPr="009C7893">
              <w:rPr>
                <w:sz w:val="18"/>
                <w:szCs w:val="18"/>
              </w:rPr>
              <w:t>здійснення дзвінків в межах «Корпоративної мережі»;</w:t>
            </w:r>
          </w:p>
          <w:p w:rsidR="00A941BC" w:rsidRPr="009C7893" w:rsidRDefault="00A941BC" w:rsidP="00A941BC">
            <w:pPr>
              <w:widowControl w:val="0"/>
              <w:numPr>
                <w:ilvl w:val="0"/>
                <w:numId w:val="26"/>
              </w:numPr>
              <w:overflowPunct w:val="0"/>
              <w:ind w:left="0" w:firstLine="567"/>
              <w:jc w:val="both"/>
              <w:rPr>
                <w:sz w:val="18"/>
                <w:szCs w:val="18"/>
              </w:rPr>
            </w:pPr>
            <w:r w:rsidRPr="009C7893">
              <w:rPr>
                <w:sz w:val="18"/>
                <w:szCs w:val="18"/>
              </w:rPr>
              <w:t xml:space="preserve">користування послугами </w:t>
            </w:r>
            <w:r w:rsidRPr="009C7893">
              <w:rPr>
                <w:rStyle w:val="FontStyle14"/>
                <w:sz w:val="18"/>
                <w:szCs w:val="18"/>
              </w:rPr>
              <w:t>4G/3G/GPRS/EDGE</w:t>
            </w:r>
            <w:r w:rsidRPr="009C7893">
              <w:rPr>
                <w:rStyle w:val="FontStyle17"/>
                <w:sz w:val="18"/>
                <w:szCs w:val="18"/>
              </w:rPr>
              <w:t xml:space="preserve"> Інтернет</w:t>
            </w:r>
            <w:r w:rsidRPr="009C7893">
              <w:rPr>
                <w:sz w:val="18"/>
                <w:szCs w:val="18"/>
              </w:rPr>
              <w:t xml:space="preserve"> в межах включеного у вартість пакету або замовленого за додаткову оплату </w:t>
            </w:r>
            <w:r w:rsidRPr="009C7893">
              <w:rPr>
                <w:rStyle w:val="FontStyle14"/>
                <w:sz w:val="18"/>
                <w:szCs w:val="18"/>
              </w:rPr>
              <w:t>4G</w:t>
            </w:r>
            <w:r w:rsidRPr="009C7893">
              <w:rPr>
                <w:sz w:val="18"/>
                <w:szCs w:val="18"/>
              </w:rPr>
              <w:t>/3G/GPRS трафіку.</w:t>
            </w:r>
          </w:p>
          <w:p w:rsidR="00A941BC" w:rsidRPr="009C7893" w:rsidRDefault="00A941BC" w:rsidP="00796711">
            <w:pPr>
              <w:suppressAutoHyphens/>
              <w:jc w:val="both"/>
              <w:rPr>
                <w:sz w:val="18"/>
                <w:szCs w:val="18"/>
              </w:rPr>
            </w:pPr>
            <w:r w:rsidRPr="009C7893">
              <w:rPr>
                <w:sz w:val="18"/>
                <w:szCs w:val="18"/>
              </w:rPr>
              <w:t>Автоматичне безкоштовне відновлення надання послуг на номерах, на котрих було тимчасово обмежено надання послуг відповідно до дії послуги обмеження витрат, здійснюється в останній день місяця.</w:t>
            </w:r>
          </w:p>
          <w:p w:rsidR="00A941BC" w:rsidRPr="009C7893" w:rsidRDefault="00A941BC" w:rsidP="00796711">
            <w:pPr>
              <w:suppressAutoHyphens/>
              <w:jc w:val="both"/>
              <w:rPr>
                <w:sz w:val="18"/>
                <w:szCs w:val="18"/>
              </w:rPr>
            </w:pPr>
            <w:r w:rsidRPr="009C7893">
              <w:rPr>
                <w:sz w:val="18"/>
                <w:szCs w:val="18"/>
              </w:rPr>
              <w:t>У разі необхідності відновлення надання послуг здійснюється протягом 1 години після отримання оператором інформації від ДП МА «Бориспіль» або самостійно уповноваженою особою ДП МА «Бориспіль» за допомогою Інтернет-сайту Оператора.</w:t>
            </w:r>
          </w:p>
        </w:tc>
      </w:tr>
      <w:tr w:rsidR="00A941BC" w:rsidRPr="009C7893" w:rsidTr="00796711">
        <w:trPr>
          <w:trHeight w:val="335"/>
        </w:trPr>
        <w:tc>
          <w:tcPr>
            <w:tcW w:w="385" w:type="pct"/>
          </w:tcPr>
          <w:p w:rsidR="00A941BC" w:rsidRPr="009C7893" w:rsidRDefault="00A941BC" w:rsidP="00796711">
            <w:pPr>
              <w:widowControl w:val="0"/>
              <w:rPr>
                <w:sz w:val="20"/>
                <w:szCs w:val="20"/>
              </w:rPr>
            </w:pPr>
            <w:r w:rsidRPr="009C7893">
              <w:rPr>
                <w:sz w:val="20"/>
                <w:szCs w:val="20"/>
              </w:rPr>
              <w:lastRenderedPageBreak/>
              <w:t>3</w:t>
            </w:r>
          </w:p>
        </w:tc>
        <w:tc>
          <w:tcPr>
            <w:tcW w:w="1338" w:type="pct"/>
            <w:shd w:val="clear" w:color="auto" w:fill="FFFFFA"/>
          </w:tcPr>
          <w:p w:rsidR="00A941BC" w:rsidRPr="009C7893" w:rsidRDefault="00A941BC" w:rsidP="00796711">
            <w:pPr>
              <w:suppressAutoHyphens/>
              <w:jc w:val="center"/>
              <w:rPr>
                <w:sz w:val="20"/>
                <w:szCs w:val="20"/>
              </w:rPr>
            </w:pPr>
            <w:r w:rsidRPr="009C7893">
              <w:rPr>
                <w:sz w:val="20"/>
                <w:szCs w:val="20"/>
              </w:rPr>
              <w:t>Послуги мобільного (стільникового) зв’язку - Тарифний пакет «Персонал»</w:t>
            </w:r>
          </w:p>
        </w:tc>
        <w:tc>
          <w:tcPr>
            <w:tcW w:w="628" w:type="pct"/>
            <w:shd w:val="clear" w:color="auto" w:fill="FFFFFA"/>
          </w:tcPr>
          <w:p w:rsidR="00A941BC" w:rsidRPr="009C7893" w:rsidRDefault="00A941BC" w:rsidP="00796711">
            <w:pPr>
              <w:suppressAutoHyphens/>
              <w:jc w:val="center"/>
              <w:rPr>
                <w:sz w:val="20"/>
                <w:szCs w:val="20"/>
              </w:rPr>
            </w:pPr>
            <w:r w:rsidRPr="009C7893">
              <w:rPr>
                <w:sz w:val="20"/>
                <w:szCs w:val="20"/>
              </w:rPr>
              <w:t>шт.</w:t>
            </w:r>
          </w:p>
        </w:tc>
        <w:tc>
          <w:tcPr>
            <w:tcW w:w="539" w:type="pct"/>
            <w:shd w:val="clear" w:color="auto" w:fill="FFFFFA"/>
          </w:tcPr>
          <w:p w:rsidR="00A941BC" w:rsidRPr="009C7893" w:rsidRDefault="00A941BC" w:rsidP="00796711">
            <w:pPr>
              <w:suppressAutoHyphens/>
              <w:jc w:val="center"/>
              <w:rPr>
                <w:sz w:val="20"/>
                <w:szCs w:val="20"/>
              </w:rPr>
            </w:pPr>
            <w:r w:rsidRPr="009C7893">
              <w:rPr>
                <w:sz w:val="20"/>
                <w:szCs w:val="20"/>
              </w:rPr>
              <w:t>180</w:t>
            </w:r>
          </w:p>
        </w:tc>
        <w:tc>
          <w:tcPr>
            <w:tcW w:w="2109" w:type="pct"/>
            <w:shd w:val="clear" w:color="auto" w:fill="FFFFFA"/>
          </w:tcPr>
          <w:p w:rsidR="00A941BC" w:rsidRPr="009C7893" w:rsidRDefault="00A941BC" w:rsidP="00796711">
            <w:pPr>
              <w:suppressAutoHyphens/>
              <w:jc w:val="both"/>
              <w:rPr>
                <w:sz w:val="18"/>
                <w:szCs w:val="1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40" w:type="dxa"/>
              </w:tblCellMar>
              <w:tblLook w:val="0000" w:firstRow="0" w:lastRow="0" w:firstColumn="0" w:lastColumn="0" w:noHBand="0" w:noVBand="0"/>
            </w:tblPr>
            <w:tblGrid>
              <w:gridCol w:w="1872"/>
              <w:gridCol w:w="881"/>
              <w:gridCol w:w="1321"/>
            </w:tblGrid>
            <w:tr w:rsidR="00A941BC" w:rsidRPr="009C7893" w:rsidTr="00796711">
              <w:trPr>
                <w:trHeight w:hRule="exact" w:val="796"/>
              </w:trPr>
              <w:tc>
                <w:tcPr>
                  <w:tcW w:w="2298" w:type="pct"/>
                  <w:tcBorders>
                    <w:top w:val="single" w:sz="4" w:space="0" w:color="000000"/>
                    <w:left w:val="single" w:sz="4" w:space="0" w:color="000000"/>
                    <w:bottom w:val="single" w:sz="4" w:space="0" w:color="000000"/>
                    <w:right w:val="single" w:sz="4" w:space="0" w:color="000000"/>
                  </w:tcBorders>
                  <w:shd w:val="clear" w:color="auto" w:fill="EEEEEE"/>
                  <w:tcMar>
                    <w:left w:w="40" w:type="dxa"/>
                  </w:tcMar>
                </w:tcPr>
                <w:p w:rsidR="00A941BC" w:rsidRPr="009C7893" w:rsidRDefault="00A941BC" w:rsidP="00796711">
                  <w:pPr>
                    <w:pStyle w:val="Style5"/>
                    <w:widowControl/>
                    <w:spacing w:line="240" w:lineRule="auto"/>
                    <w:jc w:val="center"/>
                    <w:rPr>
                      <w:rFonts w:ascii="Times New Roman" w:cs="Times New Roman" w:hint="eastAsia"/>
                      <w:sz w:val="16"/>
                      <w:szCs w:val="16"/>
                      <w:lang w:val="uk-UA"/>
                    </w:rPr>
                  </w:pPr>
                  <w:r w:rsidRPr="009C7893">
                    <w:rPr>
                      <w:rStyle w:val="FontStyle17"/>
                      <w:rFonts w:ascii="Times New Roman" w:hAnsi="Times New Roman" w:cs="Times New Roman"/>
                      <w:b/>
                      <w:sz w:val="16"/>
                      <w:szCs w:val="16"/>
                      <w:lang w:val="uk-UA" w:eastAsia="uk-UA"/>
                    </w:rPr>
                    <w:t>Послуга</w:t>
                  </w:r>
                </w:p>
              </w:tc>
              <w:tc>
                <w:tcPr>
                  <w:tcW w:w="1081" w:type="pct"/>
                  <w:tcBorders>
                    <w:top w:val="single" w:sz="4" w:space="0" w:color="000000"/>
                    <w:left w:val="single" w:sz="4" w:space="0" w:color="000000"/>
                    <w:bottom w:val="single" w:sz="4" w:space="0" w:color="000000"/>
                    <w:right w:val="single" w:sz="4" w:space="0" w:color="000000"/>
                  </w:tcBorders>
                  <w:shd w:val="clear" w:color="auto" w:fill="EEEEEE"/>
                  <w:tcMar>
                    <w:left w:w="40" w:type="dxa"/>
                  </w:tcMar>
                </w:tcPr>
                <w:p w:rsidR="00A941BC" w:rsidRPr="009C7893" w:rsidRDefault="00A941BC" w:rsidP="00796711">
                  <w:pPr>
                    <w:pStyle w:val="Style5"/>
                    <w:widowControl/>
                    <w:spacing w:line="240" w:lineRule="auto"/>
                    <w:jc w:val="center"/>
                    <w:rPr>
                      <w:rFonts w:ascii="Times New Roman" w:cs="Times New Roman" w:hint="eastAsia"/>
                      <w:sz w:val="16"/>
                      <w:szCs w:val="16"/>
                      <w:lang w:val="uk-UA"/>
                    </w:rPr>
                  </w:pPr>
                  <w:r w:rsidRPr="009C7893">
                    <w:rPr>
                      <w:rStyle w:val="FontStyle17"/>
                      <w:rFonts w:ascii="Times New Roman" w:hAnsi="Times New Roman" w:cs="Times New Roman"/>
                      <w:b/>
                      <w:sz w:val="16"/>
                      <w:szCs w:val="16"/>
                      <w:lang w:val="uk-UA" w:eastAsia="uk-UA"/>
                    </w:rPr>
                    <w:t>Одиниця виміру</w:t>
                  </w:r>
                </w:p>
              </w:tc>
              <w:tc>
                <w:tcPr>
                  <w:tcW w:w="1622" w:type="pct"/>
                  <w:tcBorders>
                    <w:top w:val="single" w:sz="4" w:space="0" w:color="000000"/>
                    <w:left w:val="single" w:sz="4" w:space="0" w:color="000000"/>
                    <w:bottom w:val="single" w:sz="4" w:space="0" w:color="000000"/>
                    <w:right w:val="single" w:sz="4" w:space="0" w:color="000000"/>
                  </w:tcBorders>
                  <w:shd w:val="clear" w:color="auto" w:fill="EEEEEE"/>
                  <w:tcMar>
                    <w:left w:w="40" w:type="dxa"/>
                  </w:tcMar>
                </w:tcPr>
                <w:p w:rsidR="00A941BC" w:rsidRPr="009C7893" w:rsidRDefault="00A941BC" w:rsidP="00796711">
                  <w:pPr>
                    <w:pStyle w:val="Style10"/>
                    <w:widowControl/>
                    <w:spacing w:line="240" w:lineRule="auto"/>
                    <w:jc w:val="center"/>
                    <w:rPr>
                      <w:rFonts w:ascii="Times New Roman" w:cs="Times New Roman" w:hint="eastAsia"/>
                      <w:sz w:val="16"/>
                      <w:szCs w:val="16"/>
                      <w:lang w:val="uk-UA"/>
                    </w:rPr>
                  </w:pPr>
                  <w:r w:rsidRPr="009C7893">
                    <w:rPr>
                      <w:rStyle w:val="FontStyle17"/>
                      <w:rFonts w:ascii="Times New Roman" w:hAnsi="Times New Roman" w:cs="Times New Roman"/>
                      <w:b/>
                      <w:sz w:val="16"/>
                      <w:szCs w:val="16"/>
                      <w:lang w:val="uk-UA" w:eastAsia="uk-UA"/>
                    </w:rPr>
                    <w:t xml:space="preserve">Значення (за </w:t>
                  </w:r>
                  <w:r w:rsidRPr="009C7893">
                    <w:rPr>
                      <w:rStyle w:val="FontStyle15"/>
                      <w:rFonts w:ascii="Times New Roman" w:hAnsi="Times New Roman" w:cs="Times New Roman"/>
                      <w:sz w:val="16"/>
                      <w:szCs w:val="16"/>
                      <w:lang w:val="uk-UA" w:eastAsia="uk-UA"/>
                    </w:rPr>
                    <w:t xml:space="preserve">одиницю виміру) / </w:t>
                  </w:r>
                  <w:r w:rsidRPr="009C7893">
                    <w:rPr>
                      <w:rStyle w:val="FontStyle17"/>
                      <w:rFonts w:ascii="Times New Roman" w:hAnsi="Times New Roman" w:cs="Times New Roman"/>
                      <w:b/>
                      <w:sz w:val="16"/>
                      <w:szCs w:val="16"/>
                      <w:lang w:val="uk-UA" w:eastAsia="uk-UA"/>
                    </w:rPr>
                    <w:t>Кількість</w:t>
                  </w:r>
                </w:p>
              </w:tc>
            </w:tr>
            <w:tr w:rsidR="00A941BC" w:rsidRPr="009C7893" w:rsidTr="00796711">
              <w:trPr>
                <w:trHeight w:hRule="exact" w:val="842"/>
              </w:trPr>
              <w:tc>
                <w:tcPr>
                  <w:tcW w:w="2298"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rPr>
                      <w:rFonts w:ascii="Times New Roman" w:cs="Times New Roman" w:hint="eastAsia"/>
                      <w:sz w:val="16"/>
                      <w:szCs w:val="16"/>
                      <w:lang w:val="uk-UA"/>
                    </w:rPr>
                  </w:pPr>
                  <w:r w:rsidRPr="009C7893">
                    <w:rPr>
                      <w:rStyle w:val="FontStyle17"/>
                      <w:rFonts w:ascii="Times New Roman" w:hAnsi="Times New Roman" w:cs="Times New Roman"/>
                      <w:sz w:val="16"/>
                      <w:szCs w:val="16"/>
                      <w:lang w:val="uk-UA" w:eastAsia="uk-UA"/>
                    </w:rPr>
                    <w:t>Вихідні дзвінки в корпоративній мережі ДП МА «Бориспіль» та мережі оператора</w:t>
                  </w:r>
                </w:p>
              </w:tc>
              <w:tc>
                <w:tcPr>
                  <w:tcW w:w="1081"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jc w:val="center"/>
                    <w:rPr>
                      <w:rFonts w:ascii="Times New Roman" w:cs="Times New Roman" w:hint="eastAsia"/>
                      <w:sz w:val="16"/>
                      <w:szCs w:val="16"/>
                      <w:lang w:val="uk-UA"/>
                    </w:rPr>
                  </w:pPr>
                  <w:r w:rsidRPr="009C7893">
                    <w:rPr>
                      <w:rStyle w:val="FontStyle17"/>
                      <w:rFonts w:ascii="Times New Roman" w:hAnsi="Times New Roman" w:cs="Times New Roman"/>
                      <w:sz w:val="16"/>
                      <w:szCs w:val="16"/>
                      <w:lang w:val="uk-UA" w:eastAsia="uk-UA"/>
                    </w:rPr>
                    <w:t>Хв.</w:t>
                  </w:r>
                </w:p>
              </w:tc>
              <w:tc>
                <w:tcPr>
                  <w:tcW w:w="1622"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jc w:val="center"/>
                    <w:rPr>
                      <w:rFonts w:ascii="Times New Roman" w:cs="Times New Roman" w:hint="eastAsia"/>
                      <w:sz w:val="16"/>
                      <w:szCs w:val="16"/>
                      <w:lang w:val="uk-UA"/>
                    </w:rPr>
                  </w:pPr>
                  <w:proofErr w:type="spellStart"/>
                  <w:r w:rsidRPr="009C7893">
                    <w:rPr>
                      <w:rStyle w:val="FontStyle17"/>
                      <w:rFonts w:ascii="Times New Roman" w:hAnsi="Times New Roman" w:cs="Times New Roman"/>
                      <w:sz w:val="16"/>
                      <w:szCs w:val="16"/>
                      <w:lang w:val="uk-UA" w:eastAsia="uk-UA"/>
                    </w:rPr>
                    <w:t>Безліміт</w:t>
                  </w:r>
                  <w:proofErr w:type="spellEnd"/>
                </w:p>
              </w:tc>
            </w:tr>
          </w:tbl>
          <w:p w:rsidR="00A941BC" w:rsidRPr="009C7893" w:rsidRDefault="00A941BC" w:rsidP="00796711">
            <w:pPr>
              <w:suppressAutoHyphens/>
              <w:rPr>
                <w:sz w:val="18"/>
                <w:szCs w:val="18"/>
              </w:rPr>
            </w:pPr>
            <w:r w:rsidRPr="009C7893">
              <w:rPr>
                <w:rStyle w:val="FontStyle14"/>
                <w:sz w:val="18"/>
                <w:szCs w:val="18"/>
              </w:rPr>
              <w:t>Для тарифного пакету «Персонал» повинна бути передбачена функція обмеження витрат*, яка надає можливість встановлювати суму обмеження коштів на місяць для кожного абонента та надає можливість контролювати витрати в рамках встановленої суми.</w:t>
            </w:r>
          </w:p>
          <w:p w:rsidR="00A941BC" w:rsidRPr="009C7893" w:rsidRDefault="00A941BC" w:rsidP="00796711">
            <w:pPr>
              <w:suppressAutoHyphens/>
              <w:jc w:val="both"/>
              <w:rPr>
                <w:sz w:val="18"/>
                <w:szCs w:val="18"/>
              </w:rPr>
            </w:pPr>
            <w:r w:rsidRPr="009C7893">
              <w:rPr>
                <w:sz w:val="18"/>
                <w:szCs w:val="18"/>
              </w:rPr>
              <w:t xml:space="preserve">*Обмеження витрат по номерам в межах розрахункового періоду в разі досягнення вартості спожитих послуг, що надаються протягом одного розрахункового періоду. </w:t>
            </w:r>
          </w:p>
          <w:p w:rsidR="00A941BC" w:rsidRPr="009C7893" w:rsidRDefault="00A941BC" w:rsidP="00796711">
            <w:pPr>
              <w:suppressAutoHyphens/>
              <w:jc w:val="both"/>
              <w:rPr>
                <w:sz w:val="18"/>
                <w:szCs w:val="18"/>
              </w:rPr>
            </w:pPr>
            <w:r w:rsidRPr="009C7893">
              <w:rPr>
                <w:sz w:val="18"/>
                <w:szCs w:val="18"/>
              </w:rPr>
              <w:t>При включенні даної послуги у користувача тимчасово обмежується всі послуги, які були надані згідно встановленого пакету, крім:</w:t>
            </w:r>
          </w:p>
          <w:p w:rsidR="00A941BC" w:rsidRPr="009C7893" w:rsidRDefault="00A941BC" w:rsidP="00A941BC">
            <w:pPr>
              <w:widowControl w:val="0"/>
              <w:numPr>
                <w:ilvl w:val="0"/>
                <w:numId w:val="26"/>
              </w:numPr>
              <w:overflowPunct w:val="0"/>
              <w:ind w:left="0"/>
              <w:jc w:val="both"/>
              <w:rPr>
                <w:sz w:val="18"/>
                <w:szCs w:val="18"/>
              </w:rPr>
            </w:pPr>
            <w:r w:rsidRPr="009C7893">
              <w:rPr>
                <w:sz w:val="18"/>
                <w:szCs w:val="18"/>
              </w:rPr>
              <w:t>отримання вхідних дзвінки;</w:t>
            </w:r>
          </w:p>
          <w:p w:rsidR="00A941BC" w:rsidRPr="009C7893" w:rsidRDefault="00A941BC" w:rsidP="00A941BC">
            <w:pPr>
              <w:widowControl w:val="0"/>
              <w:numPr>
                <w:ilvl w:val="0"/>
                <w:numId w:val="26"/>
              </w:numPr>
              <w:overflowPunct w:val="0"/>
              <w:ind w:left="0"/>
              <w:jc w:val="both"/>
              <w:rPr>
                <w:sz w:val="18"/>
                <w:szCs w:val="18"/>
              </w:rPr>
            </w:pPr>
            <w:r w:rsidRPr="009C7893">
              <w:rPr>
                <w:sz w:val="18"/>
                <w:szCs w:val="18"/>
              </w:rPr>
              <w:t>здійснення дзвінків в межах «Корпоративної мережі».</w:t>
            </w:r>
          </w:p>
          <w:p w:rsidR="00A941BC" w:rsidRPr="009C7893" w:rsidRDefault="00A941BC" w:rsidP="00796711">
            <w:pPr>
              <w:suppressAutoHyphens/>
              <w:jc w:val="both"/>
              <w:rPr>
                <w:sz w:val="18"/>
                <w:szCs w:val="18"/>
              </w:rPr>
            </w:pPr>
            <w:r w:rsidRPr="009C7893">
              <w:rPr>
                <w:sz w:val="18"/>
                <w:szCs w:val="18"/>
              </w:rPr>
              <w:t>Автоматичне безкоштовне відновлення надання послуг на номерах, на котрих було тимчасово обмежено надання послуг відповідно до дії послуги обмеження витрат, здійснюється в останній день місяця.</w:t>
            </w:r>
          </w:p>
          <w:p w:rsidR="00A941BC" w:rsidRPr="009C7893" w:rsidRDefault="00A941BC" w:rsidP="00796711">
            <w:pPr>
              <w:suppressAutoHyphens/>
              <w:jc w:val="both"/>
              <w:rPr>
                <w:sz w:val="18"/>
                <w:szCs w:val="18"/>
              </w:rPr>
            </w:pPr>
            <w:r w:rsidRPr="009C7893">
              <w:rPr>
                <w:sz w:val="18"/>
                <w:szCs w:val="18"/>
              </w:rPr>
              <w:t>У разі необхідності відновлення надання послуг здійснюється протягом 1 години після отримання оператором інформації від ДП МА «Бориспіль» або самостійно уповноваженою особою ДП МА «Бориспіль» за допомогою Інтернет-сайту Оператора.</w:t>
            </w:r>
          </w:p>
        </w:tc>
      </w:tr>
      <w:tr w:rsidR="00A941BC" w:rsidRPr="009C7893" w:rsidTr="00796711">
        <w:trPr>
          <w:trHeight w:val="335"/>
        </w:trPr>
        <w:tc>
          <w:tcPr>
            <w:tcW w:w="385" w:type="pct"/>
          </w:tcPr>
          <w:p w:rsidR="00A941BC" w:rsidRPr="009C7893" w:rsidRDefault="00A941BC" w:rsidP="00796711">
            <w:pPr>
              <w:widowControl w:val="0"/>
              <w:rPr>
                <w:sz w:val="20"/>
                <w:szCs w:val="20"/>
              </w:rPr>
            </w:pPr>
            <w:r w:rsidRPr="009C7893">
              <w:rPr>
                <w:sz w:val="20"/>
                <w:szCs w:val="20"/>
              </w:rPr>
              <w:t>4</w:t>
            </w:r>
          </w:p>
        </w:tc>
        <w:tc>
          <w:tcPr>
            <w:tcW w:w="1338" w:type="pct"/>
            <w:shd w:val="clear" w:color="auto" w:fill="FFFFFA"/>
          </w:tcPr>
          <w:p w:rsidR="00A941BC" w:rsidRPr="009C7893" w:rsidRDefault="00A941BC" w:rsidP="00796711">
            <w:pPr>
              <w:suppressAutoHyphens/>
              <w:jc w:val="center"/>
              <w:rPr>
                <w:sz w:val="20"/>
                <w:szCs w:val="20"/>
              </w:rPr>
            </w:pPr>
            <w:r w:rsidRPr="009C7893">
              <w:rPr>
                <w:sz w:val="20"/>
                <w:szCs w:val="20"/>
              </w:rPr>
              <w:t>Послуги мобільного (стільникового) зв’язку - Тарифний пакет «Мобільний Інтернет»</w:t>
            </w:r>
          </w:p>
        </w:tc>
        <w:tc>
          <w:tcPr>
            <w:tcW w:w="628" w:type="pct"/>
            <w:shd w:val="clear" w:color="auto" w:fill="FFFFFA"/>
          </w:tcPr>
          <w:p w:rsidR="00A941BC" w:rsidRPr="009C7893" w:rsidRDefault="00A941BC" w:rsidP="00796711">
            <w:pPr>
              <w:suppressAutoHyphens/>
              <w:jc w:val="center"/>
              <w:rPr>
                <w:sz w:val="20"/>
                <w:szCs w:val="20"/>
              </w:rPr>
            </w:pPr>
            <w:r w:rsidRPr="009C7893">
              <w:rPr>
                <w:sz w:val="20"/>
                <w:szCs w:val="20"/>
              </w:rPr>
              <w:t>шт.</w:t>
            </w:r>
          </w:p>
        </w:tc>
        <w:tc>
          <w:tcPr>
            <w:tcW w:w="539" w:type="pct"/>
            <w:shd w:val="clear" w:color="auto" w:fill="FFFFFA"/>
          </w:tcPr>
          <w:p w:rsidR="00A941BC" w:rsidRPr="009C7893" w:rsidRDefault="00A941BC" w:rsidP="00796711">
            <w:pPr>
              <w:suppressAutoHyphens/>
              <w:jc w:val="center"/>
              <w:rPr>
                <w:sz w:val="20"/>
                <w:szCs w:val="20"/>
              </w:rPr>
            </w:pPr>
            <w:r w:rsidRPr="009C7893">
              <w:rPr>
                <w:sz w:val="20"/>
                <w:szCs w:val="20"/>
              </w:rPr>
              <w:t>60</w:t>
            </w:r>
          </w:p>
        </w:tc>
        <w:tc>
          <w:tcPr>
            <w:tcW w:w="2109" w:type="pct"/>
            <w:shd w:val="clear" w:color="auto" w:fill="FFFFFA"/>
          </w:tcPr>
          <w:p w:rsidR="00A941BC" w:rsidRPr="009C7893" w:rsidRDefault="00A941BC" w:rsidP="00796711">
            <w:pPr>
              <w:suppressAutoHyphens/>
              <w:jc w:val="both"/>
              <w:rPr>
                <w:rFonts w:ascii="Calibri" w:cs="Calibri"/>
                <w:sz w:val="18"/>
                <w:szCs w:val="1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40" w:type="dxa"/>
              </w:tblCellMar>
              <w:tblLook w:val="0000" w:firstRow="0" w:lastRow="0" w:firstColumn="0" w:lastColumn="0" w:noHBand="0" w:noVBand="0"/>
            </w:tblPr>
            <w:tblGrid>
              <w:gridCol w:w="1923"/>
              <w:gridCol w:w="788"/>
              <w:gridCol w:w="1363"/>
            </w:tblGrid>
            <w:tr w:rsidR="00A941BC" w:rsidRPr="009C7893" w:rsidTr="00796711">
              <w:trPr>
                <w:trHeight w:hRule="exact" w:val="752"/>
              </w:trPr>
              <w:tc>
                <w:tcPr>
                  <w:tcW w:w="2360" w:type="pct"/>
                  <w:tcBorders>
                    <w:top w:val="single" w:sz="4" w:space="0" w:color="000000"/>
                    <w:left w:val="single" w:sz="4" w:space="0" w:color="000000"/>
                    <w:bottom w:val="single" w:sz="4" w:space="0" w:color="000000"/>
                    <w:right w:val="single" w:sz="4" w:space="0" w:color="000000"/>
                  </w:tcBorders>
                  <w:shd w:val="clear" w:color="auto" w:fill="EEEEEE"/>
                  <w:tcMar>
                    <w:left w:w="40" w:type="dxa"/>
                  </w:tcMar>
                </w:tcPr>
                <w:p w:rsidR="00A941BC" w:rsidRPr="009C7893" w:rsidRDefault="00A941BC" w:rsidP="00796711">
                  <w:pPr>
                    <w:pStyle w:val="Style4"/>
                    <w:widowControl/>
                    <w:jc w:val="center"/>
                    <w:rPr>
                      <w:rFonts w:hint="eastAsia"/>
                      <w:sz w:val="16"/>
                      <w:szCs w:val="16"/>
                      <w:lang w:val="uk-UA"/>
                    </w:rPr>
                  </w:pPr>
                  <w:r w:rsidRPr="009C7893">
                    <w:rPr>
                      <w:rStyle w:val="FontStyle14"/>
                      <w:rFonts w:ascii="Times New Roman" w:hAnsi="Times New Roman" w:cs="Times New Roman"/>
                      <w:b/>
                      <w:sz w:val="16"/>
                      <w:szCs w:val="16"/>
                      <w:lang w:val="uk-UA" w:eastAsia="uk-UA"/>
                    </w:rPr>
                    <w:t>Послуга</w:t>
                  </w:r>
                </w:p>
              </w:tc>
              <w:tc>
                <w:tcPr>
                  <w:tcW w:w="967" w:type="pct"/>
                  <w:tcBorders>
                    <w:top w:val="single" w:sz="4" w:space="0" w:color="000000"/>
                    <w:left w:val="single" w:sz="4" w:space="0" w:color="000000"/>
                    <w:bottom w:val="single" w:sz="4" w:space="0" w:color="000000"/>
                    <w:right w:val="single" w:sz="4" w:space="0" w:color="000000"/>
                  </w:tcBorders>
                  <w:shd w:val="clear" w:color="auto" w:fill="EEEEEE"/>
                  <w:tcMar>
                    <w:left w:w="40" w:type="dxa"/>
                  </w:tcMar>
                </w:tcPr>
                <w:p w:rsidR="00A941BC" w:rsidRPr="009C7893" w:rsidRDefault="00A941BC" w:rsidP="00796711">
                  <w:pPr>
                    <w:pStyle w:val="Style4"/>
                    <w:widowControl/>
                    <w:ind w:hanging="56"/>
                    <w:jc w:val="center"/>
                    <w:rPr>
                      <w:rFonts w:hint="eastAsia"/>
                      <w:sz w:val="16"/>
                      <w:szCs w:val="16"/>
                      <w:lang w:val="uk-UA"/>
                    </w:rPr>
                  </w:pPr>
                  <w:r w:rsidRPr="009C7893">
                    <w:rPr>
                      <w:rStyle w:val="FontStyle14"/>
                      <w:rFonts w:ascii="Times New Roman" w:hAnsi="Times New Roman" w:cs="Times New Roman"/>
                      <w:b/>
                      <w:sz w:val="16"/>
                      <w:szCs w:val="16"/>
                      <w:lang w:val="uk-UA" w:eastAsia="uk-UA"/>
                    </w:rPr>
                    <w:t>Одиниця виміру</w:t>
                  </w:r>
                </w:p>
              </w:tc>
              <w:tc>
                <w:tcPr>
                  <w:tcW w:w="1673" w:type="pct"/>
                  <w:tcBorders>
                    <w:top w:val="single" w:sz="4" w:space="0" w:color="000000"/>
                    <w:left w:val="single" w:sz="4" w:space="0" w:color="000000"/>
                    <w:bottom w:val="single" w:sz="4" w:space="0" w:color="000000"/>
                    <w:right w:val="single" w:sz="4" w:space="0" w:color="000000"/>
                  </w:tcBorders>
                  <w:shd w:val="clear" w:color="auto" w:fill="EEEEEE"/>
                  <w:tcMar>
                    <w:left w:w="40" w:type="dxa"/>
                  </w:tcMar>
                </w:tcPr>
                <w:p w:rsidR="00A941BC" w:rsidRPr="009C7893" w:rsidRDefault="00A941BC" w:rsidP="00796711">
                  <w:pPr>
                    <w:pStyle w:val="Style5"/>
                    <w:widowControl/>
                    <w:spacing w:line="240" w:lineRule="auto"/>
                    <w:jc w:val="center"/>
                    <w:rPr>
                      <w:rFonts w:hint="eastAsia"/>
                      <w:sz w:val="16"/>
                      <w:szCs w:val="16"/>
                      <w:lang w:val="uk-UA"/>
                    </w:rPr>
                  </w:pPr>
                  <w:r w:rsidRPr="009C7893">
                    <w:rPr>
                      <w:rStyle w:val="FontStyle14"/>
                      <w:rFonts w:ascii="Times New Roman" w:hAnsi="Times New Roman" w:cs="Times New Roman"/>
                      <w:b/>
                      <w:sz w:val="16"/>
                      <w:szCs w:val="16"/>
                      <w:lang w:val="uk-UA" w:eastAsia="uk-UA"/>
                    </w:rPr>
                    <w:t xml:space="preserve">Значення </w:t>
                  </w:r>
                  <w:r w:rsidRPr="009C7893">
                    <w:rPr>
                      <w:rStyle w:val="FontStyle17"/>
                      <w:rFonts w:ascii="Times New Roman" w:hAnsi="Times New Roman" w:cs="Times New Roman"/>
                      <w:b/>
                      <w:sz w:val="16"/>
                      <w:szCs w:val="16"/>
                      <w:lang w:val="uk-UA" w:eastAsia="uk-UA"/>
                    </w:rPr>
                    <w:t xml:space="preserve">(за одиницю виміру) / </w:t>
                  </w:r>
                  <w:r w:rsidRPr="009C7893">
                    <w:rPr>
                      <w:rStyle w:val="FontStyle14"/>
                      <w:rFonts w:ascii="Times New Roman" w:hAnsi="Times New Roman" w:cs="Times New Roman"/>
                      <w:b/>
                      <w:sz w:val="16"/>
                      <w:szCs w:val="16"/>
                      <w:lang w:val="uk-UA" w:eastAsia="uk-UA"/>
                    </w:rPr>
                    <w:t>Кількість</w:t>
                  </w:r>
                </w:p>
              </w:tc>
            </w:tr>
            <w:tr w:rsidR="00A941BC" w:rsidRPr="009C7893" w:rsidTr="00796711">
              <w:trPr>
                <w:trHeight w:hRule="exact" w:val="521"/>
              </w:trPr>
              <w:tc>
                <w:tcPr>
                  <w:tcW w:w="2360"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rPr>
                      <w:rFonts w:hint="eastAsia"/>
                      <w:sz w:val="16"/>
                      <w:szCs w:val="16"/>
                      <w:lang w:val="uk-UA"/>
                    </w:rPr>
                  </w:pPr>
                  <w:r w:rsidRPr="009C7893">
                    <w:rPr>
                      <w:rStyle w:val="FontStyle17"/>
                      <w:rFonts w:ascii="Times New Roman" w:hAnsi="Times New Roman" w:cs="Times New Roman"/>
                      <w:sz w:val="16"/>
                      <w:szCs w:val="16"/>
                      <w:lang w:val="uk-UA" w:eastAsia="uk-UA"/>
                    </w:rPr>
                    <w:t>Інтернет-доступ стандарту 4G/3G/GPRS/EDGE</w:t>
                  </w:r>
                </w:p>
              </w:tc>
              <w:tc>
                <w:tcPr>
                  <w:tcW w:w="967"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jc w:val="center"/>
                    <w:rPr>
                      <w:rFonts w:hint="eastAsia"/>
                      <w:sz w:val="16"/>
                      <w:szCs w:val="16"/>
                      <w:lang w:val="uk-UA"/>
                    </w:rPr>
                  </w:pPr>
                  <w:proofErr w:type="spellStart"/>
                  <w:r w:rsidRPr="009C7893">
                    <w:rPr>
                      <w:rStyle w:val="FontStyle17"/>
                      <w:rFonts w:ascii="Times New Roman" w:hAnsi="Times New Roman" w:cs="Times New Roman"/>
                      <w:sz w:val="16"/>
                      <w:szCs w:val="16"/>
                      <w:lang w:val="uk-UA" w:eastAsia="uk-UA"/>
                    </w:rPr>
                    <w:t>Мб</w:t>
                  </w:r>
                  <w:proofErr w:type="spellEnd"/>
                </w:p>
              </w:tc>
              <w:tc>
                <w:tcPr>
                  <w:tcW w:w="1673"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jc w:val="center"/>
                    <w:rPr>
                      <w:rFonts w:hint="eastAsia"/>
                      <w:sz w:val="16"/>
                      <w:szCs w:val="16"/>
                      <w:lang w:val="uk-UA"/>
                    </w:rPr>
                  </w:pPr>
                  <w:r w:rsidRPr="009C7893">
                    <w:rPr>
                      <w:rStyle w:val="FontStyle17"/>
                      <w:rFonts w:ascii="Times New Roman" w:hAnsi="Times New Roman" w:cs="Times New Roman"/>
                      <w:sz w:val="16"/>
                      <w:szCs w:val="16"/>
                      <w:lang w:val="uk-UA" w:eastAsia="uk-UA"/>
                    </w:rPr>
                    <w:t>3000</w:t>
                  </w:r>
                </w:p>
              </w:tc>
            </w:tr>
          </w:tbl>
          <w:p w:rsidR="00A941BC" w:rsidRPr="009C7893" w:rsidRDefault="00A941BC" w:rsidP="00796711">
            <w:pPr>
              <w:suppressAutoHyphens/>
              <w:jc w:val="both"/>
              <w:rPr>
                <w:rFonts w:ascii="Calibri" w:cs="Calibri"/>
                <w:sz w:val="18"/>
                <w:szCs w:val="18"/>
              </w:rPr>
            </w:pPr>
          </w:p>
        </w:tc>
      </w:tr>
      <w:tr w:rsidR="00A941BC" w:rsidRPr="009C7893" w:rsidTr="00796711">
        <w:trPr>
          <w:trHeight w:val="335"/>
        </w:trPr>
        <w:tc>
          <w:tcPr>
            <w:tcW w:w="385" w:type="pct"/>
          </w:tcPr>
          <w:p w:rsidR="00A941BC" w:rsidRPr="009C7893" w:rsidRDefault="00A941BC" w:rsidP="00796711">
            <w:pPr>
              <w:widowControl w:val="0"/>
              <w:rPr>
                <w:sz w:val="20"/>
                <w:szCs w:val="20"/>
              </w:rPr>
            </w:pPr>
            <w:r w:rsidRPr="009C7893">
              <w:rPr>
                <w:sz w:val="20"/>
                <w:szCs w:val="20"/>
              </w:rPr>
              <w:t>5</w:t>
            </w:r>
          </w:p>
        </w:tc>
        <w:tc>
          <w:tcPr>
            <w:tcW w:w="1338" w:type="pct"/>
            <w:shd w:val="clear" w:color="auto" w:fill="FFFFFA"/>
          </w:tcPr>
          <w:p w:rsidR="00A941BC" w:rsidRPr="009C7893" w:rsidRDefault="00A941BC" w:rsidP="00796711">
            <w:pPr>
              <w:suppressAutoHyphens/>
              <w:jc w:val="center"/>
              <w:rPr>
                <w:sz w:val="20"/>
                <w:szCs w:val="20"/>
              </w:rPr>
            </w:pPr>
            <w:r w:rsidRPr="009C7893">
              <w:rPr>
                <w:sz w:val="20"/>
                <w:szCs w:val="20"/>
              </w:rPr>
              <w:t>Послуги мобільного (стільникового) зв’язку - Тарифний пакет «М2М»</w:t>
            </w:r>
          </w:p>
        </w:tc>
        <w:tc>
          <w:tcPr>
            <w:tcW w:w="628" w:type="pct"/>
            <w:shd w:val="clear" w:color="auto" w:fill="FFFFFA"/>
          </w:tcPr>
          <w:p w:rsidR="00A941BC" w:rsidRPr="009C7893" w:rsidRDefault="00A941BC" w:rsidP="00796711">
            <w:pPr>
              <w:suppressAutoHyphens/>
              <w:jc w:val="center"/>
              <w:rPr>
                <w:rFonts w:ascii="Calibri" w:cs="Calibri"/>
                <w:sz w:val="20"/>
                <w:szCs w:val="20"/>
              </w:rPr>
            </w:pPr>
            <w:r w:rsidRPr="009C7893">
              <w:rPr>
                <w:sz w:val="20"/>
                <w:szCs w:val="20"/>
              </w:rPr>
              <w:t>шт.</w:t>
            </w:r>
          </w:p>
        </w:tc>
        <w:tc>
          <w:tcPr>
            <w:tcW w:w="539" w:type="pct"/>
            <w:shd w:val="clear" w:color="auto" w:fill="FFFFFA"/>
          </w:tcPr>
          <w:p w:rsidR="00A941BC" w:rsidRPr="009C7893" w:rsidRDefault="00A941BC" w:rsidP="00796711">
            <w:pPr>
              <w:suppressAutoHyphens/>
              <w:jc w:val="center"/>
              <w:rPr>
                <w:sz w:val="20"/>
                <w:szCs w:val="20"/>
              </w:rPr>
            </w:pPr>
            <w:r w:rsidRPr="009C7893">
              <w:rPr>
                <w:sz w:val="20"/>
                <w:szCs w:val="20"/>
              </w:rPr>
              <w:t>20</w:t>
            </w:r>
          </w:p>
        </w:tc>
        <w:tc>
          <w:tcPr>
            <w:tcW w:w="2109" w:type="pct"/>
            <w:shd w:val="clear" w:color="auto" w:fill="FFFFFA"/>
          </w:tcPr>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40" w:type="dxa"/>
              </w:tblCellMar>
              <w:tblLook w:val="0000" w:firstRow="0" w:lastRow="0" w:firstColumn="0" w:lastColumn="0" w:noHBand="0" w:noVBand="0"/>
            </w:tblPr>
            <w:tblGrid>
              <w:gridCol w:w="1974"/>
              <w:gridCol w:w="774"/>
              <w:gridCol w:w="1326"/>
            </w:tblGrid>
            <w:tr w:rsidR="00A941BC" w:rsidRPr="009C7893" w:rsidTr="00796711">
              <w:trPr>
                <w:trHeight w:hRule="exact" w:val="814"/>
              </w:trPr>
              <w:tc>
                <w:tcPr>
                  <w:tcW w:w="2422" w:type="pct"/>
                  <w:tcBorders>
                    <w:top w:val="single" w:sz="4" w:space="0" w:color="000000"/>
                    <w:left w:val="single" w:sz="4" w:space="0" w:color="000000"/>
                    <w:bottom w:val="single" w:sz="4" w:space="0" w:color="000000"/>
                    <w:right w:val="single" w:sz="4" w:space="0" w:color="000000"/>
                  </w:tcBorders>
                  <w:shd w:val="clear" w:color="auto" w:fill="EEEEEE"/>
                  <w:tcMar>
                    <w:left w:w="40" w:type="dxa"/>
                  </w:tcMar>
                </w:tcPr>
                <w:p w:rsidR="00A941BC" w:rsidRPr="009C7893" w:rsidRDefault="00A941BC" w:rsidP="00796711">
                  <w:pPr>
                    <w:widowControl w:val="0"/>
                    <w:jc w:val="center"/>
                    <w:rPr>
                      <w:sz w:val="16"/>
                      <w:szCs w:val="16"/>
                    </w:rPr>
                  </w:pPr>
                  <w:r w:rsidRPr="009C7893">
                    <w:rPr>
                      <w:rStyle w:val="FontStyle14"/>
                      <w:b/>
                      <w:sz w:val="16"/>
                      <w:szCs w:val="16"/>
                      <w:lang w:eastAsia="uk-UA"/>
                    </w:rPr>
                    <w:t>Послуга</w:t>
                  </w:r>
                </w:p>
              </w:tc>
              <w:tc>
                <w:tcPr>
                  <w:tcW w:w="950" w:type="pct"/>
                  <w:tcBorders>
                    <w:top w:val="single" w:sz="4" w:space="0" w:color="000000"/>
                    <w:left w:val="single" w:sz="4" w:space="0" w:color="000000"/>
                    <w:bottom w:val="single" w:sz="4" w:space="0" w:color="000000"/>
                    <w:right w:val="single" w:sz="4" w:space="0" w:color="000000"/>
                  </w:tcBorders>
                  <w:shd w:val="clear" w:color="auto" w:fill="EEEEEE"/>
                  <w:tcMar>
                    <w:left w:w="40" w:type="dxa"/>
                  </w:tcMar>
                </w:tcPr>
                <w:p w:rsidR="00A941BC" w:rsidRPr="009C7893" w:rsidRDefault="00A941BC" w:rsidP="00796711">
                  <w:pPr>
                    <w:pStyle w:val="Style4"/>
                    <w:widowControl/>
                    <w:jc w:val="center"/>
                    <w:rPr>
                      <w:rFonts w:hint="eastAsia"/>
                      <w:sz w:val="16"/>
                      <w:szCs w:val="16"/>
                      <w:lang w:val="uk-UA"/>
                    </w:rPr>
                  </w:pPr>
                  <w:r w:rsidRPr="009C7893">
                    <w:rPr>
                      <w:rStyle w:val="FontStyle14"/>
                      <w:rFonts w:ascii="Times New Roman" w:hAnsi="Times New Roman" w:cs="Times New Roman"/>
                      <w:b/>
                      <w:sz w:val="16"/>
                      <w:szCs w:val="16"/>
                      <w:lang w:val="uk-UA" w:eastAsia="uk-UA"/>
                    </w:rPr>
                    <w:t>Одиниця виміру</w:t>
                  </w:r>
                </w:p>
              </w:tc>
              <w:tc>
                <w:tcPr>
                  <w:tcW w:w="1628" w:type="pct"/>
                  <w:tcBorders>
                    <w:top w:val="single" w:sz="4" w:space="0" w:color="000000"/>
                    <w:left w:val="single" w:sz="4" w:space="0" w:color="000000"/>
                    <w:bottom w:val="single" w:sz="4" w:space="0" w:color="000000"/>
                    <w:right w:val="single" w:sz="4" w:space="0" w:color="000000"/>
                  </w:tcBorders>
                  <w:shd w:val="clear" w:color="auto" w:fill="EEEEEE"/>
                  <w:tcMar>
                    <w:left w:w="40" w:type="dxa"/>
                  </w:tcMar>
                </w:tcPr>
                <w:p w:rsidR="00A941BC" w:rsidRPr="009C7893" w:rsidRDefault="00A941BC" w:rsidP="00796711">
                  <w:pPr>
                    <w:pStyle w:val="Style5"/>
                    <w:widowControl/>
                    <w:spacing w:line="240" w:lineRule="auto"/>
                    <w:jc w:val="center"/>
                    <w:rPr>
                      <w:rFonts w:hint="eastAsia"/>
                      <w:sz w:val="16"/>
                      <w:szCs w:val="16"/>
                      <w:lang w:val="uk-UA"/>
                    </w:rPr>
                  </w:pPr>
                  <w:r w:rsidRPr="009C7893">
                    <w:rPr>
                      <w:rStyle w:val="FontStyle14"/>
                      <w:rFonts w:ascii="Times New Roman" w:hAnsi="Times New Roman" w:cs="Times New Roman"/>
                      <w:b/>
                      <w:sz w:val="16"/>
                      <w:szCs w:val="16"/>
                      <w:lang w:val="uk-UA" w:eastAsia="uk-UA"/>
                    </w:rPr>
                    <w:t xml:space="preserve">Значення </w:t>
                  </w:r>
                  <w:r w:rsidRPr="009C7893">
                    <w:rPr>
                      <w:rStyle w:val="FontStyle17"/>
                      <w:rFonts w:ascii="Times New Roman" w:hAnsi="Times New Roman" w:cs="Times New Roman"/>
                      <w:b/>
                      <w:sz w:val="16"/>
                      <w:szCs w:val="16"/>
                      <w:lang w:val="uk-UA" w:eastAsia="uk-UA"/>
                    </w:rPr>
                    <w:t xml:space="preserve">(за одиницю виміру) / </w:t>
                  </w:r>
                  <w:r w:rsidRPr="009C7893">
                    <w:rPr>
                      <w:rStyle w:val="FontStyle14"/>
                      <w:rFonts w:ascii="Times New Roman" w:hAnsi="Times New Roman" w:cs="Times New Roman"/>
                      <w:b/>
                      <w:sz w:val="16"/>
                      <w:szCs w:val="16"/>
                      <w:lang w:val="uk-UA" w:eastAsia="uk-UA"/>
                    </w:rPr>
                    <w:t>Кількість</w:t>
                  </w:r>
                </w:p>
              </w:tc>
            </w:tr>
            <w:tr w:rsidR="00A941BC" w:rsidRPr="009C7893" w:rsidTr="00796711">
              <w:trPr>
                <w:trHeight w:hRule="exact" w:val="485"/>
              </w:trPr>
              <w:tc>
                <w:tcPr>
                  <w:tcW w:w="2422"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rPr>
                      <w:rFonts w:hint="eastAsia"/>
                      <w:sz w:val="16"/>
                      <w:szCs w:val="16"/>
                      <w:lang w:val="uk-UA"/>
                    </w:rPr>
                  </w:pPr>
                  <w:r w:rsidRPr="009C7893">
                    <w:rPr>
                      <w:rStyle w:val="FontStyle17"/>
                      <w:rFonts w:ascii="Times New Roman" w:hAnsi="Times New Roman" w:cs="Times New Roman"/>
                      <w:sz w:val="16"/>
                      <w:szCs w:val="16"/>
                      <w:lang w:val="uk-UA" w:eastAsia="uk-UA"/>
                    </w:rPr>
                    <w:t>Інтернет-доступ стандарту 4G/3G/GPRS/EDGE</w:t>
                  </w:r>
                </w:p>
              </w:tc>
              <w:tc>
                <w:tcPr>
                  <w:tcW w:w="950"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jc w:val="center"/>
                    <w:rPr>
                      <w:rFonts w:hint="eastAsia"/>
                      <w:sz w:val="16"/>
                      <w:szCs w:val="16"/>
                      <w:lang w:val="uk-UA"/>
                    </w:rPr>
                  </w:pPr>
                  <w:proofErr w:type="spellStart"/>
                  <w:r w:rsidRPr="009C7893">
                    <w:rPr>
                      <w:rStyle w:val="FontStyle17"/>
                      <w:rFonts w:ascii="Times New Roman" w:hAnsi="Times New Roman" w:cs="Times New Roman"/>
                      <w:sz w:val="16"/>
                      <w:szCs w:val="16"/>
                      <w:lang w:val="uk-UA" w:eastAsia="uk-UA"/>
                    </w:rPr>
                    <w:t>Мб</w:t>
                  </w:r>
                  <w:proofErr w:type="spellEnd"/>
                </w:p>
              </w:tc>
              <w:tc>
                <w:tcPr>
                  <w:tcW w:w="1628"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jc w:val="center"/>
                    <w:rPr>
                      <w:rStyle w:val="FontStyle17"/>
                      <w:rFonts w:ascii="Times New Roman" w:hAnsi="Times New Roman" w:cs="Times New Roman"/>
                      <w:sz w:val="16"/>
                      <w:szCs w:val="16"/>
                      <w:lang w:val="uk-UA" w:eastAsia="uk-UA"/>
                    </w:rPr>
                  </w:pPr>
                  <w:r w:rsidRPr="009C7893">
                    <w:rPr>
                      <w:rStyle w:val="FontStyle17"/>
                      <w:rFonts w:ascii="Times New Roman" w:hAnsi="Times New Roman" w:cs="Times New Roman"/>
                      <w:sz w:val="16"/>
                      <w:szCs w:val="16"/>
                      <w:lang w:val="uk-UA" w:eastAsia="uk-UA"/>
                    </w:rPr>
                    <w:t>3000</w:t>
                  </w:r>
                </w:p>
              </w:tc>
            </w:tr>
            <w:tr w:rsidR="00A941BC" w:rsidRPr="009C7893" w:rsidTr="00796711">
              <w:trPr>
                <w:trHeight w:hRule="exact" w:val="292"/>
              </w:trPr>
              <w:tc>
                <w:tcPr>
                  <w:tcW w:w="2422"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rPr>
                      <w:rFonts w:ascii="Times New Roman" w:hAnsi="Times New Roman" w:cs="Times New Roman"/>
                      <w:sz w:val="16"/>
                      <w:szCs w:val="16"/>
                      <w:lang w:val="uk-UA"/>
                    </w:rPr>
                  </w:pPr>
                  <w:r w:rsidRPr="009C7893">
                    <w:rPr>
                      <w:rFonts w:ascii="Times New Roman" w:hAnsi="Times New Roman" w:cs="Times New Roman"/>
                      <w:sz w:val="16"/>
                      <w:szCs w:val="16"/>
                      <w:lang w:val="uk-UA"/>
                    </w:rPr>
                    <w:t>Статична IP адреса</w:t>
                  </w:r>
                </w:p>
              </w:tc>
              <w:tc>
                <w:tcPr>
                  <w:tcW w:w="950"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jc w:val="center"/>
                    <w:rPr>
                      <w:rFonts w:ascii="Times New Roman" w:hAnsi="Times New Roman" w:cs="Times New Roman"/>
                      <w:sz w:val="16"/>
                      <w:szCs w:val="16"/>
                      <w:lang w:val="uk-UA"/>
                    </w:rPr>
                  </w:pPr>
                  <w:r w:rsidRPr="009C7893">
                    <w:rPr>
                      <w:rFonts w:ascii="Times New Roman" w:hAnsi="Times New Roman" w:cs="Times New Roman"/>
                      <w:sz w:val="16"/>
                      <w:szCs w:val="16"/>
                      <w:lang w:val="uk-UA"/>
                    </w:rPr>
                    <w:t>шт.</w:t>
                  </w:r>
                </w:p>
              </w:tc>
              <w:tc>
                <w:tcPr>
                  <w:tcW w:w="1628" w:type="pct"/>
                  <w:tcBorders>
                    <w:top w:val="single" w:sz="4" w:space="0" w:color="000000"/>
                    <w:left w:val="single" w:sz="4" w:space="0" w:color="000000"/>
                    <w:bottom w:val="single" w:sz="4" w:space="0" w:color="000000"/>
                    <w:right w:val="single" w:sz="4" w:space="0" w:color="000000"/>
                  </w:tcBorders>
                  <w:tcMar>
                    <w:left w:w="40" w:type="dxa"/>
                  </w:tcMar>
                </w:tcPr>
                <w:p w:rsidR="00A941BC" w:rsidRPr="009C7893" w:rsidRDefault="00A941BC" w:rsidP="00796711">
                  <w:pPr>
                    <w:pStyle w:val="Style5"/>
                    <w:widowControl/>
                    <w:spacing w:line="240" w:lineRule="auto"/>
                    <w:jc w:val="center"/>
                    <w:rPr>
                      <w:rFonts w:ascii="Times New Roman" w:cs="Times New Roman" w:hint="eastAsia"/>
                      <w:sz w:val="16"/>
                      <w:szCs w:val="16"/>
                      <w:lang w:val="uk-UA"/>
                    </w:rPr>
                  </w:pPr>
                  <w:r w:rsidRPr="009C7893">
                    <w:rPr>
                      <w:rFonts w:ascii="Times New Roman" w:hAnsi="Times New Roman" w:cs="Times New Roman"/>
                      <w:sz w:val="16"/>
                      <w:szCs w:val="16"/>
                      <w:lang w:val="uk-UA"/>
                    </w:rPr>
                    <w:t>20</w:t>
                  </w:r>
                </w:p>
              </w:tc>
            </w:tr>
          </w:tbl>
          <w:p w:rsidR="00A941BC" w:rsidRPr="009C7893" w:rsidRDefault="00A941BC" w:rsidP="00796711">
            <w:pPr>
              <w:suppressAutoHyphens/>
              <w:jc w:val="both"/>
              <w:rPr>
                <w:rFonts w:ascii="Calibri" w:cs="Calibri"/>
                <w:sz w:val="18"/>
                <w:szCs w:val="18"/>
              </w:rPr>
            </w:pPr>
          </w:p>
        </w:tc>
      </w:tr>
    </w:tbl>
    <w:p w:rsidR="006F428D" w:rsidRPr="00911C5E" w:rsidRDefault="006F428D" w:rsidP="00A941BC">
      <w:pPr>
        <w:jc w:val="both"/>
        <w:rPr>
          <w:b/>
        </w:rPr>
      </w:pPr>
    </w:p>
    <w:p w:rsidR="00A256E7" w:rsidRPr="00911C5E" w:rsidRDefault="00A256E7" w:rsidP="00D04854">
      <w:pPr>
        <w:widowControl w:val="0"/>
        <w:autoSpaceDE w:val="0"/>
        <w:autoSpaceDN w:val="0"/>
        <w:adjustRightInd w:val="0"/>
        <w:ind w:firstLine="709"/>
        <w:contextualSpacing/>
        <w:jc w:val="both"/>
        <w:rPr>
          <w:color w:val="000000"/>
          <w:sz w:val="26"/>
          <w:szCs w:val="26"/>
        </w:rPr>
      </w:pPr>
    </w:p>
    <w:p w:rsidR="00A256E7" w:rsidRPr="00911C5E" w:rsidRDefault="00A256E7" w:rsidP="00D04854">
      <w:pPr>
        <w:widowControl w:val="0"/>
        <w:autoSpaceDE w:val="0"/>
        <w:autoSpaceDN w:val="0"/>
        <w:adjustRightInd w:val="0"/>
        <w:ind w:firstLine="709"/>
        <w:contextualSpacing/>
        <w:jc w:val="both"/>
        <w:rPr>
          <w:color w:val="000000"/>
          <w:sz w:val="26"/>
          <w:szCs w:val="26"/>
        </w:rPr>
      </w:pPr>
    </w:p>
    <w:p w:rsidR="00A256E7" w:rsidRPr="00911C5E" w:rsidRDefault="00A256E7" w:rsidP="00D04854">
      <w:pPr>
        <w:widowControl w:val="0"/>
        <w:autoSpaceDE w:val="0"/>
        <w:autoSpaceDN w:val="0"/>
        <w:adjustRightInd w:val="0"/>
        <w:ind w:firstLine="709"/>
        <w:contextualSpacing/>
        <w:jc w:val="both"/>
        <w:rPr>
          <w:color w:val="000000"/>
          <w:sz w:val="26"/>
          <w:szCs w:val="26"/>
        </w:rPr>
      </w:pPr>
    </w:p>
    <w:p w:rsidR="00A256E7" w:rsidRPr="00911C5E" w:rsidRDefault="00A256E7" w:rsidP="00D04854">
      <w:pPr>
        <w:widowControl w:val="0"/>
        <w:autoSpaceDE w:val="0"/>
        <w:autoSpaceDN w:val="0"/>
        <w:adjustRightInd w:val="0"/>
        <w:ind w:firstLine="709"/>
        <w:contextualSpacing/>
        <w:jc w:val="both"/>
        <w:rPr>
          <w:color w:val="000000"/>
          <w:sz w:val="26"/>
          <w:szCs w:val="26"/>
        </w:rPr>
      </w:pPr>
    </w:p>
    <w:p w:rsidR="00A256E7" w:rsidRPr="00911C5E" w:rsidRDefault="00A256E7" w:rsidP="00D04854">
      <w:pPr>
        <w:widowControl w:val="0"/>
        <w:autoSpaceDE w:val="0"/>
        <w:autoSpaceDN w:val="0"/>
        <w:adjustRightInd w:val="0"/>
        <w:ind w:firstLine="709"/>
        <w:contextualSpacing/>
        <w:jc w:val="both"/>
        <w:rPr>
          <w:color w:val="000000"/>
          <w:sz w:val="26"/>
          <w:szCs w:val="26"/>
        </w:rPr>
      </w:pPr>
    </w:p>
    <w:p w:rsidR="000F2F0F" w:rsidRPr="00911C5E" w:rsidRDefault="000F2F0F" w:rsidP="00D04854">
      <w:pPr>
        <w:widowControl w:val="0"/>
        <w:autoSpaceDE w:val="0"/>
        <w:autoSpaceDN w:val="0"/>
        <w:adjustRightInd w:val="0"/>
        <w:ind w:firstLine="709"/>
        <w:contextualSpacing/>
        <w:jc w:val="both"/>
        <w:rPr>
          <w:color w:val="000000"/>
          <w:sz w:val="26"/>
          <w:szCs w:val="26"/>
        </w:rPr>
      </w:pPr>
    </w:p>
    <w:p w:rsidR="000F2F0F" w:rsidRPr="00911C5E" w:rsidRDefault="000F2F0F" w:rsidP="00D04854">
      <w:pPr>
        <w:widowControl w:val="0"/>
        <w:autoSpaceDE w:val="0"/>
        <w:autoSpaceDN w:val="0"/>
        <w:adjustRightInd w:val="0"/>
        <w:ind w:firstLine="709"/>
        <w:contextualSpacing/>
        <w:jc w:val="both"/>
        <w:rPr>
          <w:color w:val="000000"/>
          <w:sz w:val="26"/>
          <w:szCs w:val="26"/>
        </w:rPr>
      </w:pPr>
    </w:p>
    <w:p w:rsidR="000F2F0F" w:rsidRPr="00911C5E" w:rsidRDefault="000F2F0F" w:rsidP="00D04854">
      <w:pPr>
        <w:widowControl w:val="0"/>
        <w:autoSpaceDE w:val="0"/>
        <w:autoSpaceDN w:val="0"/>
        <w:adjustRightInd w:val="0"/>
        <w:ind w:firstLine="709"/>
        <w:contextualSpacing/>
        <w:jc w:val="both"/>
        <w:rPr>
          <w:color w:val="000000"/>
          <w:sz w:val="26"/>
          <w:szCs w:val="26"/>
        </w:rPr>
      </w:pPr>
    </w:p>
    <w:p w:rsidR="000F2F0F" w:rsidRPr="00911C5E" w:rsidRDefault="000F2F0F" w:rsidP="00D04854">
      <w:pPr>
        <w:widowControl w:val="0"/>
        <w:autoSpaceDE w:val="0"/>
        <w:autoSpaceDN w:val="0"/>
        <w:adjustRightInd w:val="0"/>
        <w:ind w:firstLine="709"/>
        <w:contextualSpacing/>
        <w:jc w:val="both"/>
        <w:rPr>
          <w:color w:val="000000"/>
          <w:sz w:val="26"/>
          <w:szCs w:val="26"/>
        </w:rPr>
      </w:pPr>
    </w:p>
    <w:p w:rsidR="00A256E7" w:rsidRPr="00911C5E" w:rsidRDefault="00A256E7" w:rsidP="00D04854">
      <w:pPr>
        <w:widowControl w:val="0"/>
        <w:autoSpaceDE w:val="0"/>
        <w:autoSpaceDN w:val="0"/>
        <w:adjustRightInd w:val="0"/>
        <w:ind w:firstLine="709"/>
        <w:contextualSpacing/>
        <w:jc w:val="both"/>
        <w:rPr>
          <w:color w:val="000000"/>
          <w:sz w:val="26"/>
          <w:szCs w:val="26"/>
        </w:rPr>
      </w:pPr>
    </w:p>
    <w:sectPr w:rsidR="00A256E7" w:rsidRPr="00911C5E"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ED" w:rsidRDefault="004E2AED">
      <w:r>
        <w:separator/>
      </w:r>
    </w:p>
  </w:endnote>
  <w:endnote w:type="continuationSeparator" w:id="0">
    <w:p w:rsidR="004E2AED" w:rsidRDefault="004E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Mangal">
    <w:altName w:val="Courier New"/>
    <w:panose1 w:val="00000400000000000000"/>
    <w:charset w:val="00"/>
    <w:family w:val="roman"/>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840DA"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5C00E"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E2AED">
      <w:rPr>
        <w:sz w:val="20"/>
        <w:szCs w:val="20"/>
      </w:rPr>
      <w:t>Послуги мобільного (стільникового) зв’язку, код ДК 021:2015 - 64210000-1 - Послуги телефонного зв’язку та передачі даних</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66570">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66570">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ED" w:rsidRDefault="004E2AED">
      <w:r>
        <w:separator/>
      </w:r>
    </w:p>
  </w:footnote>
  <w:footnote w:type="continuationSeparator" w:id="0">
    <w:p w:rsidR="004E2AED" w:rsidRDefault="004E2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840DA"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07CE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6530" cy="288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829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EC91D47"/>
    <w:multiLevelType w:val="hybridMultilevel"/>
    <w:tmpl w:val="2EC91D47"/>
    <w:lvl w:ilvl="0" w:tplc="FFFFFFFF">
      <w:start w:val="1"/>
      <w:numFmt w:val="bullet"/>
      <w:lvlText w:val="-"/>
      <w:lvlJc w:val="left"/>
      <w:pPr>
        <w:ind w:left="1069" w:hanging="360"/>
      </w:pPr>
      <w:rPr>
        <w:rFonts w:ascii="Times New Roman" w:eastAsia="SimSun" w:hAnsi="Times New Roman"/>
      </w:rPr>
    </w:lvl>
    <w:lvl w:ilvl="1" w:tplc="FFFFFFFF">
      <w:start w:val="1"/>
      <w:numFmt w:val="bullet"/>
      <w:lvlText w:val="o"/>
      <w:lvlJc w:val="left"/>
      <w:pPr>
        <w:ind w:left="1789" w:hanging="360"/>
      </w:pPr>
      <w:rPr>
        <w:rFonts w:ascii="Courier New" w:eastAsia="SimSun" w:hAnsi="Times New Roman"/>
      </w:rPr>
    </w:lvl>
    <w:lvl w:ilvl="2" w:tplc="FFFFFFFF">
      <w:start w:val="1"/>
      <w:numFmt w:val="bullet"/>
      <w:lvlText w:val=""/>
      <w:lvlJc w:val="left"/>
      <w:pPr>
        <w:ind w:left="2509" w:hanging="360"/>
      </w:pPr>
      <w:rPr>
        <w:rFonts w:ascii="Wingdings" w:eastAsia="SimSun" w:hAnsi="Wingdings"/>
      </w:rPr>
    </w:lvl>
    <w:lvl w:ilvl="3" w:tplc="FFFFFFFF">
      <w:start w:val="1"/>
      <w:numFmt w:val="bullet"/>
      <w:lvlText w:val=""/>
      <w:lvlJc w:val="left"/>
      <w:pPr>
        <w:ind w:left="3229" w:hanging="360"/>
      </w:pPr>
      <w:rPr>
        <w:rFonts w:ascii="Symbol" w:eastAsia="SimSun" w:hAnsi="Symbol"/>
      </w:rPr>
    </w:lvl>
    <w:lvl w:ilvl="4" w:tplc="FFFFFFFF">
      <w:start w:val="1"/>
      <w:numFmt w:val="bullet"/>
      <w:lvlText w:val="o"/>
      <w:lvlJc w:val="left"/>
      <w:pPr>
        <w:ind w:left="3949" w:hanging="360"/>
      </w:pPr>
      <w:rPr>
        <w:rFonts w:ascii="Courier New" w:eastAsia="SimSun" w:hAnsi="Times New Roman"/>
      </w:rPr>
    </w:lvl>
    <w:lvl w:ilvl="5" w:tplc="FFFFFFFF">
      <w:start w:val="1"/>
      <w:numFmt w:val="bullet"/>
      <w:lvlText w:val=""/>
      <w:lvlJc w:val="left"/>
      <w:pPr>
        <w:ind w:left="4669" w:hanging="360"/>
      </w:pPr>
      <w:rPr>
        <w:rFonts w:ascii="Wingdings" w:eastAsia="SimSun" w:hAnsi="Wingdings"/>
      </w:rPr>
    </w:lvl>
    <w:lvl w:ilvl="6" w:tplc="FFFFFFFF">
      <w:start w:val="1"/>
      <w:numFmt w:val="bullet"/>
      <w:lvlText w:val=""/>
      <w:lvlJc w:val="left"/>
      <w:pPr>
        <w:ind w:left="5389" w:hanging="360"/>
      </w:pPr>
      <w:rPr>
        <w:rFonts w:ascii="Symbol" w:eastAsia="SimSun" w:hAnsi="Symbol"/>
      </w:rPr>
    </w:lvl>
    <w:lvl w:ilvl="7" w:tplc="FFFFFFFF">
      <w:start w:val="1"/>
      <w:numFmt w:val="bullet"/>
      <w:lvlText w:val="o"/>
      <w:lvlJc w:val="left"/>
      <w:pPr>
        <w:ind w:left="6109" w:hanging="360"/>
      </w:pPr>
      <w:rPr>
        <w:rFonts w:ascii="Courier New" w:eastAsia="SimSun" w:hAnsi="Times New Roman"/>
      </w:rPr>
    </w:lvl>
    <w:lvl w:ilvl="8" w:tplc="FFFFFFFF">
      <w:start w:val="1"/>
      <w:numFmt w:val="bullet"/>
      <w:lvlText w:val=""/>
      <w:lvlJc w:val="left"/>
      <w:pPr>
        <w:ind w:left="6829" w:hanging="360"/>
      </w:pPr>
      <w:rPr>
        <w:rFonts w:ascii="Wingdings" w:eastAsia="SimSun" w:hAnsi="Wingdings"/>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2"/>
  </w:num>
  <w:num w:numId="18">
    <w:abstractNumId w:val="4"/>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A55"/>
    <w:rsid w:val="00056C16"/>
    <w:rsid w:val="00056C4B"/>
    <w:rsid w:val="000630B3"/>
    <w:rsid w:val="00064C58"/>
    <w:rsid w:val="00064DBB"/>
    <w:rsid w:val="00064F9D"/>
    <w:rsid w:val="0006502E"/>
    <w:rsid w:val="00065BCD"/>
    <w:rsid w:val="00066D73"/>
    <w:rsid w:val="00066D82"/>
    <w:rsid w:val="00066E61"/>
    <w:rsid w:val="00067191"/>
    <w:rsid w:val="00076710"/>
    <w:rsid w:val="00076E1B"/>
    <w:rsid w:val="00076F90"/>
    <w:rsid w:val="00077D47"/>
    <w:rsid w:val="000817A5"/>
    <w:rsid w:val="00082639"/>
    <w:rsid w:val="0008385A"/>
    <w:rsid w:val="0008390F"/>
    <w:rsid w:val="00085A62"/>
    <w:rsid w:val="00087081"/>
    <w:rsid w:val="000907DF"/>
    <w:rsid w:val="00091891"/>
    <w:rsid w:val="00093C53"/>
    <w:rsid w:val="00095B8B"/>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0F47CC"/>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1B"/>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098"/>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A7E0F"/>
    <w:rsid w:val="003B28D3"/>
    <w:rsid w:val="003B375E"/>
    <w:rsid w:val="003B39D9"/>
    <w:rsid w:val="003B52B0"/>
    <w:rsid w:val="003B532F"/>
    <w:rsid w:val="003B6063"/>
    <w:rsid w:val="003C192D"/>
    <w:rsid w:val="003C29CC"/>
    <w:rsid w:val="003C4B6B"/>
    <w:rsid w:val="003C7B1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0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2AED"/>
    <w:rsid w:val="004E6CDD"/>
    <w:rsid w:val="004E76E1"/>
    <w:rsid w:val="004F113C"/>
    <w:rsid w:val="004F2256"/>
    <w:rsid w:val="004F4294"/>
    <w:rsid w:val="004F57DA"/>
    <w:rsid w:val="004F6ECA"/>
    <w:rsid w:val="005008A2"/>
    <w:rsid w:val="005027A2"/>
    <w:rsid w:val="00504A14"/>
    <w:rsid w:val="00504D3D"/>
    <w:rsid w:val="005135FC"/>
    <w:rsid w:val="0051369A"/>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652D7"/>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6249"/>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294F"/>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26A4"/>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65F2F"/>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7DA"/>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687"/>
    <w:rsid w:val="006E7C5F"/>
    <w:rsid w:val="006F0757"/>
    <w:rsid w:val="006F2D9C"/>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5E2C"/>
    <w:rsid w:val="00737023"/>
    <w:rsid w:val="007443B5"/>
    <w:rsid w:val="007468AB"/>
    <w:rsid w:val="00747C7D"/>
    <w:rsid w:val="00750512"/>
    <w:rsid w:val="007507A1"/>
    <w:rsid w:val="0075110D"/>
    <w:rsid w:val="007522A9"/>
    <w:rsid w:val="00752E44"/>
    <w:rsid w:val="0075537B"/>
    <w:rsid w:val="00761419"/>
    <w:rsid w:val="0076272F"/>
    <w:rsid w:val="00764A97"/>
    <w:rsid w:val="00765264"/>
    <w:rsid w:val="00765DC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4C1D"/>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2FBA"/>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4570"/>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4BFD"/>
    <w:rsid w:val="008C663C"/>
    <w:rsid w:val="008C670A"/>
    <w:rsid w:val="008D1A69"/>
    <w:rsid w:val="008D2671"/>
    <w:rsid w:val="008D2DCC"/>
    <w:rsid w:val="008D4730"/>
    <w:rsid w:val="008D4DB2"/>
    <w:rsid w:val="008D558E"/>
    <w:rsid w:val="008D6CD6"/>
    <w:rsid w:val="008E0334"/>
    <w:rsid w:val="008E0479"/>
    <w:rsid w:val="008E095C"/>
    <w:rsid w:val="008E2368"/>
    <w:rsid w:val="008E252F"/>
    <w:rsid w:val="008E2B44"/>
    <w:rsid w:val="008E4882"/>
    <w:rsid w:val="008E5830"/>
    <w:rsid w:val="008E6548"/>
    <w:rsid w:val="008F112D"/>
    <w:rsid w:val="008F31F6"/>
    <w:rsid w:val="008F338D"/>
    <w:rsid w:val="008F484D"/>
    <w:rsid w:val="008F4B5F"/>
    <w:rsid w:val="008F5166"/>
    <w:rsid w:val="008F682E"/>
    <w:rsid w:val="00901F94"/>
    <w:rsid w:val="009029F3"/>
    <w:rsid w:val="0091159A"/>
    <w:rsid w:val="00911C5E"/>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5177"/>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1FF3"/>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1BC"/>
    <w:rsid w:val="00A9474B"/>
    <w:rsid w:val="00A94C48"/>
    <w:rsid w:val="00A96E83"/>
    <w:rsid w:val="00A97F79"/>
    <w:rsid w:val="00AA0A5A"/>
    <w:rsid w:val="00AA0B8E"/>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69C8"/>
    <w:rsid w:val="00BC7FC3"/>
    <w:rsid w:val="00BD06B6"/>
    <w:rsid w:val="00BD1E74"/>
    <w:rsid w:val="00BD43AB"/>
    <w:rsid w:val="00BD554B"/>
    <w:rsid w:val="00BD55EF"/>
    <w:rsid w:val="00BD6878"/>
    <w:rsid w:val="00BD6E95"/>
    <w:rsid w:val="00BE49E0"/>
    <w:rsid w:val="00BE62EE"/>
    <w:rsid w:val="00BE7534"/>
    <w:rsid w:val="00BF04B4"/>
    <w:rsid w:val="00BF0AB0"/>
    <w:rsid w:val="00BF162A"/>
    <w:rsid w:val="00BF1C5F"/>
    <w:rsid w:val="00BF78D0"/>
    <w:rsid w:val="00BF7E9A"/>
    <w:rsid w:val="00C0348B"/>
    <w:rsid w:val="00C04100"/>
    <w:rsid w:val="00C06052"/>
    <w:rsid w:val="00C101D2"/>
    <w:rsid w:val="00C10B23"/>
    <w:rsid w:val="00C10EB4"/>
    <w:rsid w:val="00C11327"/>
    <w:rsid w:val="00C120FF"/>
    <w:rsid w:val="00C129AC"/>
    <w:rsid w:val="00C132A4"/>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4607A"/>
    <w:rsid w:val="00C513A9"/>
    <w:rsid w:val="00C5458A"/>
    <w:rsid w:val="00C5595C"/>
    <w:rsid w:val="00C55C39"/>
    <w:rsid w:val="00C5799E"/>
    <w:rsid w:val="00C62708"/>
    <w:rsid w:val="00C62A4F"/>
    <w:rsid w:val="00C63392"/>
    <w:rsid w:val="00C65E56"/>
    <w:rsid w:val="00C66570"/>
    <w:rsid w:val="00C67666"/>
    <w:rsid w:val="00C67F1C"/>
    <w:rsid w:val="00C726EE"/>
    <w:rsid w:val="00C80549"/>
    <w:rsid w:val="00C80CC6"/>
    <w:rsid w:val="00C81936"/>
    <w:rsid w:val="00C81D62"/>
    <w:rsid w:val="00C824B0"/>
    <w:rsid w:val="00C8277E"/>
    <w:rsid w:val="00C83591"/>
    <w:rsid w:val="00C83E45"/>
    <w:rsid w:val="00C840DA"/>
    <w:rsid w:val="00C87010"/>
    <w:rsid w:val="00C87F32"/>
    <w:rsid w:val="00C901AE"/>
    <w:rsid w:val="00C9133F"/>
    <w:rsid w:val="00C92622"/>
    <w:rsid w:val="00C957BF"/>
    <w:rsid w:val="00C97E9F"/>
    <w:rsid w:val="00CA3E53"/>
    <w:rsid w:val="00CA3E90"/>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52"/>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46B4"/>
    <w:rsid w:val="00E26150"/>
    <w:rsid w:val="00E32464"/>
    <w:rsid w:val="00E33D40"/>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05D3"/>
    <w:rsid w:val="00E717EC"/>
    <w:rsid w:val="00E71F0A"/>
    <w:rsid w:val="00E74753"/>
    <w:rsid w:val="00E74E5C"/>
    <w:rsid w:val="00E763AD"/>
    <w:rsid w:val="00E80914"/>
    <w:rsid w:val="00E809BF"/>
    <w:rsid w:val="00E8247F"/>
    <w:rsid w:val="00E82D18"/>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552A"/>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0285"/>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74E6368-7C4E-4D33-8EE7-AEF6DEB9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No Spacing"/>
    <w:qFormat/>
    <w:rsid w:val="00A941BC"/>
    <w:rPr>
      <w:sz w:val="28"/>
      <w:lang w:eastAsia="ru-RU"/>
    </w:rPr>
  </w:style>
  <w:style w:type="character" w:customStyle="1" w:styleId="FontStyle14">
    <w:name w:val="Font Style14"/>
    <w:unhideWhenUsed/>
    <w:qFormat/>
    <w:rsid w:val="00A941BC"/>
    <w:rPr>
      <w:sz w:val="26"/>
    </w:rPr>
  </w:style>
  <w:style w:type="character" w:customStyle="1" w:styleId="FontStyle17">
    <w:name w:val="Font Style17"/>
    <w:unhideWhenUsed/>
    <w:qFormat/>
    <w:rsid w:val="00A941BC"/>
    <w:rPr>
      <w:sz w:val="22"/>
    </w:rPr>
  </w:style>
  <w:style w:type="paragraph" w:customStyle="1" w:styleId="Style5">
    <w:name w:val="Style5"/>
    <w:basedOn w:val="a"/>
    <w:unhideWhenUsed/>
    <w:qFormat/>
    <w:rsid w:val="00A941BC"/>
    <w:pPr>
      <w:widowControl w:val="0"/>
      <w:overflowPunct w:val="0"/>
      <w:spacing w:line="252" w:lineRule="exact"/>
    </w:pPr>
    <w:rPr>
      <w:rFonts w:ascii="Liberation Serif" w:eastAsia="SimSun" w:hAnsi="Liberation Serif" w:cs="Mangal"/>
      <w:color w:val="00000A"/>
      <w:lang w:val="uk" w:eastAsia="zh-CN" w:bidi="hi-IN"/>
    </w:rPr>
  </w:style>
  <w:style w:type="paragraph" w:customStyle="1" w:styleId="Style4">
    <w:name w:val="Style4"/>
    <w:basedOn w:val="a"/>
    <w:unhideWhenUsed/>
    <w:qFormat/>
    <w:rsid w:val="00A941BC"/>
    <w:pPr>
      <w:widowControl w:val="0"/>
      <w:overflowPunct w:val="0"/>
    </w:pPr>
    <w:rPr>
      <w:rFonts w:ascii="Liberation Serif" w:eastAsia="SimSun" w:hAnsi="Liberation Serif" w:cs="Mangal"/>
      <w:color w:val="00000A"/>
      <w:lang w:val="uk" w:eastAsia="zh-CN" w:bidi="hi-IN"/>
    </w:rPr>
  </w:style>
  <w:style w:type="character" w:customStyle="1" w:styleId="FontStyle15">
    <w:name w:val="Font Style15"/>
    <w:unhideWhenUsed/>
    <w:qFormat/>
    <w:rsid w:val="00A941BC"/>
    <w:rPr>
      <w:b/>
      <w:sz w:val="22"/>
    </w:rPr>
  </w:style>
  <w:style w:type="paragraph" w:customStyle="1" w:styleId="Style10">
    <w:name w:val="Style10"/>
    <w:basedOn w:val="a"/>
    <w:unhideWhenUsed/>
    <w:qFormat/>
    <w:rsid w:val="00A941BC"/>
    <w:pPr>
      <w:widowControl w:val="0"/>
      <w:overflowPunct w:val="0"/>
      <w:spacing w:line="252" w:lineRule="exact"/>
    </w:pPr>
    <w:rPr>
      <w:rFonts w:ascii="Liberation Serif" w:eastAsia="SimSun" w:hAnsi="Liberation Serif" w:cs="Mangal"/>
      <w:color w:val="00000A"/>
      <w:lang w:val="uk"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13B5-0A55-4FF3-9900-09DE4A9D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761</Words>
  <Characters>5179</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52</cp:revision>
  <cp:lastPrinted>2021-11-17T09:02:00Z</cp:lastPrinted>
  <dcterms:created xsi:type="dcterms:W3CDTF">2023-03-21T13:52:00Z</dcterms:created>
  <dcterms:modified xsi:type="dcterms:W3CDTF">2023-03-28T13:03:00Z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