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809F3"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809F3" w:rsidRDefault="004072F7" w:rsidP="00E809F3">
            <w:pPr>
              <w:widowControl w:val="0"/>
              <w:ind w:right="-11"/>
              <w:jc w:val="center"/>
              <w:rPr>
                <w:sz w:val="22"/>
                <w:szCs w:val="22"/>
                <w:lang w:val="uk-UA" w:eastAsia="uk-UA"/>
              </w:rPr>
            </w:pPr>
            <w:r w:rsidRPr="00E809F3">
              <w:rPr>
                <w:sz w:val="22"/>
                <w:szCs w:val="22"/>
                <w:lang w:val="uk-UA"/>
              </w:rPr>
              <w:t>п.</w:t>
            </w:r>
            <w:r w:rsidR="00A76484" w:rsidRPr="00E809F3">
              <w:rPr>
                <w:sz w:val="22"/>
                <w:szCs w:val="22"/>
                <w:lang w:val="uk-UA"/>
              </w:rPr>
              <w:t xml:space="preserve"> </w:t>
            </w:r>
            <w:r w:rsidR="00CB382E" w:rsidRPr="00E809F3">
              <w:rPr>
                <w:sz w:val="22"/>
                <w:szCs w:val="22"/>
                <w:lang w:val="uk-UA"/>
              </w:rPr>
              <w:t xml:space="preserve">43.88 </w:t>
            </w:r>
            <w:r w:rsidR="00BD6E95" w:rsidRPr="00E809F3">
              <w:rPr>
                <w:sz w:val="22"/>
                <w:szCs w:val="22"/>
                <w:lang w:val="uk-UA" w:eastAsia="uk-UA"/>
              </w:rPr>
              <w:t>(202</w:t>
            </w:r>
            <w:r w:rsidR="004E76E1" w:rsidRPr="00E809F3">
              <w:rPr>
                <w:sz w:val="22"/>
                <w:szCs w:val="22"/>
                <w:lang w:val="uk-UA" w:eastAsia="uk-UA"/>
              </w:rPr>
              <w:t>3</w:t>
            </w:r>
            <w:r w:rsidR="00A76484" w:rsidRPr="00E809F3">
              <w:rPr>
                <w:sz w:val="22"/>
                <w:szCs w:val="22"/>
                <w:lang w:val="uk-UA" w:eastAsia="uk-UA"/>
              </w:rPr>
              <w:t>)</w:t>
            </w:r>
          </w:p>
        </w:tc>
        <w:tc>
          <w:tcPr>
            <w:tcW w:w="1527" w:type="pct"/>
          </w:tcPr>
          <w:p w:rsidR="00CB382E" w:rsidRPr="00E809F3" w:rsidRDefault="00CB382E" w:rsidP="00A12478">
            <w:pPr>
              <w:widowControl w:val="0"/>
              <w:rPr>
                <w:b/>
                <w:sz w:val="22"/>
                <w:szCs w:val="22"/>
                <w:lang w:val="uk-UA"/>
              </w:rPr>
            </w:pPr>
            <w:r w:rsidRPr="00E809F3">
              <w:rPr>
                <w:b/>
                <w:sz w:val="22"/>
                <w:szCs w:val="22"/>
                <w:lang w:val="uk-UA"/>
              </w:rPr>
              <w:t>Послуги з технічного огляду інженерних споруд «Обстеження об’єкту незавершеного будівництва</w:t>
            </w:r>
          </w:p>
          <w:p w:rsidR="00A76484" w:rsidRPr="00E809F3" w:rsidRDefault="00CB382E" w:rsidP="00A12478">
            <w:pPr>
              <w:widowControl w:val="0"/>
              <w:rPr>
                <w:bCs/>
                <w:sz w:val="22"/>
                <w:szCs w:val="22"/>
                <w:lang w:val="uk-UA"/>
              </w:rPr>
            </w:pPr>
            <w:r w:rsidRPr="00E809F3">
              <w:rPr>
                <w:b/>
                <w:sz w:val="22"/>
                <w:szCs w:val="22"/>
                <w:lang w:val="uk-UA"/>
              </w:rPr>
              <w:t>«Капітальний ремонт дороги № 1 (термінал  «D») з влаштуванням надземного пішохідного переходу на території ДП МА «Бориспіль»(</w:t>
            </w:r>
            <w:proofErr w:type="spellStart"/>
            <w:r w:rsidRPr="00E809F3">
              <w:rPr>
                <w:b/>
                <w:sz w:val="22"/>
                <w:szCs w:val="22"/>
                <w:lang w:val="uk-UA"/>
              </w:rPr>
              <w:t>інв</w:t>
            </w:r>
            <w:proofErr w:type="spellEnd"/>
            <w:r w:rsidRPr="00E809F3">
              <w:rPr>
                <w:b/>
                <w:sz w:val="22"/>
                <w:szCs w:val="22"/>
                <w:lang w:val="uk-UA"/>
              </w:rPr>
              <w:t xml:space="preserve">. № 47747) »,  </w:t>
            </w:r>
            <w:r w:rsidRPr="00E809F3">
              <w:rPr>
                <w:sz w:val="22"/>
                <w:szCs w:val="22"/>
                <w:lang w:val="uk-UA"/>
              </w:rPr>
              <w:t xml:space="preserve">код ДК 021:2015 - 71630000-3 - </w:t>
            </w:r>
            <w:bookmarkStart w:id="0" w:name="_GoBack"/>
            <w:bookmarkEnd w:id="0"/>
            <w:r w:rsidRPr="00E809F3">
              <w:rPr>
                <w:sz w:val="22"/>
                <w:szCs w:val="22"/>
                <w:lang w:val="uk-UA"/>
              </w:rPr>
              <w:t xml:space="preserve">Послуги з технічного огляду та </w:t>
            </w:r>
            <w:proofErr w:type="spellStart"/>
            <w:r w:rsidRPr="00E809F3">
              <w:rPr>
                <w:sz w:val="22"/>
                <w:szCs w:val="22"/>
                <w:lang w:val="uk-UA"/>
              </w:rPr>
              <w:t>випробовувань</w:t>
            </w:r>
            <w:proofErr w:type="spellEnd"/>
            <w:r w:rsidRPr="00E809F3">
              <w:rPr>
                <w:b/>
                <w:sz w:val="22"/>
                <w:szCs w:val="22"/>
                <w:lang w:val="uk-UA"/>
              </w:rPr>
              <w:t xml:space="preserve"> </w:t>
            </w:r>
          </w:p>
        </w:tc>
        <w:tc>
          <w:tcPr>
            <w:tcW w:w="947" w:type="pct"/>
          </w:tcPr>
          <w:p w:rsidR="00A76484" w:rsidRPr="00E809F3" w:rsidRDefault="00E809F3" w:rsidP="002D4D30">
            <w:pPr>
              <w:widowControl w:val="0"/>
              <w:jc w:val="center"/>
              <w:rPr>
                <w:sz w:val="22"/>
                <w:szCs w:val="22"/>
                <w:lang w:val="uk-UA"/>
              </w:rPr>
            </w:pPr>
            <w:r w:rsidRPr="00E809F3">
              <w:rPr>
                <w:sz w:val="22"/>
                <w:szCs w:val="22"/>
                <w:lang w:val="uk-UA"/>
              </w:rPr>
              <w:t>679 500,00</w:t>
            </w:r>
            <w:r w:rsidR="00A76484" w:rsidRPr="00E809F3">
              <w:rPr>
                <w:sz w:val="22"/>
                <w:szCs w:val="22"/>
                <w:lang w:val="uk-UA"/>
              </w:rPr>
              <w:t xml:space="preserve"> </w:t>
            </w:r>
          </w:p>
          <w:p w:rsidR="00A76484" w:rsidRPr="00E809F3" w:rsidRDefault="00A76484" w:rsidP="002D4D30">
            <w:pPr>
              <w:widowControl w:val="0"/>
              <w:jc w:val="center"/>
              <w:rPr>
                <w:sz w:val="22"/>
                <w:szCs w:val="22"/>
                <w:lang w:val="uk-UA"/>
              </w:rPr>
            </w:pPr>
            <w:r w:rsidRPr="00E809F3">
              <w:rPr>
                <w:sz w:val="22"/>
                <w:szCs w:val="22"/>
                <w:lang w:val="uk-UA"/>
              </w:rPr>
              <w:t>грн. з ПДВ</w:t>
            </w:r>
          </w:p>
        </w:tc>
        <w:tc>
          <w:tcPr>
            <w:tcW w:w="1102" w:type="pct"/>
          </w:tcPr>
          <w:p w:rsidR="00A76484" w:rsidRPr="00E809F3" w:rsidRDefault="00CB382E" w:rsidP="002D4D30">
            <w:pPr>
              <w:widowControl w:val="0"/>
              <w:jc w:val="center"/>
              <w:rPr>
                <w:sz w:val="22"/>
                <w:szCs w:val="22"/>
                <w:lang w:val="uk-UA"/>
              </w:rPr>
            </w:pPr>
            <w:r w:rsidRPr="00E809F3">
              <w:rPr>
                <w:sz w:val="22"/>
                <w:szCs w:val="22"/>
                <w:lang w:val="uk-UA"/>
              </w:rPr>
              <w:t>566 250,00</w:t>
            </w:r>
          </w:p>
          <w:p w:rsidR="00A76484" w:rsidRPr="00E809F3" w:rsidRDefault="00A76484" w:rsidP="002D4D30">
            <w:pPr>
              <w:widowControl w:val="0"/>
              <w:jc w:val="center"/>
              <w:rPr>
                <w:sz w:val="22"/>
                <w:szCs w:val="22"/>
                <w:lang w:val="uk-UA"/>
              </w:rPr>
            </w:pPr>
            <w:r w:rsidRPr="00E809F3">
              <w:rPr>
                <w:sz w:val="22"/>
                <w:szCs w:val="22"/>
                <w:lang w:val="uk-UA"/>
              </w:rPr>
              <w:t xml:space="preserve">грн. без ПДВ </w:t>
            </w:r>
          </w:p>
        </w:tc>
        <w:tc>
          <w:tcPr>
            <w:tcW w:w="936" w:type="pct"/>
          </w:tcPr>
          <w:p w:rsidR="00A76484" w:rsidRPr="00903BFE" w:rsidRDefault="00903BFE" w:rsidP="00903BFE">
            <w:pPr>
              <w:widowControl w:val="0"/>
              <w:jc w:val="center"/>
              <w:rPr>
                <w:b/>
                <w:sz w:val="22"/>
                <w:szCs w:val="22"/>
                <w:lang w:val="uk-UA"/>
              </w:rPr>
            </w:pPr>
            <w:r w:rsidRPr="00903BFE">
              <w:rPr>
                <w:b/>
                <w:sz w:val="22"/>
                <w:szCs w:val="22"/>
                <w:lang w:val="uk-UA"/>
              </w:rPr>
              <w:t>UA-2023-03-24-008119-a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4366B" w:rsidRPr="0014366B" w:rsidTr="0014366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lang w:val="uk-UA"/>
              </w:rPr>
            </w:pPr>
            <w:r w:rsidRPr="0014366B">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lang w:val="uk-UA"/>
              </w:rPr>
            </w:pPr>
            <w:r w:rsidRPr="0014366B">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pStyle w:val="af5"/>
              <w:widowControl w:val="0"/>
              <w:tabs>
                <w:tab w:val="left" w:pos="264"/>
              </w:tabs>
              <w:ind w:left="70" w:right="22"/>
              <w:jc w:val="both"/>
              <w:rPr>
                <w:rFonts w:ascii="Times New Roman" w:hAnsi="Times New Roman"/>
                <w:sz w:val="24"/>
                <w:szCs w:val="24"/>
                <w:lang w:val="uk-UA"/>
              </w:rPr>
            </w:pPr>
            <w:r w:rsidRPr="0014366B">
              <w:rPr>
                <w:rFonts w:ascii="Times New Roman" w:hAnsi="Times New Roman"/>
                <w:sz w:val="24"/>
                <w:szCs w:val="24"/>
                <w:lang w:val="uk-UA"/>
              </w:rPr>
              <w:t>Закупівля обумовлена необхідністю проведення перевірки технічного стану будівельних конструкцій об’єкту незавершеного будівництва та отримання звіту (звітів) з обстеження технічного стану будівельних конструкцій з висновками і рекомендаціями для забезпечення завершення виконання робіт і введення об’єкту в експлуатацію.</w:t>
            </w:r>
          </w:p>
          <w:p w:rsidR="0014366B" w:rsidRPr="0014366B" w:rsidRDefault="0014366B" w:rsidP="0014366B">
            <w:pPr>
              <w:pStyle w:val="af5"/>
              <w:widowControl w:val="0"/>
              <w:tabs>
                <w:tab w:val="left" w:pos="264"/>
              </w:tabs>
              <w:ind w:left="70" w:right="22"/>
              <w:jc w:val="both"/>
              <w:rPr>
                <w:rFonts w:ascii="Times New Roman" w:hAnsi="Times New Roman"/>
                <w:sz w:val="24"/>
                <w:szCs w:val="24"/>
                <w:lang w:val="uk-UA"/>
              </w:rPr>
            </w:pPr>
            <w:r w:rsidRPr="0014366B">
              <w:rPr>
                <w:rFonts w:ascii="Times New Roman" w:hAnsi="Times New Roman"/>
                <w:sz w:val="24"/>
                <w:szCs w:val="24"/>
                <w:lang w:val="uk-UA"/>
              </w:rPr>
              <w:t>Надання послуг здійснюється фахівцями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або шляхом залучення підприємств, установ та організацій, у складі яких є такі виконавці.</w:t>
            </w:r>
          </w:p>
        </w:tc>
      </w:tr>
      <w:tr w:rsidR="0014366B" w:rsidRPr="0014366B" w:rsidTr="0014366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bCs/>
                <w:lang w:val="uk-UA"/>
              </w:rPr>
            </w:pPr>
            <w:r w:rsidRPr="0014366B">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lang w:val="uk-UA"/>
              </w:rPr>
            </w:pPr>
            <w:r w:rsidRPr="0014366B">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pStyle w:val="af5"/>
              <w:widowControl w:val="0"/>
              <w:tabs>
                <w:tab w:val="left" w:pos="264"/>
              </w:tabs>
              <w:ind w:left="70" w:right="22"/>
              <w:jc w:val="both"/>
              <w:rPr>
                <w:rFonts w:ascii="Times New Roman" w:hAnsi="Times New Roman"/>
                <w:i/>
                <w:color w:val="FF0000"/>
                <w:sz w:val="24"/>
                <w:szCs w:val="24"/>
                <w:highlight w:val="yellow"/>
                <w:lang w:val="uk-UA"/>
              </w:rPr>
            </w:pPr>
            <w:r w:rsidRPr="0014366B">
              <w:rPr>
                <w:rFonts w:ascii="Times New Roman" w:hAnsi="Times New Roman"/>
                <w:sz w:val="24"/>
                <w:szCs w:val="24"/>
                <w:lang w:val="uk-UA"/>
              </w:rPr>
              <w:t>Розрахунок очікуваної вартості послуг з технічного огляду інженерних споруд «Обстеження об’єкту незавершеного будівництва «Капітальний ремонт дороги № 1 (термінал «D») з влаштуванням надземного пішохідного переходу на території ДП МА «Бориспіль» (</w:t>
            </w:r>
            <w:proofErr w:type="spellStart"/>
            <w:r w:rsidRPr="0014366B">
              <w:rPr>
                <w:rFonts w:ascii="Times New Roman" w:hAnsi="Times New Roman"/>
                <w:sz w:val="24"/>
                <w:szCs w:val="24"/>
                <w:lang w:val="uk-UA"/>
              </w:rPr>
              <w:t>інв</w:t>
            </w:r>
            <w:proofErr w:type="spellEnd"/>
            <w:r w:rsidRPr="0014366B">
              <w:rPr>
                <w:rFonts w:ascii="Times New Roman" w:hAnsi="Times New Roman"/>
                <w:sz w:val="24"/>
                <w:szCs w:val="24"/>
                <w:lang w:val="uk-UA"/>
              </w:rPr>
              <w:t>. № 47747)» здійснено шляхом порівняння ринкових цін на підставі отриманих цінових пропозицій відповідно до Положення «Про порядок визначення очікуваної вартості предмета закупівлі» від 17.05.2022 № 50-06-1.</w:t>
            </w:r>
          </w:p>
        </w:tc>
      </w:tr>
      <w:tr w:rsidR="0014366B" w:rsidRPr="0014366B" w:rsidTr="0014366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bCs/>
                <w:lang w:val="uk-UA"/>
              </w:rPr>
            </w:pPr>
            <w:r w:rsidRPr="0014366B">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lang w:val="uk-UA"/>
              </w:rPr>
            </w:pPr>
            <w:r w:rsidRPr="0014366B">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4366B" w:rsidRPr="0014366B" w:rsidRDefault="0014366B" w:rsidP="0014366B">
            <w:pPr>
              <w:rPr>
                <w:i/>
                <w:lang w:val="uk-UA"/>
              </w:rPr>
            </w:pPr>
            <w:r w:rsidRPr="0014366B">
              <w:rPr>
                <w:i/>
                <w:lang w:val="uk-UA"/>
              </w:rPr>
              <w:t>–</w:t>
            </w:r>
          </w:p>
        </w:tc>
      </w:tr>
    </w:tbl>
    <w:p w:rsidR="006F428D" w:rsidRPr="0014366B"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6F428D" w:rsidP="00A12478">
      <w:pPr>
        <w:rPr>
          <w:b/>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41"/>
        <w:gridCol w:w="1212"/>
        <w:gridCol w:w="862"/>
        <w:gridCol w:w="4900"/>
      </w:tblGrid>
      <w:tr w:rsidR="0014366B" w:rsidRPr="0071688D" w:rsidTr="00DF57CA">
        <w:tc>
          <w:tcPr>
            <w:tcW w:w="758" w:type="dxa"/>
            <w:shd w:val="clear" w:color="auto" w:fill="D9E2F3"/>
          </w:tcPr>
          <w:p w:rsidR="0014366B" w:rsidRPr="0071688D" w:rsidRDefault="0014366B" w:rsidP="00DF57CA">
            <w:pPr>
              <w:widowControl w:val="0"/>
              <w:rPr>
                <w:b/>
                <w:sz w:val="22"/>
                <w:szCs w:val="22"/>
                <w:lang w:val="uk-UA"/>
              </w:rPr>
            </w:pPr>
            <w:r w:rsidRPr="0071688D">
              <w:rPr>
                <w:b/>
                <w:sz w:val="22"/>
                <w:szCs w:val="22"/>
                <w:lang w:val="uk-UA"/>
              </w:rPr>
              <w:t>№ п/п</w:t>
            </w:r>
          </w:p>
        </w:tc>
        <w:tc>
          <w:tcPr>
            <w:tcW w:w="2541" w:type="dxa"/>
            <w:shd w:val="clear" w:color="auto" w:fill="D9E2F3"/>
          </w:tcPr>
          <w:p w:rsidR="0014366B" w:rsidRPr="0071688D" w:rsidRDefault="0014366B" w:rsidP="00DF57CA">
            <w:pPr>
              <w:widowControl w:val="0"/>
              <w:jc w:val="center"/>
              <w:rPr>
                <w:b/>
                <w:sz w:val="22"/>
                <w:szCs w:val="22"/>
                <w:lang w:val="uk-UA"/>
              </w:rPr>
            </w:pPr>
            <w:r w:rsidRPr="0071688D">
              <w:rPr>
                <w:b/>
                <w:sz w:val="22"/>
                <w:szCs w:val="22"/>
                <w:lang w:val="uk-UA"/>
              </w:rPr>
              <w:t>Найменування Послуги</w:t>
            </w:r>
          </w:p>
        </w:tc>
        <w:tc>
          <w:tcPr>
            <w:tcW w:w="1212" w:type="dxa"/>
            <w:shd w:val="clear" w:color="auto" w:fill="D9E2F3"/>
            <w:hideMark/>
          </w:tcPr>
          <w:p w:rsidR="0014366B" w:rsidRPr="0071688D" w:rsidRDefault="0014366B" w:rsidP="00DF57CA">
            <w:pPr>
              <w:widowControl w:val="0"/>
              <w:jc w:val="center"/>
              <w:rPr>
                <w:b/>
                <w:sz w:val="22"/>
                <w:szCs w:val="22"/>
                <w:lang w:val="uk-UA"/>
              </w:rPr>
            </w:pPr>
            <w:r w:rsidRPr="0071688D">
              <w:rPr>
                <w:b/>
                <w:sz w:val="22"/>
                <w:szCs w:val="22"/>
                <w:lang w:val="uk-UA"/>
              </w:rPr>
              <w:t>Одиниця</w:t>
            </w:r>
          </w:p>
          <w:p w:rsidR="0014366B" w:rsidRPr="0071688D" w:rsidRDefault="0014366B" w:rsidP="00DF57CA">
            <w:pPr>
              <w:widowControl w:val="0"/>
              <w:jc w:val="center"/>
              <w:rPr>
                <w:b/>
                <w:sz w:val="22"/>
                <w:szCs w:val="22"/>
                <w:lang w:val="uk-UA"/>
              </w:rPr>
            </w:pPr>
            <w:r w:rsidRPr="0071688D">
              <w:rPr>
                <w:b/>
                <w:sz w:val="22"/>
                <w:szCs w:val="22"/>
                <w:lang w:val="uk-UA"/>
              </w:rPr>
              <w:t>виміру</w:t>
            </w:r>
          </w:p>
        </w:tc>
        <w:tc>
          <w:tcPr>
            <w:tcW w:w="862" w:type="dxa"/>
            <w:shd w:val="clear" w:color="auto" w:fill="D9E2F3"/>
          </w:tcPr>
          <w:p w:rsidR="0014366B" w:rsidRPr="0071688D" w:rsidRDefault="0014366B" w:rsidP="00DF57CA">
            <w:pPr>
              <w:widowControl w:val="0"/>
              <w:jc w:val="center"/>
              <w:rPr>
                <w:b/>
                <w:sz w:val="22"/>
                <w:szCs w:val="22"/>
                <w:lang w:val="uk-UA"/>
              </w:rPr>
            </w:pPr>
            <w:r w:rsidRPr="0071688D">
              <w:rPr>
                <w:b/>
                <w:sz w:val="22"/>
                <w:szCs w:val="22"/>
                <w:lang w:val="uk-UA"/>
              </w:rPr>
              <w:t>Кількість</w:t>
            </w:r>
          </w:p>
          <w:p w:rsidR="0014366B" w:rsidRPr="0071688D" w:rsidRDefault="0014366B" w:rsidP="00DF57CA">
            <w:pPr>
              <w:widowControl w:val="0"/>
              <w:jc w:val="center"/>
              <w:rPr>
                <w:b/>
                <w:sz w:val="22"/>
                <w:szCs w:val="22"/>
                <w:lang w:val="uk-UA"/>
              </w:rPr>
            </w:pPr>
          </w:p>
        </w:tc>
        <w:tc>
          <w:tcPr>
            <w:tcW w:w="4900" w:type="dxa"/>
            <w:shd w:val="clear" w:color="auto" w:fill="D9E2F3"/>
            <w:hideMark/>
          </w:tcPr>
          <w:p w:rsidR="0014366B" w:rsidRPr="0071688D" w:rsidRDefault="0014366B" w:rsidP="00DF57CA">
            <w:pPr>
              <w:widowControl w:val="0"/>
              <w:jc w:val="center"/>
              <w:rPr>
                <w:b/>
                <w:sz w:val="22"/>
                <w:szCs w:val="22"/>
                <w:lang w:val="uk-UA"/>
              </w:rPr>
            </w:pPr>
            <w:r w:rsidRPr="0071688D">
              <w:rPr>
                <w:b/>
                <w:sz w:val="22"/>
                <w:szCs w:val="22"/>
                <w:lang w:val="uk-UA"/>
              </w:rPr>
              <w:t>Види та обсяг Послуг (опис послуги)</w:t>
            </w:r>
          </w:p>
          <w:p w:rsidR="0014366B" w:rsidRPr="0071688D" w:rsidRDefault="0014366B" w:rsidP="00DF57CA">
            <w:pPr>
              <w:widowControl w:val="0"/>
              <w:jc w:val="center"/>
              <w:rPr>
                <w:b/>
                <w:sz w:val="22"/>
                <w:szCs w:val="22"/>
                <w:lang w:val="uk-UA"/>
              </w:rPr>
            </w:pPr>
            <w:r w:rsidRPr="0071688D">
              <w:rPr>
                <w:b/>
                <w:sz w:val="22"/>
                <w:szCs w:val="22"/>
                <w:lang w:val="uk-UA"/>
              </w:rPr>
              <w:t>(Технічна специфікація)</w:t>
            </w:r>
          </w:p>
        </w:tc>
      </w:tr>
      <w:tr w:rsidR="0014366B" w:rsidRPr="0071688D" w:rsidTr="00DF57CA">
        <w:trPr>
          <w:trHeight w:val="335"/>
        </w:trPr>
        <w:tc>
          <w:tcPr>
            <w:tcW w:w="758" w:type="dxa"/>
            <w:hideMark/>
          </w:tcPr>
          <w:p w:rsidR="0014366B" w:rsidRPr="0071688D" w:rsidRDefault="0014366B" w:rsidP="00DF57CA">
            <w:pPr>
              <w:widowControl w:val="0"/>
              <w:rPr>
                <w:sz w:val="22"/>
                <w:szCs w:val="22"/>
                <w:lang w:val="uk-UA"/>
              </w:rPr>
            </w:pPr>
            <w:r w:rsidRPr="0071688D">
              <w:rPr>
                <w:sz w:val="22"/>
                <w:szCs w:val="22"/>
                <w:lang w:val="uk-UA"/>
              </w:rPr>
              <w:t>1</w:t>
            </w:r>
          </w:p>
        </w:tc>
        <w:tc>
          <w:tcPr>
            <w:tcW w:w="2541" w:type="dxa"/>
            <w:hideMark/>
          </w:tcPr>
          <w:p w:rsidR="0014366B" w:rsidRPr="0071688D" w:rsidRDefault="0014366B" w:rsidP="00DF57CA">
            <w:pPr>
              <w:suppressAutoHyphens/>
              <w:jc w:val="center"/>
              <w:rPr>
                <w:b/>
                <w:sz w:val="22"/>
                <w:szCs w:val="22"/>
                <w:lang w:val="uk-UA"/>
              </w:rPr>
            </w:pPr>
            <w:r w:rsidRPr="0071688D">
              <w:rPr>
                <w:b/>
                <w:sz w:val="22"/>
                <w:szCs w:val="22"/>
                <w:lang w:val="uk-UA"/>
              </w:rPr>
              <w:t>Послуги з технічного огляду інженерних споруд «Обстеження об’єкту незавершеного будівництва</w:t>
            </w:r>
          </w:p>
          <w:p w:rsidR="0014366B" w:rsidRPr="0071688D" w:rsidRDefault="0014366B" w:rsidP="00DF57CA">
            <w:pPr>
              <w:suppressAutoHyphens/>
              <w:jc w:val="center"/>
              <w:rPr>
                <w:b/>
                <w:sz w:val="22"/>
                <w:szCs w:val="22"/>
                <w:lang w:val="uk-UA"/>
              </w:rPr>
            </w:pPr>
            <w:r w:rsidRPr="0071688D">
              <w:rPr>
                <w:b/>
                <w:sz w:val="22"/>
                <w:szCs w:val="22"/>
                <w:lang w:val="uk-UA"/>
              </w:rPr>
              <w:t>«Капітальний ремонт дороги № 1 (термінал «D») з влаштуванням надземного пішохідного переходу на території ДП МА «Бориспіль»(</w:t>
            </w:r>
            <w:proofErr w:type="spellStart"/>
            <w:r w:rsidRPr="0071688D">
              <w:rPr>
                <w:b/>
                <w:sz w:val="22"/>
                <w:szCs w:val="22"/>
                <w:lang w:val="uk-UA"/>
              </w:rPr>
              <w:t>інв</w:t>
            </w:r>
            <w:proofErr w:type="spellEnd"/>
            <w:r w:rsidRPr="0071688D">
              <w:rPr>
                <w:b/>
                <w:sz w:val="22"/>
                <w:szCs w:val="22"/>
                <w:lang w:val="uk-UA"/>
              </w:rPr>
              <w:t>. № 47747)»</w:t>
            </w:r>
          </w:p>
        </w:tc>
        <w:tc>
          <w:tcPr>
            <w:tcW w:w="1212" w:type="dxa"/>
          </w:tcPr>
          <w:p w:rsidR="0014366B" w:rsidRPr="0071688D" w:rsidRDefault="0014366B" w:rsidP="00DF57CA">
            <w:pPr>
              <w:suppressAutoHyphens/>
              <w:ind w:left="-57"/>
              <w:jc w:val="center"/>
              <w:rPr>
                <w:sz w:val="22"/>
                <w:szCs w:val="22"/>
                <w:lang w:val="uk-UA"/>
              </w:rPr>
            </w:pPr>
            <w:r w:rsidRPr="0071688D">
              <w:rPr>
                <w:sz w:val="22"/>
                <w:szCs w:val="22"/>
                <w:lang w:val="uk-UA"/>
              </w:rPr>
              <w:t>Послуга</w:t>
            </w:r>
          </w:p>
        </w:tc>
        <w:tc>
          <w:tcPr>
            <w:tcW w:w="862" w:type="dxa"/>
          </w:tcPr>
          <w:p w:rsidR="0014366B" w:rsidRPr="0071688D" w:rsidRDefault="0014366B" w:rsidP="00DF57CA">
            <w:pPr>
              <w:suppressAutoHyphens/>
              <w:ind w:left="-57"/>
              <w:jc w:val="center"/>
              <w:rPr>
                <w:sz w:val="22"/>
                <w:szCs w:val="22"/>
                <w:lang w:val="uk-UA"/>
              </w:rPr>
            </w:pPr>
            <w:r w:rsidRPr="0071688D">
              <w:rPr>
                <w:sz w:val="22"/>
                <w:szCs w:val="22"/>
                <w:lang w:val="uk-UA"/>
              </w:rPr>
              <w:t>1</w:t>
            </w:r>
          </w:p>
        </w:tc>
        <w:tc>
          <w:tcPr>
            <w:tcW w:w="4900" w:type="dxa"/>
          </w:tcPr>
          <w:p w:rsidR="0014366B" w:rsidRPr="0071688D" w:rsidRDefault="0014366B" w:rsidP="00DF57CA">
            <w:pPr>
              <w:tabs>
                <w:tab w:val="left" w:pos="349"/>
              </w:tabs>
              <w:suppressAutoHyphens/>
              <w:ind w:right="118"/>
              <w:jc w:val="both"/>
              <w:textAlignment w:val="baseline"/>
              <w:rPr>
                <w:i/>
                <w:sz w:val="22"/>
                <w:szCs w:val="22"/>
                <w:lang w:val="uk-UA"/>
              </w:rPr>
            </w:pPr>
            <w:r w:rsidRPr="0071688D">
              <w:rPr>
                <w:b/>
                <w:sz w:val="22"/>
                <w:szCs w:val="22"/>
                <w:lang w:val="uk-UA"/>
              </w:rPr>
              <w:t>Надання послуг передбачено в 2 етапи</w:t>
            </w:r>
            <w:r w:rsidRPr="0071688D">
              <w:rPr>
                <w:i/>
                <w:sz w:val="22"/>
                <w:szCs w:val="22"/>
                <w:lang w:val="uk-UA"/>
              </w:rPr>
              <w:t>.</w:t>
            </w:r>
          </w:p>
          <w:p w:rsidR="0014366B" w:rsidRPr="0071688D" w:rsidRDefault="0014366B" w:rsidP="00DF57CA">
            <w:pPr>
              <w:tabs>
                <w:tab w:val="left" w:pos="349"/>
              </w:tabs>
              <w:suppressAutoHyphens/>
              <w:ind w:right="118"/>
              <w:jc w:val="both"/>
              <w:textAlignment w:val="baseline"/>
              <w:rPr>
                <w:sz w:val="22"/>
                <w:szCs w:val="22"/>
                <w:u w:val="single"/>
                <w:lang w:val="uk-UA" w:eastAsia="ar-SA"/>
              </w:rPr>
            </w:pPr>
            <w:r w:rsidRPr="0071688D">
              <w:rPr>
                <w:b/>
                <w:sz w:val="22"/>
                <w:szCs w:val="22"/>
                <w:u w:val="single"/>
                <w:lang w:val="uk-UA"/>
              </w:rPr>
              <w:t>1 етап включає</w:t>
            </w:r>
            <w:r w:rsidRPr="0071688D">
              <w:rPr>
                <w:sz w:val="22"/>
                <w:szCs w:val="22"/>
                <w:u w:val="single"/>
                <w:lang w:val="uk-UA" w:eastAsia="ar-SA"/>
              </w:rPr>
              <w:t>:</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 xml:space="preserve">Вивчення матеріалів наявної проектної та виконавчої документацій. </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Проведення обстеження будівельних конструкцій споруди із встановленням недоліків та пошкоджень із визначенням їх обсягу та причин виникнення з наданням рекомендацій по їх усуненню.</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Обстеження металевих конструкцій в цілому, зварювальних швів, болтових з’єднань, антикорозійного захисту та протипожежного захисту, оцінка їх технічного стану, з встановленням дефектів та пошкоджень (за наявності) із зазначенням причин виникнення та  наданням рекомендацій по їх усуненню.</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Обстеження деформаційних швів, сходових конструкцій, вузлів обпирання сходових маршів, площадок та ліфтової шахти.</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 xml:space="preserve">Визначення ступеню пошкодження арматури у місцях її оголення (за наявності). </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Складання технічного звіту за результатами обстеження, розрахунку та оцінки технічного стану відповідно до ДСТУ Н Б В.1.2-18:2016 «Настанова щодо обстеження будівель і споруд для визначення та оцінки їх технічного стану» з фотофіксацією виявлених дефектів та пошкоджень споруди, їх схематичним відображенням.</w:t>
            </w:r>
          </w:p>
          <w:p w:rsidR="0014366B" w:rsidRPr="0071688D" w:rsidRDefault="0014366B" w:rsidP="00DF57CA">
            <w:pPr>
              <w:tabs>
                <w:tab w:val="left" w:pos="224"/>
                <w:tab w:val="left" w:pos="435"/>
              </w:tabs>
              <w:ind w:right="111"/>
              <w:jc w:val="both"/>
              <w:rPr>
                <w:sz w:val="22"/>
                <w:szCs w:val="22"/>
                <w:lang w:val="uk-UA" w:eastAsia="ar-SA"/>
              </w:rPr>
            </w:pPr>
            <w:r w:rsidRPr="0071688D">
              <w:rPr>
                <w:sz w:val="22"/>
                <w:szCs w:val="22"/>
                <w:lang w:val="uk-UA" w:eastAsia="ar-SA"/>
              </w:rPr>
              <w:t>-</w:t>
            </w:r>
            <w:r w:rsidRPr="0071688D">
              <w:rPr>
                <w:sz w:val="22"/>
                <w:szCs w:val="22"/>
                <w:lang w:val="uk-UA" w:eastAsia="ar-SA"/>
              </w:rPr>
              <w:tab/>
              <w:t>Надання технічного обґрунтування та рекомендацій по усуненню виявлених дефектів та пошкоджень у будівельних конструкціях (за наявності).</w:t>
            </w:r>
          </w:p>
          <w:p w:rsidR="0014366B" w:rsidRPr="0071688D" w:rsidRDefault="0014366B" w:rsidP="00DF57CA">
            <w:pPr>
              <w:tabs>
                <w:tab w:val="left" w:pos="224"/>
              </w:tabs>
              <w:suppressAutoHyphens/>
              <w:ind w:right="118"/>
              <w:jc w:val="both"/>
              <w:textAlignment w:val="baseline"/>
              <w:rPr>
                <w:sz w:val="22"/>
                <w:szCs w:val="22"/>
                <w:u w:val="single"/>
                <w:lang w:val="uk-UA" w:eastAsia="ar-SA"/>
              </w:rPr>
            </w:pPr>
            <w:r w:rsidRPr="0071688D">
              <w:rPr>
                <w:b/>
                <w:sz w:val="22"/>
                <w:szCs w:val="22"/>
                <w:u w:val="single"/>
                <w:lang w:val="uk-UA"/>
              </w:rPr>
              <w:t>2 етап включає</w:t>
            </w:r>
            <w:r w:rsidRPr="0071688D">
              <w:rPr>
                <w:sz w:val="22"/>
                <w:szCs w:val="22"/>
                <w:u w:val="single"/>
                <w:lang w:val="uk-UA" w:eastAsia="ar-SA"/>
              </w:rPr>
              <w:t>:</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lastRenderedPageBreak/>
              <w:tab/>
              <w:t xml:space="preserve">Здійснення дослідження просторового положення конструкцій будівлі з визначенням кренів та відхилень від вертикальності та горизонтальності  конструкцій. </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Проведення детального вимірювання  геометричних параметрів металевих несучих елементів об’єкта, та алюмінієвих конструкцій фасаду.</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 Складання технічного звіту за результатами обстеження, розрахунку та оцінки технічного стану відповідно до ДСТУ Н Б В.1.2-18:2016 «Настанова щодо обстеження будівель і споруд для визначення та оцінки їх технічного стану» з фотофіксацією виявлених дефектів та пошкоджень споруди, їх схематичним відображенням.</w:t>
            </w:r>
          </w:p>
          <w:p w:rsidR="0014366B" w:rsidRPr="0071688D" w:rsidRDefault="0014366B" w:rsidP="00DF57CA">
            <w:pPr>
              <w:tabs>
                <w:tab w:val="left" w:pos="224"/>
              </w:tabs>
              <w:suppressAutoHyphens/>
              <w:ind w:right="118"/>
              <w:jc w:val="both"/>
              <w:textAlignment w:val="baseline"/>
              <w:rPr>
                <w:sz w:val="22"/>
                <w:szCs w:val="22"/>
                <w:lang w:val="uk-UA" w:eastAsia="ar-SA"/>
              </w:rPr>
            </w:pPr>
            <w:r w:rsidRPr="0071688D">
              <w:rPr>
                <w:sz w:val="22"/>
                <w:szCs w:val="22"/>
                <w:lang w:val="uk-UA" w:eastAsia="ar-SA"/>
              </w:rPr>
              <w:t>-</w:t>
            </w:r>
            <w:r w:rsidRPr="0071688D">
              <w:rPr>
                <w:sz w:val="22"/>
                <w:szCs w:val="22"/>
                <w:lang w:val="uk-UA" w:eastAsia="ar-SA"/>
              </w:rPr>
              <w:tab/>
              <w:t xml:space="preserve">Надання технічного обґрунтування та рекомендацій по усуненню виявлених дефектів та пошкоджень у будівельних конструкціях (за наявності). </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14366B">
      <w:headerReference w:type="even" r:id="rId9"/>
      <w:headerReference w:type="default" r:id="rId10"/>
      <w:footerReference w:type="default" r:id="rId11"/>
      <w:pgSz w:w="11906" w:h="16838"/>
      <w:pgMar w:top="567" w:right="567" w:bottom="567"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37" w:rsidRDefault="002F7037">
      <w:r>
        <w:separator/>
      </w:r>
    </w:p>
  </w:endnote>
  <w:endnote w:type="continuationSeparator" w:id="0">
    <w:p w:rsidR="002F7037" w:rsidRDefault="002F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2E" w:rsidRDefault="00E809F3" w:rsidP="00A256E7">
    <w:pPr>
      <w:tabs>
        <w:tab w:val="center" w:pos="4819"/>
        <w:tab w:val="right" w:pos="9639"/>
      </w:tabs>
      <w:jc w:val="right"/>
      <w:rPr>
        <w:sz w:val="20"/>
        <w:szCs w:val="20"/>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0708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B382E">
      <w:rPr>
        <w:sz w:val="20"/>
        <w:szCs w:val="20"/>
        <w:lang w:val="uk-UA"/>
      </w:rPr>
      <w:t>Послуги з технічного огляду інженерних споруд «Обстеження об’єкту незавершеного будівництва</w:t>
    </w:r>
  </w:p>
  <w:p w:rsidR="00A256E7" w:rsidRPr="00A256E7" w:rsidRDefault="00CB382E" w:rsidP="00A256E7">
    <w:pPr>
      <w:tabs>
        <w:tab w:val="center" w:pos="4819"/>
        <w:tab w:val="right" w:pos="9639"/>
      </w:tabs>
      <w:jc w:val="right"/>
      <w:rPr>
        <w:sz w:val="20"/>
        <w:szCs w:val="20"/>
        <w:u w:val="single"/>
        <w:lang w:val="uk-UA"/>
      </w:rPr>
    </w:pPr>
    <w:r>
      <w:rPr>
        <w:sz w:val="20"/>
        <w:szCs w:val="20"/>
        <w:lang w:val="uk-UA"/>
      </w:rPr>
      <w:t>«Капітальний ремонт дороги № 1 (термінал  «D») з влаштуванням надземного пішохідного переходу на території ДП МА «Бориспіль»(</w:t>
    </w:r>
    <w:proofErr w:type="spellStart"/>
    <w:r>
      <w:rPr>
        <w:sz w:val="20"/>
        <w:szCs w:val="20"/>
        <w:lang w:val="uk-UA"/>
      </w:rPr>
      <w:t>інв</w:t>
    </w:r>
    <w:proofErr w:type="spellEnd"/>
    <w:r>
      <w:rPr>
        <w:sz w:val="20"/>
        <w:szCs w:val="20"/>
        <w:lang w:val="uk-UA"/>
      </w:rPr>
      <w:t xml:space="preserve">. № 47747) »,  код ДК 021:2015 - 71630000-3 - Послуги з технічного огляду та </w:t>
    </w:r>
    <w:proofErr w:type="spellStart"/>
    <w:r>
      <w:rPr>
        <w:sz w:val="20"/>
        <w:szCs w:val="20"/>
        <w:lang w:val="uk-UA"/>
      </w:rPr>
      <w:t>випробовувань</w:t>
    </w:r>
    <w:proofErr w:type="spellEnd"/>
    <w:r>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03BF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03BFE">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37" w:rsidRDefault="002F7037">
      <w:r>
        <w:separator/>
      </w:r>
    </w:p>
  </w:footnote>
  <w:footnote w:type="continuationSeparator" w:id="0">
    <w:p w:rsidR="002F7037" w:rsidRDefault="002F7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809F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856A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366B"/>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037"/>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134"/>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03BFE"/>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382E"/>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09F3"/>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82144"/>
  <w15:chartTrackingRefBased/>
  <w15:docId w15:val="{D385AC90-29A4-44A6-A3A0-9A29451E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aliases w:val="AC List 01,Список уровня 2,название табл/рис,заголовок 1.1,Абзац списка5,Mummuga loetelu,Loendi lõik,En tкte 1,Report Para,WinDForce-Letter,Bullet Points,Liste Paragraf,List Paragraph in table,Akapit z listą,Цветной список - Акцент 11"/>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aliases w:val="AC List 01 Знак,Список уровня 2 Знак,название табл/рис Знак,заголовок 1.1 Знак,Абзац списка5 Знак,Mummuga loetelu Знак,Loendi lõik Знак,En tкte 1 Знак,Report Para Знак,WinDForce-Letter Знак,Bullet Points Знак,Liste Paragraf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0B51-8429-468B-9163-7001D164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3237</Words>
  <Characters>1846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2023-03-24T10:22:00Z</dcterms:created>
  <dcterms:modified xsi:type="dcterms:W3CDTF">2023-03-24T13:02:00Z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