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0302C" w:rsidP="006926A0">
            <w:pPr>
              <w:pStyle w:val="a3"/>
              <w:widowControl w:val="0"/>
              <w:rPr>
                <w:szCs w:val="17"/>
                <w:lang w:val="uk-UA"/>
              </w:rPr>
            </w:pPr>
            <w:r>
              <w:rPr>
                <w:noProof/>
                <w:lang w:val="uk-UA" w:eastAsia="uk-UA"/>
              </w:rPr>
              <w:drawing>
                <wp:inline distT="0" distB="0" distL="0" distR="0">
                  <wp:extent cx="1447800" cy="2857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41218" w:rsidRDefault="004072F7" w:rsidP="00741218">
            <w:pPr>
              <w:widowControl w:val="0"/>
              <w:ind w:right="-11"/>
              <w:jc w:val="center"/>
              <w:rPr>
                <w:sz w:val="22"/>
                <w:szCs w:val="22"/>
                <w:lang w:val="uk-UA" w:eastAsia="uk-UA"/>
              </w:rPr>
            </w:pPr>
            <w:r w:rsidRPr="00741218">
              <w:rPr>
                <w:sz w:val="22"/>
                <w:szCs w:val="22"/>
                <w:lang w:val="uk-UA"/>
              </w:rPr>
              <w:t>п.</w:t>
            </w:r>
            <w:r w:rsidR="00A76484" w:rsidRPr="00741218">
              <w:rPr>
                <w:sz w:val="22"/>
                <w:szCs w:val="22"/>
                <w:lang w:val="uk-UA"/>
              </w:rPr>
              <w:t xml:space="preserve"> </w:t>
            </w:r>
            <w:r w:rsidR="0043738B" w:rsidRPr="00741218">
              <w:rPr>
                <w:sz w:val="22"/>
                <w:szCs w:val="22"/>
                <w:lang w:val="uk-UA"/>
              </w:rPr>
              <w:t xml:space="preserve">19.03 </w:t>
            </w:r>
            <w:r w:rsidR="00BD6E95" w:rsidRPr="00741218">
              <w:rPr>
                <w:sz w:val="22"/>
                <w:szCs w:val="22"/>
                <w:lang w:val="uk-UA" w:eastAsia="uk-UA"/>
              </w:rPr>
              <w:t>(202</w:t>
            </w:r>
            <w:r w:rsidR="004E76E1" w:rsidRPr="00741218">
              <w:rPr>
                <w:sz w:val="22"/>
                <w:szCs w:val="22"/>
                <w:lang w:val="uk-UA" w:eastAsia="uk-UA"/>
              </w:rPr>
              <w:t>3</w:t>
            </w:r>
            <w:r w:rsidR="00A76484" w:rsidRPr="00741218">
              <w:rPr>
                <w:sz w:val="22"/>
                <w:szCs w:val="22"/>
                <w:lang w:val="uk-UA" w:eastAsia="uk-UA"/>
              </w:rPr>
              <w:t>)</w:t>
            </w:r>
          </w:p>
        </w:tc>
        <w:tc>
          <w:tcPr>
            <w:tcW w:w="1527" w:type="pct"/>
          </w:tcPr>
          <w:p w:rsidR="00A76484" w:rsidRPr="00741218" w:rsidRDefault="0043738B" w:rsidP="00A12478">
            <w:pPr>
              <w:widowControl w:val="0"/>
              <w:rPr>
                <w:bCs/>
                <w:sz w:val="22"/>
                <w:szCs w:val="22"/>
                <w:lang w:val="uk-UA"/>
              </w:rPr>
            </w:pPr>
            <w:r w:rsidRPr="00741218">
              <w:rPr>
                <w:b/>
                <w:sz w:val="22"/>
                <w:szCs w:val="22"/>
                <w:lang w:val="uk-UA"/>
              </w:rPr>
              <w:t xml:space="preserve">Послуги із здійснення операцій поводження з небезпечними відходами та хімічними речовинами, </w:t>
            </w:r>
            <w:r w:rsidRPr="00741218">
              <w:rPr>
                <w:sz w:val="22"/>
                <w:szCs w:val="22"/>
                <w:lang w:val="uk-UA"/>
              </w:rPr>
              <w:t>код ДК 021:2015 - 90520000-8 - Послуги у сфері поводження з радіоактивними, токсичними, медичними та небезпечними відходами</w:t>
            </w:r>
            <w:r w:rsidRPr="00741218">
              <w:rPr>
                <w:b/>
                <w:sz w:val="22"/>
                <w:szCs w:val="22"/>
                <w:lang w:val="uk-UA"/>
              </w:rPr>
              <w:t xml:space="preserve"> </w:t>
            </w:r>
          </w:p>
        </w:tc>
        <w:tc>
          <w:tcPr>
            <w:tcW w:w="947" w:type="pct"/>
          </w:tcPr>
          <w:p w:rsidR="00A76484" w:rsidRPr="00741218" w:rsidRDefault="00741218" w:rsidP="002D4D30">
            <w:pPr>
              <w:widowControl w:val="0"/>
              <w:jc w:val="center"/>
              <w:rPr>
                <w:sz w:val="22"/>
                <w:szCs w:val="22"/>
                <w:lang w:val="uk-UA"/>
              </w:rPr>
            </w:pPr>
            <w:r w:rsidRPr="00741218">
              <w:rPr>
                <w:sz w:val="22"/>
                <w:szCs w:val="22"/>
                <w:lang w:val="uk-UA"/>
              </w:rPr>
              <w:t>109 673,00</w:t>
            </w:r>
          </w:p>
          <w:p w:rsidR="00A76484" w:rsidRPr="00741218" w:rsidRDefault="00A76484" w:rsidP="002D4D30">
            <w:pPr>
              <w:widowControl w:val="0"/>
              <w:jc w:val="center"/>
              <w:rPr>
                <w:sz w:val="22"/>
                <w:szCs w:val="22"/>
                <w:lang w:val="uk-UA"/>
              </w:rPr>
            </w:pPr>
            <w:r w:rsidRPr="00741218">
              <w:rPr>
                <w:sz w:val="22"/>
                <w:szCs w:val="22"/>
                <w:lang w:val="uk-UA"/>
              </w:rPr>
              <w:t>грн. з ПДВ</w:t>
            </w:r>
          </w:p>
        </w:tc>
        <w:tc>
          <w:tcPr>
            <w:tcW w:w="1102" w:type="pct"/>
          </w:tcPr>
          <w:p w:rsidR="00A76484" w:rsidRPr="00741218" w:rsidRDefault="0043738B" w:rsidP="002D4D30">
            <w:pPr>
              <w:widowControl w:val="0"/>
              <w:jc w:val="center"/>
              <w:rPr>
                <w:sz w:val="22"/>
                <w:szCs w:val="22"/>
                <w:lang w:val="uk-UA"/>
              </w:rPr>
            </w:pPr>
            <w:r w:rsidRPr="00741218">
              <w:rPr>
                <w:sz w:val="22"/>
                <w:szCs w:val="22"/>
                <w:lang w:val="uk-UA"/>
              </w:rPr>
              <w:t>91 394,17</w:t>
            </w:r>
          </w:p>
          <w:p w:rsidR="00A76484" w:rsidRPr="00741218" w:rsidRDefault="00A76484" w:rsidP="002D4D30">
            <w:pPr>
              <w:widowControl w:val="0"/>
              <w:jc w:val="center"/>
              <w:rPr>
                <w:sz w:val="22"/>
                <w:szCs w:val="22"/>
                <w:lang w:val="uk-UA"/>
              </w:rPr>
            </w:pPr>
            <w:r w:rsidRPr="00741218">
              <w:rPr>
                <w:sz w:val="22"/>
                <w:szCs w:val="22"/>
                <w:lang w:val="uk-UA"/>
              </w:rPr>
              <w:t xml:space="preserve">грн. без ПДВ </w:t>
            </w:r>
          </w:p>
        </w:tc>
        <w:tc>
          <w:tcPr>
            <w:tcW w:w="936" w:type="pct"/>
          </w:tcPr>
          <w:p w:rsidR="00A76484" w:rsidRPr="007101A5" w:rsidRDefault="0043738B" w:rsidP="002D4D30">
            <w:pPr>
              <w:widowControl w:val="0"/>
              <w:jc w:val="center"/>
              <w:rPr>
                <w:color w:val="0000FF"/>
                <w:sz w:val="22"/>
                <w:szCs w:val="22"/>
                <w:lang w:val="uk-UA"/>
              </w:rPr>
            </w:pPr>
            <w:r w:rsidRPr="00741218">
              <w:rPr>
                <w:b/>
                <w:sz w:val="22"/>
                <w:szCs w:val="22"/>
                <w:lang w:val="uk-UA"/>
              </w:rPr>
              <w:t>UA-2023-05-23-014543-a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741218" w:rsidRPr="00741218" w:rsidTr="0074121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1218" w:rsidRPr="00741218" w:rsidRDefault="00741218" w:rsidP="00741218">
            <w:pPr>
              <w:rPr>
                <w:lang w:val="uk-UA"/>
              </w:rPr>
            </w:pPr>
            <w:r w:rsidRPr="00741218">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1218" w:rsidRPr="00741218" w:rsidRDefault="00741218" w:rsidP="00741218">
            <w:pPr>
              <w:rPr>
                <w:lang w:val="uk-UA"/>
              </w:rPr>
            </w:pPr>
            <w:r w:rsidRPr="00741218">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41218" w:rsidRPr="00741218" w:rsidRDefault="00741218" w:rsidP="00741218">
            <w:pPr>
              <w:widowControl w:val="0"/>
              <w:jc w:val="both"/>
              <w:rPr>
                <w:b/>
                <w:color w:val="000000"/>
                <w:sz w:val="22"/>
                <w:szCs w:val="22"/>
                <w:lang w:val="uk-UA"/>
              </w:rPr>
            </w:pPr>
            <w:r w:rsidRPr="00741218">
              <w:rPr>
                <w:b/>
                <w:color w:val="000000"/>
                <w:sz w:val="22"/>
                <w:szCs w:val="22"/>
                <w:lang w:val="uk-UA"/>
              </w:rPr>
              <w:t>Визначення потреби в закупівлі:</w:t>
            </w:r>
          </w:p>
          <w:p w:rsidR="00741218" w:rsidRPr="00741218" w:rsidRDefault="00741218" w:rsidP="00741218">
            <w:pPr>
              <w:widowControl w:val="0"/>
              <w:jc w:val="both"/>
              <w:rPr>
                <w:color w:val="000000"/>
                <w:sz w:val="22"/>
                <w:szCs w:val="22"/>
                <w:lang w:val="uk-UA"/>
              </w:rPr>
            </w:pPr>
            <w:r w:rsidRPr="00741218">
              <w:rPr>
                <w:color w:val="000000"/>
                <w:sz w:val="22"/>
                <w:szCs w:val="22"/>
                <w:lang w:val="uk-UA"/>
              </w:rPr>
              <w:t xml:space="preserve">Виконання </w:t>
            </w:r>
            <w:r w:rsidRPr="00741218">
              <w:rPr>
                <w:sz w:val="22"/>
                <w:szCs w:val="22"/>
                <w:lang w:val="uk-UA"/>
              </w:rPr>
              <w:t>вимог пункту "є" статті 17 Закону України  «Про відходи» та дотримання</w:t>
            </w:r>
            <w:r w:rsidRPr="00741218">
              <w:rPr>
                <w:i/>
                <w:sz w:val="22"/>
                <w:szCs w:val="22"/>
                <w:lang w:val="uk-UA"/>
              </w:rPr>
              <w:t xml:space="preserve"> </w:t>
            </w:r>
            <w:r w:rsidRPr="00741218">
              <w:rPr>
                <w:color w:val="000000"/>
                <w:sz w:val="22"/>
                <w:szCs w:val="22"/>
                <w:lang w:val="uk-UA"/>
              </w:rPr>
              <w:t xml:space="preserve">терміну зберігання (накопичення) відходів Замовника відповідно до </w:t>
            </w:r>
            <w:r w:rsidRPr="00741218">
              <w:rPr>
                <w:sz w:val="22"/>
                <w:szCs w:val="22"/>
                <w:lang w:val="uk-UA"/>
              </w:rPr>
              <w:t>абзацу шостого частини третьої статті 34 Закону України «Про відходи».</w:t>
            </w:r>
          </w:p>
          <w:p w:rsidR="00741218" w:rsidRPr="00741218" w:rsidRDefault="00741218" w:rsidP="00741218">
            <w:pPr>
              <w:widowControl w:val="0"/>
              <w:jc w:val="both"/>
              <w:rPr>
                <w:sz w:val="22"/>
                <w:szCs w:val="22"/>
                <w:lang w:val="uk-UA"/>
              </w:rPr>
            </w:pPr>
            <w:r w:rsidRPr="00741218">
              <w:rPr>
                <w:sz w:val="22"/>
                <w:szCs w:val="22"/>
                <w:lang w:val="uk-UA"/>
              </w:rPr>
              <w:t>Перевезення відходів Замовника здійснюється відповідно до вимог пункт 24 частини першої статті 7 Закону України «Про ліцензування видів господарської діяльності»; постанови КМУ від 09.12.2015 № 1168 «Про затвердження Ліцензійних умов провадження господарської діяльності з перевезення пасажирів, небезпечних в</w:t>
            </w:r>
            <w:bookmarkStart w:id="0" w:name="_GoBack"/>
            <w:bookmarkEnd w:id="0"/>
            <w:r w:rsidRPr="00741218">
              <w:rPr>
                <w:sz w:val="22"/>
                <w:szCs w:val="22"/>
                <w:lang w:val="uk-UA"/>
              </w:rPr>
              <w:t>антажів та небезпечних відходів залізничним транспортом»).</w:t>
            </w:r>
          </w:p>
          <w:p w:rsidR="00741218" w:rsidRPr="00741218" w:rsidRDefault="00741218" w:rsidP="00741218">
            <w:pPr>
              <w:widowControl w:val="0"/>
              <w:jc w:val="both"/>
              <w:rPr>
                <w:i/>
                <w:sz w:val="22"/>
                <w:szCs w:val="22"/>
                <w:lang w:val="uk-UA"/>
              </w:rPr>
            </w:pPr>
            <w:r w:rsidRPr="00741218">
              <w:rPr>
                <w:b/>
                <w:color w:val="000000"/>
                <w:sz w:val="22"/>
                <w:szCs w:val="22"/>
                <w:lang w:val="uk-UA"/>
              </w:rPr>
              <w:t>Обґрунтування технічних та якісних характеристик предмета закупівлі:</w:t>
            </w:r>
            <w:r w:rsidRPr="00741218">
              <w:rPr>
                <w:color w:val="000000"/>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r w:rsidRPr="00741218">
              <w:rPr>
                <w:i/>
                <w:sz w:val="22"/>
                <w:szCs w:val="22"/>
                <w:lang w:val="uk-UA"/>
              </w:rPr>
              <w:t xml:space="preserve">  </w:t>
            </w:r>
          </w:p>
        </w:tc>
      </w:tr>
      <w:tr w:rsidR="00741218" w:rsidRPr="00741218" w:rsidTr="0074121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1218" w:rsidRPr="00741218" w:rsidRDefault="00741218" w:rsidP="00741218">
            <w:pPr>
              <w:rPr>
                <w:bCs/>
                <w:lang w:val="uk-UA"/>
              </w:rPr>
            </w:pPr>
            <w:r w:rsidRPr="00741218">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1218" w:rsidRPr="00741218" w:rsidRDefault="00741218" w:rsidP="00741218">
            <w:pPr>
              <w:rPr>
                <w:lang w:val="uk-UA"/>
              </w:rPr>
            </w:pPr>
            <w:r w:rsidRPr="00741218">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41218" w:rsidRPr="00741218" w:rsidRDefault="00741218" w:rsidP="00741218">
            <w:pPr>
              <w:widowControl w:val="0"/>
              <w:jc w:val="both"/>
              <w:rPr>
                <w:color w:val="000000"/>
                <w:sz w:val="22"/>
                <w:szCs w:val="22"/>
                <w:lang w:val="uk-UA"/>
              </w:rPr>
            </w:pPr>
            <w:r w:rsidRPr="00741218">
              <w:rPr>
                <w:b/>
                <w:color w:val="000000"/>
                <w:sz w:val="22"/>
                <w:szCs w:val="22"/>
                <w:lang w:val="uk-UA"/>
              </w:rPr>
              <w:t>Обґрунтування очікуваної вартості предмета закупівлі:</w:t>
            </w:r>
            <w:r w:rsidRPr="00741218">
              <w:rPr>
                <w:color w:val="000000"/>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741218" w:rsidRPr="00741218" w:rsidRDefault="00741218" w:rsidP="00741218">
            <w:pPr>
              <w:widowControl w:val="0"/>
              <w:jc w:val="both"/>
              <w:rPr>
                <w:color w:val="000000"/>
                <w:sz w:val="22"/>
                <w:szCs w:val="22"/>
                <w:lang w:val="uk-UA"/>
              </w:rPr>
            </w:pPr>
            <w:r w:rsidRPr="00741218">
              <w:rPr>
                <w:color w:val="000000"/>
                <w:sz w:val="22"/>
                <w:szCs w:val="22"/>
                <w:lang w:val="uk-UA"/>
              </w:rPr>
              <w:t xml:space="preserve">Розрахунок очікуваної вартості предмета закупівлі здійснено відповідно до Положення «Про порядок визначення очікуваної вартості предмета </w:t>
            </w:r>
            <w:r w:rsidRPr="00741218">
              <w:rPr>
                <w:color w:val="000000"/>
                <w:sz w:val="22"/>
                <w:szCs w:val="22"/>
                <w:lang w:val="uk-UA"/>
              </w:rPr>
              <w:lastRenderedPageBreak/>
              <w:t>закупівлі» від 17.05.2022 № 50-06-1.</w:t>
            </w:r>
          </w:p>
          <w:p w:rsidR="00741218" w:rsidRPr="00741218" w:rsidRDefault="00741218" w:rsidP="00741218">
            <w:pPr>
              <w:widowControl w:val="0"/>
              <w:jc w:val="both"/>
              <w:rPr>
                <w:color w:val="000000"/>
                <w:sz w:val="22"/>
                <w:szCs w:val="22"/>
                <w:lang w:val="uk-UA"/>
              </w:rPr>
            </w:pPr>
            <w:r w:rsidRPr="00741218">
              <w:rPr>
                <w:b/>
                <w:color w:val="000000"/>
                <w:sz w:val="22"/>
                <w:szCs w:val="22"/>
                <w:lang w:val="uk-UA"/>
              </w:rPr>
              <w:t>Обґрунтування обсягів закупівлі:</w:t>
            </w:r>
            <w:r w:rsidRPr="00741218">
              <w:rPr>
                <w:color w:val="000000"/>
                <w:sz w:val="22"/>
                <w:szCs w:val="22"/>
                <w:lang w:val="uk-UA"/>
              </w:rPr>
              <w:t xml:space="preserve"> </w:t>
            </w:r>
          </w:p>
          <w:p w:rsidR="00741218" w:rsidRPr="00741218" w:rsidRDefault="00741218" w:rsidP="00741218">
            <w:pPr>
              <w:widowControl w:val="0"/>
              <w:jc w:val="both"/>
              <w:rPr>
                <w:i/>
                <w:sz w:val="22"/>
                <w:szCs w:val="22"/>
                <w:lang w:val="uk-UA"/>
              </w:rPr>
            </w:pPr>
            <w:r w:rsidRPr="00741218">
              <w:rPr>
                <w:color w:val="000000"/>
                <w:sz w:val="22"/>
                <w:szCs w:val="22"/>
                <w:lang w:val="uk-UA"/>
              </w:rPr>
              <w:t>Обсяги визначено відповідно до очікуваної потреби.</w:t>
            </w:r>
          </w:p>
        </w:tc>
      </w:tr>
      <w:tr w:rsidR="00741218" w:rsidRPr="00741218" w:rsidTr="0074121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1218" w:rsidRPr="00741218" w:rsidRDefault="00741218" w:rsidP="00741218">
            <w:pPr>
              <w:rPr>
                <w:bCs/>
                <w:lang w:val="uk-UA"/>
              </w:rPr>
            </w:pPr>
            <w:r w:rsidRPr="00741218">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41218" w:rsidRPr="00741218" w:rsidRDefault="00741218" w:rsidP="00741218">
            <w:pPr>
              <w:rPr>
                <w:lang w:val="uk-UA"/>
              </w:rPr>
            </w:pPr>
            <w:r w:rsidRPr="00741218">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741218" w:rsidRPr="00741218" w:rsidRDefault="00741218" w:rsidP="00741218">
            <w:pPr>
              <w:widowControl w:val="0"/>
              <w:jc w:val="both"/>
              <w:rPr>
                <w:b/>
                <w:color w:val="000000"/>
                <w:sz w:val="22"/>
                <w:szCs w:val="22"/>
                <w:lang w:val="uk-UA"/>
              </w:rPr>
            </w:pPr>
            <w:r w:rsidRPr="00741218">
              <w:rPr>
                <w:b/>
                <w:color w:val="000000"/>
                <w:sz w:val="22"/>
                <w:szCs w:val="22"/>
                <w:lang w:val="uk-UA"/>
              </w:rPr>
              <w:t>Спосіб проведення моніторингу ринку:</w:t>
            </w:r>
          </w:p>
          <w:p w:rsidR="00741218" w:rsidRPr="00741218" w:rsidRDefault="00741218" w:rsidP="00741218">
            <w:pPr>
              <w:widowControl w:val="0"/>
              <w:jc w:val="both"/>
              <w:rPr>
                <w:sz w:val="22"/>
                <w:szCs w:val="22"/>
                <w:lang w:val="uk-UA"/>
              </w:rPr>
            </w:pPr>
            <w:r w:rsidRPr="00741218">
              <w:rPr>
                <w:color w:val="000000"/>
                <w:sz w:val="22"/>
                <w:szCs w:val="22"/>
                <w:lang w:val="uk-UA"/>
              </w:rPr>
              <w:t xml:space="preserve"> Моніторинг ринку поведено на підставі цінових пропозицій підприємств, що виконують відповідні послуги в межах Київської області. Також враховано досвід попередніх закупівель ДП МА «Бориспіль» (договір № 35.1-14/8.7-00015 від 03.10.2022).</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3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6"/>
        <w:gridCol w:w="2041"/>
        <w:gridCol w:w="1796"/>
        <w:gridCol w:w="987"/>
        <w:gridCol w:w="1281"/>
        <w:gridCol w:w="3407"/>
      </w:tblGrid>
      <w:tr w:rsidR="00741218" w:rsidRPr="007320BF" w:rsidTr="00741218">
        <w:trPr>
          <w:tblHeader/>
          <w:jc w:val="center"/>
        </w:trPr>
        <w:tc>
          <w:tcPr>
            <w:tcW w:w="826" w:type="dxa"/>
            <w:shd w:val="clear" w:color="auto" w:fill="D9D9D9"/>
          </w:tcPr>
          <w:p w:rsidR="00741218" w:rsidRPr="007320BF" w:rsidRDefault="00741218" w:rsidP="00881E23">
            <w:pPr>
              <w:widowControl w:val="0"/>
              <w:spacing w:line="259" w:lineRule="auto"/>
              <w:contextualSpacing/>
              <w:rPr>
                <w:b/>
                <w:sz w:val="22"/>
                <w:szCs w:val="22"/>
                <w:lang w:val="uk-UA"/>
              </w:rPr>
            </w:pPr>
            <w:r w:rsidRPr="007320BF">
              <w:rPr>
                <w:b/>
                <w:sz w:val="22"/>
                <w:szCs w:val="22"/>
                <w:lang w:val="uk-UA"/>
              </w:rPr>
              <w:t>№ п/п</w:t>
            </w:r>
          </w:p>
        </w:tc>
        <w:tc>
          <w:tcPr>
            <w:tcW w:w="2041" w:type="dxa"/>
            <w:shd w:val="clear" w:color="auto" w:fill="D9D9D9"/>
          </w:tcPr>
          <w:p w:rsidR="00741218" w:rsidRPr="007320BF" w:rsidRDefault="00741218" w:rsidP="00881E23">
            <w:pPr>
              <w:widowControl w:val="0"/>
              <w:contextualSpacing/>
              <w:jc w:val="center"/>
              <w:rPr>
                <w:b/>
                <w:sz w:val="22"/>
                <w:szCs w:val="22"/>
                <w:lang w:val="uk-UA"/>
              </w:rPr>
            </w:pPr>
            <w:r w:rsidRPr="007320BF">
              <w:rPr>
                <w:b/>
                <w:sz w:val="22"/>
                <w:szCs w:val="22"/>
                <w:lang w:val="uk-UA"/>
              </w:rPr>
              <w:t xml:space="preserve">Найменування послуги </w:t>
            </w:r>
          </w:p>
        </w:tc>
        <w:tc>
          <w:tcPr>
            <w:tcW w:w="1796" w:type="dxa"/>
            <w:shd w:val="clear" w:color="auto" w:fill="D9D9D9"/>
          </w:tcPr>
          <w:p w:rsidR="00741218" w:rsidRPr="007320BF" w:rsidRDefault="00741218" w:rsidP="00881E23">
            <w:pPr>
              <w:widowControl w:val="0"/>
              <w:contextualSpacing/>
              <w:jc w:val="center"/>
              <w:rPr>
                <w:b/>
                <w:sz w:val="22"/>
                <w:szCs w:val="22"/>
                <w:lang w:val="uk-UA"/>
              </w:rPr>
            </w:pPr>
            <w:r w:rsidRPr="007320BF">
              <w:rPr>
                <w:b/>
                <w:sz w:val="22"/>
                <w:szCs w:val="22"/>
                <w:lang w:val="uk-UA"/>
              </w:rPr>
              <w:t xml:space="preserve">Код та назва відходу за </w:t>
            </w:r>
          </w:p>
          <w:p w:rsidR="00741218" w:rsidRPr="007320BF" w:rsidRDefault="00741218" w:rsidP="00881E23">
            <w:pPr>
              <w:widowControl w:val="0"/>
              <w:contextualSpacing/>
              <w:jc w:val="center"/>
              <w:rPr>
                <w:b/>
                <w:sz w:val="22"/>
                <w:szCs w:val="22"/>
                <w:lang w:val="uk-UA"/>
              </w:rPr>
            </w:pPr>
            <w:r w:rsidRPr="007320BF">
              <w:rPr>
                <w:b/>
                <w:sz w:val="22"/>
                <w:szCs w:val="22"/>
                <w:lang w:val="uk-UA"/>
              </w:rPr>
              <w:t>ДК 005-96</w:t>
            </w:r>
          </w:p>
        </w:tc>
        <w:tc>
          <w:tcPr>
            <w:tcW w:w="987" w:type="dxa"/>
            <w:shd w:val="clear" w:color="auto" w:fill="D9D9D9"/>
            <w:hideMark/>
          </w:tcPr>
          <w:p w:rsidR="00741218" w:rsidRPr="007320BF" w:rsidRDefault="00741218" w:rsidP="00881E23">
            <w:pPr>
              <w:widowControl w:val="0"/>
              <w:contextualSpacing/>
              <w:jc w:val="center"/>
              <w:rPr>
                <w:b/>
                <w:sz w:val="22"/>
                <w:szCs w:val="22"/>
                <w:lang w:val="uk-UA"/>
              </w:rPr>
            </w:pPr>
            <w:r w:rsidRPr="00CB1CB6">
              <w:rPr>
                <w:b/>
                <w:sz w:val="22"/>
                <w:szCs w:val="22"/>
                <w:lang w:val="uk-UA"/>
              </w:rPr>
              <w:t>Одиниця</w:t>
            </w:r>
          </w:p>
          <w:p w:rsidR="00741218" w:rsidRPr="007320BF" w:rsidRDefault="00741218" w:rsidP="00881E23">
            <w:pPr>
              <w:widowControl w:val="0"/>
              <w:contextualSpacing/>
              <w:jc w:val="center"/>
              <w:rPr>
                <w:b/>
                <w:sz w:val="22"/>
                <w:szCs w:val="22"/>
                <w:lang w:val="uk-UA"/>
              </w:rPr>
            </w:pPr>
            <w:r w:rsidRPr="007320BF">
              <w:rPr>
                <w:b/>
                <w:sz w:val="22"/>
                <w:szCs w:val="22"/>
                <w:lang w:val="uk-UA"/>
              </w:rPr>
              <w:t>виміру</w:t>
            </w:r>
          </w:p>
        </w:tc>
        <w:tc>
          <w:tcPr>
            <w:tcW w:w="1281" w:type="dxa"/>
            <w:shd w:val="clear" w:color="auto" w:fill="D9D9D9"/>
          </w:tcPr>
          <w:p w:rsidR="00741218" w:rsidRPr="007320BF" w:rsidRDefault="00741218" w:rsidP="00881E23">
            <w:pPr>
              <w:widowControl w:val="0"/>
              <w:contextualSpacing/>
              <w:jc w:val="center"/>
              <w:rPr>
                <w:b/>
                <w:sz w:val="22"/>
                <w:szCs w:val="22"/>
                <w:lang w:val="uk-UA"/>
              </w:rPr>
            </w:pPr>
            <w:r w:rsidRPr="007320BF">
              <w:rPr>
                <w:b/>
                <w:sz w:val="22"/>
                <w:szCs w:val="22"/>
                <w:lang w:val="uk-UA"/>
              </w:rPr>
              <w:t>Кількість</w:t>
            </w:r>
          </w:p>
          <w:p w:rsidR="00741218" w:rsidRPr="007320BF" w:rsidRDefault="00741218" w:rsidP="00881E23">
            <w:pPr>
              <w:widowControl w:val="0"/>
              <w:contextualSpacing/>
              <w:jc w:val="center"/>
              <w:rPr>
                <w:b/>
                <w:sz w:val="22"/>
                <w:szCs w:val="22"/>
                <w:lang w:val="uk-UA"/>
              </w:rPr>
            </w:pPr>
          </w:p>
        </w:tc>
        <w:tc>
          <w:tcPr>
            <w:tcW w:w="3407" w:type="dxa"/>
            <w:shd w:val="clear" w:color="auto" w:fill="D9D9D9"/>
            <w:hideMark/>
          </w:tcPr>
          <w:p w:rsidR="00741218" w:rsidRPr="00CB1CB6" w:rsidRDefault="00741218" w:rsidP="00881E23">
            <w:pPr>
              <w:widowControl w:val="0"/>
              <w:jc w:val="center"/>
              <w:rPr>
                <w:b/>
                <w:sz w:val="22"/>
                <w:szCs w:val="22"/>
                <w:lang w:val="uk-UA"/>
              </w:rPr>
            </w:pPr>
            <w:r w:rsidRPr="00CB1CB6">
              <w:rPr>
                <w:b/>
                <w:sz w:val="22"/>
                <w:szCs w:val="22"/>
                <w:lang w:val="uk-UA"/>
              </w:rPr>
              <w:t>Технічні та якісні характеристики предмета закупівлі</w:t>
            </w:r>
          </w:p>
          <w:p w:rsidR="00741218" w:rsidRPr="007320BF" w:rsidRDefault="00741218" w:rsidP="00881E23">
            <w:pPr>
              <w:widowControl w:val="0"/>
              <w:contextualSpacing/>
              <w:jc w:val="center"/>
              <w:rPr>
                <w:b/>
                <w:sz w:val="22"/>
                <w:szCs w:val="22"/>
                <w:lang w:val="uk-UA"/>
              </w:rPr>
            </w:pPr>
            <w:r w:rsidRPr="00CB1CB6">
              <w:rPr>
                <w:b/>
                <w:sz w:val="22"/>
                <w:szCs w:val="22"/>
                <w:lang w:val="uk-UA"/>
              </w:rPr>
              <w:t xml:space="preserve">(Технічна специфікація) </w:t>
            </w:r>
            <w:r w:rsidRPr="007320BF">
              <w:rPr>
                <w:b/>
                <w:sz w:val="22"/>
                <w:szCs w:val="22"/>
                <w:lang w:val="uk-UA"/>
              </w:rPr>
              <w:t>(</w:t>
            </w:r>
            <w:r w:rsidRPr="007320BF">
              <w:rPr>
                <w:b/>
                <w:i/>
                <w:sz w:val="22"/>
                <w:szCs w:val="22"/>
                <w:lang w:val="uk-UA"/>
              </w:rPr>
              <w:t xml:space="preserve">Найменування відходу відповідно до </w:t>
            </w:r>
            <w:r w:rsidRPr="007320BF">
              <w:rPr>
                <w:b/>
                <w:i/>
                <w:color w:val="000000"/>
                <w:sz w:val="22"/>
                <w:szCs w:val="22"/>
                <w:lang w:val="uk-UA"/>
              </w:rPr>
              <w:t>Переліку видів небезпечних відходів, на поводження з якими видана ліцензія</w:t>
            </w:r>
            <w:r w:rsidRPr="007320BF">
              <w:rPr>
                <w:b/>
                <w:color w:val="000000"/>
                <w:sz w:val="22"/>
                <w:szCs w:val="22"/>
                <w:lang w:val="uk-UA"/>
              </w:rPr>
              <w:t>)</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bCs/>
                <w:sz w:val="22"/>
                <w:szCs w:val="22"/>
                <w:lang w:val="uk-UA"/>
              </w:rPr>
              <w:t xml:space="preserve">Відпрацьовані  масляні фільтри </w:t>
            </w:r>
          </w:p>
        </w:tc>
        <w:tc>
          <w:tcPr>
            <w:tcW w:w="1796" w:type="dxa"/>
          </w:tcPr>
          <w:p w:rsidR="00741218" w:rsidRPr="007320BF" w:rsidRDefault="00741218" w:rsidP="00881E23">
            <w:pPr>
              <w:widowControl w:val="0"/>
              <w:spacing w:line="259" w:lineRule="auto"/>
              <w:contextualSpacing/>
              <w:jc w:val="both"/>
              <w:rPr>
                <w:bCs/>
                <w:sz w:val="22"/>
                <w:szCs w:val="22"/>
                <w:lang w:val="uk-UA"/>
              </w:rPr>
            </w:pPr>
            <w:r w:rsidRPr="007320BF">
              <w:rPr>
                <w:bCs/>
                <w:sz w:val="22"/>
                <w:szCs w:val="22"/>
                <w:lang w:val="uk-UA"/>
              </w:rPr>
              <w:t xml:space="preserve">6000.2.9 </w:t>
            </w:r>
          </w:p>
          <w:p w:rsidR="00741218" w:rsidRPr="007320BF" w:rsidRDefault="00741218" w:rsidP="00881E23">
            <w:pPr>
              <w:widowControl w:val="0"/>
              <w:spacing w:line="259" w:lineRule="auto"/>
              <w:contextualSpacing/>
              <w:jc w:val="both"/>
              <w:rPr>
                <w:sz w:val="22"/>
                <w:szCs w:val="22"/>
                <w:lang w:val="uk-UA"/>
              </w:rPr>
            </w:pPr>
            <w:r w:rsidRPr="007320BF">
              <w:rPr>
                <w:bCs/>
                <w:sz w:val="22"/>
                <w:szCs w:val="22"/>
                <w:lang w:val="uk-UA"/>
              </w:rPr>
              <w:t>Відходи, що утворилися під час експлуатації транспортних засобів та перевезень, не позначені іншим способом або комбіновані</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0,02</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Відпрацьовані нафтопродукти, не придатні для використання за призначенням ( у т.ч.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Відходи сумішей масло/вода, вуглеводні/вода, емульсії (у т.ч. відходи забруднені нафтопродуктами –  промаслені ганчір’я, пісок, деревина, тирса, папір, фільтри</w:t>
            </w:r>
          </w:p>
          <w:p w:rsidR="00741218" w:rsidRPr="007320BF" w:rsidRDefault="00741218" w:rsidP="00881E23">
            <w:pPr>
              <w:widowControl w:val="0"/>
              <w:spacing w:line="259" w:lineRule="auto"/>
              <w:contextualSpacing/>
              <w:jc w:val="both"/>
              <w:rPr>
                <w:i/>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bCs/>
                <w:sz w:val="22"/>
                <w:szCs w:val="22"/>
                <w:lang w:val="uk-UA"/>
              </w:rPr>
              <w:t xml:space="preserve">Відпрацьований абсорбент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bCs/>
                <w:sz w:val="22"/>
                <w:szCs w:val="22"/>
                <w:lang w:val="uk-UA"/>
              </w:rPr>
              <w:t xml:space="preserve">7730.3.1.04 Абсорбенти зіпсовані, відпрацьовані чи забруднені  </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0,13</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Відпрацьовані нафтопродукти, не придатні для використання за призначенням ( у т.ч.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Відходи сумішей масло/вода, вуглеводні/вода, емульсії (у т.ч. відходи забруднені нафтопродуктами –  промаслені </w:t>
            </w:r>
            <w:r w:rsidRPr="007320BF">
              <w:rPr>
                <w:sz w:val="22"/>
                <w:szCs w:val="22"/>
                <w:lang w:val="uk-UA"/>
              </w:rPr>
              <w:lastRenderedPageBreak/>
              <w:t>ганчір’я, пісок, деревина, тирса, папір, фільтри</w:t>
            </w:r>
          </w:p>
          <w:p w:rsidR="00741218" w:rsidRPr="007320BF" w:rsidRDefault="00741218" w:rsidP="00881E23">
            <w:pPr>
              <w:widowControl w:val="0"/>
              <w:spacing w:line="259" w:lineRule="auto"/>
              <w:contextualSpacing/>
              <w:jc w:val="both"/>
              <w:rPr>
                <w:i/>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Default="00741218" w:rsidP="00881E23">
            <w:pPr>
              <w:keepNext/>
              <w:keepLines/>
              <w:spacing w:line="259" w:lineRule="auto"/>
              <w:contextualSpacing/>
              <w:jc w:val="both"/>
              <w:rPr>
                <w:bCs/>
                <w:sz w:val="22"/>
                <w:szCs w:val="22"/>
                <w:shd w:val="clear" w:color="auto" w:fill="FFFFFF"/>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p>
          <w:p w:rsidR="00741218" w:rsidRPr="007320BF" w:rsidRDefault="00741218" w:rsidP="00881E23">
            <w:pPr>
              <w:keepNext/>
              <w:keepLines/>
              <w:spacing w:line="259" w:lineRule="auto"/>
              <w:contextualSpacing/>
              <w:jc w:val="both"/>
              <w:rPr>
                <w:sz w:val="22"/>
                <w:szCs w:val="22"/>
                <w:lang w:val="uk-UA"/>
              </w:rPr>
            </w:pPr>
            <w:r w:rsidRPr="007320BF">
              <w:rPr>
                <w:bCs/>
                <w:sz w:val="22"/>
                <w:szCs w:val="22"/>
                <w:lang w:val="uk-UA"/>
              </w:rPr>
              <w:t>Пісок з домішками нафтопродуктів (</w:t>
            </w:r>
            <w:r w:rsidRPr="007320BF">
              <w:rPr>
                <w:b/>
                <w:bCs/>
                <w:sz w:val="22"/>
                <w:szCs w:val="22"/>
                <w:lang w:val="uk-UA"/>
              </w:rPr>
              <w:t>відпрацьований</w:t>
            </w:r>
            <w:r w:rsidRPr="007320BF">
              <w:rPr>
                <w:bCs/>
                <w:sz w:val="22"/>
                <w:szCs w:val="22"/>
                <w:lang w:val="uk-UA"/>
              </w:rPr>
              <w:t xml:space="preserve"> </w:t>
            </w:r>
            <w:r w:rsidRPr="007320BF">
              <w:rPr>
                <w:b/>
                <w:bCs/>
                <w:sz w:val="22"/>
                <w:szCs w:val="22"/>
                <w:lang w:val="uk-UA"/>
              </w:rPr>
              <w:t>абсорбент</w:t>
            </w:r>
            <w:r w:rsidRPr="007320BF">
              <w:rPr>
                <w:bCs/>
                <w:sz w:val="22"/>
                <w:szCs w:val="22"/>
                <w:lang w:val="uk-UA"/>
              </w:rPr>
              <w:t xml:space="preserve">)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bCs/>
                <w:sz w:val="22"/>
                <w:szCs w:val="22"/>
                <w:lang w:val="uk-UA"/>
              </w:rPr>
              <w:t>7730.3.1.04 Абсорбенти зіпсовані, відпрацьовані чи забруднені</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0,16</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Відпрацьовані нафтопродукти, не придатні для використання за призначенням (у т.ч.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Відходи сумішей масло/вода, вуглеводні/вода, емульсії (у т.ч. відходи забруднені нафтопродуктами –  промаслені ганчір’я, пісок, деревина, тирса, папір, фільтри</w:t>
            </w:r>
          </w:p>
          <w:p w:rsidR="00741218" w:rsidRPr="007320BF" w:rsidRDefault="00741218" w:rsidP="00881E23">
            <w:pPr>
              <w:widowControl w:val="0"/>
              <w:jc w:val="both"/>
              <w:rPr>
                <w:i/>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bCs/>
                <w:sz w:val="22"/>
                <w:szCs w:val="22"/>
                <w:lang w:val="uk-UA"/>
              </w:rPr>
              <w:t xml:space="preserve">Відпрацьовані фільтроелементи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bCs/>
                <w:sz w:val="22"/>
                <w:szCs w:val="22"/>
                <w:lang w:val="uk-UA"/>
              </w:rPr>
              <w:t>7730.3.1.05 Матеріали фільтрувальні зіпсовані, відпрацьовані чи забруднені</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0,02</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Відпрацьовані нафтопродукти, не придатні для використання за призначенням ( у т.ч.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Відходи сумішей масло/вода, вуглеводні/вода, емульсії (у т.ч. відходи забруднені нафтопродуктами –  промаслені ганчір’я, пісок, деревина, тирса, папір, фільтри)</w:t>
            </w:r>
          </w:p>
          <w:p w:rsidR="00741218" w:rsidRPr="007320BF" w:rsidRDefault="00741218" w:rsidP="00881E23">
            <w:pPr>
              <w:widowControl w:val="0"/>
              <w:spacing w:line="259" w:lineRule="auto"/>
              <w:contextualSpacing/>
              <w:jc w:val="both"/>
              <w:rPr>
                <w:i/>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bCs/>
                <w:sz w:val="22"/>
                <w:szCs w:val="22"/>
                <w:lang w:val="uk-UA"/>
              </w:rPr>
              <w:lastRenderedPageBreak/>
              <w:t xml:space="preserve">Ганчір’я, забруднене ПММ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bCs/>
                <w:sz w:val="22"/>
                <w:szCs w:val="22"/>
                <w:lang w:val="uk-UA"/>
              </w:rPr>
              <w:lastRenderedPageBreak/>
              <w:t>7730.3.1.06 Матеріали обтиральні зіпсовані, відпрацьовані чи забруднені</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0,24</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Відпрацьовані нафтопродукти, не придатні для використання за призначенням ( у т.ч. відпрацьовані моторні, індустріальні масла та їх суміші). Відходи, забруднені </w:t>
            </w:r>
            <w:r w:rsidRPr="007320BF">
              <w:rPr>
                <w:sz w:val="22"/>
                <w:szCs w:val="22"/>
                <w:lang w:val="uk-UA"/>
              </w:rPr>
              <w:lastRenderedPageBreak/>
              <w:t>нафтопродуктами – забруднені пісок, папір, деревина, ґрунт,  ганчір’я, відпрацьовані фільтри</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Відходи сумішей масло/вода, вуглеводні/вода, емульсії (у т.ч. відходи забруднені нафтопродуктами –  промаслені ганчір’я, пісок, деревина, тирса, папір, фільтри)</w:t>
            </w:r>
          </w:p>
          <w:p w:rsidR="00741218" w:rsidRPr="007320BF" w:rsidRDefault="00741218" w:rsidP="00881E23">
            <w:pPr>
              <w:widowControl w:val="0"/>
              <w:spacing w:line="259" w:lineRule="auto"/>
              <w:contextualSpacing/>
              <w:jc w:val="both"/>
              <w:rPr>
                <w:i/>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 xml:space="preserve">Поводження з небезпечними відходами (збирання, зберігання, </w:t>
            </w:r>
            <w:r>
              <w:rPr>
                <w:bCs/>
                <w:sz w:val="22"/>
                <w:szCs w:val="22"/>
                <w:shd w:val="clear" w:color="auto" w:fill="FFFFFF"/>
                <w:lang w:val="uk-UA"/>
              </w:rPr>
              <w:t xml:space="preserve"> </w:t>
            </w:r>
            <w:r w:rsidRPr="007320BF">
              <w:rPr>
                <w:bCs/>
                <w:sz w:val="22"/>
                <w:szCs w:val="22"/>
                <w:shd w:val="clear" w:color="auto" w:fill="FFFFFF"/>
                <w:lang w:val="uk-UA"/>
              </w:rPr>
              <w:t>утилізація):</w:t>
            </w:r>
            <w:r>
              <w:rPr>
                <w:bCs/>
                <w:sz w:val="22"/>
                <w:szCs w:val="22"/>
                <w:shd w:val="clear" w:color="auto" w:fill="FFFFFF"/>
                <w:lang w:val="uk-UA"/>
              </w:rPr>
              <w:t xml:space="preserve"> </w:t>
            </w:r>
            <w:r w:rsidRPr="007320BF">
              <w:rPr>
                <w:sz w:val="22"/>
                <w:szCs w:val="22"/>
                <w:lang w:val="uk-UA"/>
              </w:rPr>
              <w:t xml:space="preserve">Відпрацьовані люмінесцентні лампи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7710.3.1.26 </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Лампи люмінесцентні та відходи, які містять ртуть, інші зіпсовані та відпрацьовані</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шт.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10000</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Відходи, що містять як складові або забруднювачі ртуть, сполуки ртуті (у т.ч. відпрацьовані люмінесцентні лампи та ртутні лампи) </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Відходи, що містять як складові або забруднювачі ртуть, сполуки ртуті (у т.ч. відпрацьовані люмінесцентні лампи та прилади, що містять ртуть)</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Відходи, що містять як складові або забруднювачі ртуть, сполуки ртуті</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Ртуть, сполуки ртуті</w:t>
            </w:r>
          </w:p>
          <w:p w:rsidR="00741218" w:rsidRPr="007320BF" w:rsidRDefault="00741218" w:rsidP="00881E23">
            <w:pPr>
              <w:widowControl w:val="0"/>
              <w:spacing w:line="259" w:lineRule="auto"/>
              <w:contextualSpacing/>
              <w:jc w:val="both"/>
              <w:rPr>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bCs/>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sz w:val="22"/>
                <w:szCs w:val="22"/>
                <w:lang w:val="uk-UA"/>
              </w:rPr>
              <w:t>Залишки очищення резервуарів</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6000.2.9.17 </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Залишки очищення резервуарів для зберігання, що містять нафтопродукти</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0,4</w:t>
            </w:r>
          </w:p>
        </w:tc>
        <w:tc>
          <w:tcPr>
            <w:tcW w:w="3407" w:type="dxa"/>
          </w:tcPr>
          <w:p w:rsidR="00741218" w:rsidRPr="007320BF" w:rsidRDefault="00741218" w:rsidP="00881E23">
            <w:pPr>
              <w:keepNext/>
              <w:keepLines/>
              <w:spacing w:line="259" w:lineRule="auto"/>
              <w:contextualSpacing/>
              <w:jc w:val="both"/>
              <w:rPr>
                <w:sz w:val="22"/>
                <w:szCs w:val="22"/>
                <w:lang w:val="uk-UA"/>
              </w:rPr>
            </w:pPr>
            <w:r w:rsidRPr="007320BF">
              <w:rPr>
                <w:sz w:val="22"/>
                <w:szCs w:val="22"/>
                <w:lang w:val="uk-UA"/>
              </w:rPr>
              <w:t>Відпрацьовані нафтопродукти, не придатні для використання за призначенням ( у т.ч.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keepNext/>
              <w:keepLines/>
              <w:spacing w:line="259" w:lineRule="auto"/>
              <w:contextualSpacing/>
              <w:jc w:val="both"/>
              <w:rPr>
                <w:sz w:val="22"/>
                <w:szCs w:val="22"/>
                <w:lang w:val="uk-UA"/>
              </w:rPr>
            </w:pPr>
            <w:r w:rsidRPr="007320BF">
              <w:rPr>
                <w:sz w:val="22"/>
                <w:szCs w:val="22"/>
                <w:lang w:val="uk-UA"/>
              </w:rPr>
              <w:t xml:space="preserve">Відходи сумішей масло/вода, вуглеводні/вода, емульсії (у т.ч. відходи забруднені нафтопродуктами –  промаслені ганчір’я, пісок, деревина, тирса, </w:t>
            </w:r>
            <w:r w:rsidRPr="007320BF">
              <w:rPr>
                <w:sz w:val="22"/>
                <w:szCs w:val="22"/>
                <w:lang w:val="uk-UA"/>
              </w:rPr>
              <w:lastRenderedPageBreak/>
              <w:t>папір, фільтри)</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keepNext/>
              <w:keepLines/>
              <w:spacing w:line="259" w:lineRule="auto"/>
              <w:contextualSpacing/>
              <w:jc w:val="both"/>
              <w:rPr>
                <w:sz w:val="22"/>
                <w:szCs w:val="22"/>
                <w:lang w:val="uk-UA"/>
              </w:rPr>
            </w:pPr>
            <w:r w:rsidRPr="007320BF">
              <w:rPr>
                <w:sz w:val="22"/>
                <w:szCs w:val="22"/>
                <w:lang w:val="uk-UA"/>
              </w:rPr>
              <w:t>Відходи сумішей масло/вода, вуглеводні/вода, емульсії</w:t>
            </w:r>
          </w:p>
          <w:p w:rsidR="00741218" w:rsidRPr="007320BF" w:rsidRDefault="00741218" w:rsidP="00881E23">
            <w:pPr>
              <w:keepNext/>
              <w:keepLines/>
              <w:spacing w:line="259" w:lineRule="auto"/>
              <w:contextualSpacing/>
              <w:jc w:val="both"/>
              <w:rPr>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sz w:val="22"/>
                <w:szCs w:val="22"/>
                <w:lang w:val="uk-UA"/>
              </w:rPr>
              <w:t xml:space="preserve">Використані вироби  медичного призначення інші (у т.ч. </w:t>
            </w:r>
            <w:r w:rsidRPr="007320BF">
              <w:rPr>
                <w:b/>
                <w:sz w:val="22"/>
                <w:szCs w:val="22"/>
                <w:lang w:val="uk-UA"/>
              </w:rPr>
              <w:t>шприці</w:t>
            </w:r>
            <w:r w:rsidRPr="007320BF">
              <w:rPr>
                <w:sz w:val="22"/>
                <w:szCs w:val="22"/>
                <w:lang w:val="uk-UA"/>
              </w:rPr>
              <w:t xml:space="preserve">,)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8510.2.9.03 </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Прилади медичного призначення інші (у т.ч. шприці, термометри, набори для діагностичних аналізів, медичні інструменти тощо), що не відповідають установленим вимогам, зіпсовані або використані; Медичні відходи категорії В</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0,008</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p w:rsidR="00741218" w:rsidRPr="007320BF" w:rsidRDefault="00741218" w:rsidP="00881E23">
            <w:pPr>
              <w:widowControl w:val="0"/>
              <w:spacing w:line="259" w:lineRule="auto"/>
              <w:contextualSpacing/>
              <w:jc w:val="both"/>
              <w:rPr>
                <w:i/>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bCs/>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p>
          <w:p w:rsidR="00741218" w:rsidRPr="007320BF" w:rsidRDefault="00741218" w:rsidP="00881E23">
            <w:pPr>
              <w:spacing w:line="259" w:lineRule="auto"/>
              <w:contextualSpacing/>
              <w:jc w:val="both"/>
              <w:rPr>
                <w:sz w:val="22"/>
                <w:szCs w:val="22"/>
                <w:lang w:val="uk-UA"/>
              </w:rPr>
            </w:pPr>
            <w:r w:rsidRPr="007320BF">
              <w:rPr>
                <w:sz w:val="22"/>
                <w:szCs w:val="22"/>
                <w:lang w:val="uk-UA"/>
              </w:rPr>
              <w:t xml:space="preserve">Використані вироби медичного призначення інші </w:t>
            </w:r>
            <w:r w:rsidRPr="007320BF">
              <w:rPr>
                <w:b/>
                <w:sz w:val="22"/>
                <w:szCs w:val="22"/>
                <w:lang w:val="uk-UA"/>
              </w:rPr>
              <w:t xml:space="preserve">(у т.ч. латексні рукавиці)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8510.2.9.03 Прилади медичного призначення інші (у т.ч. шприці, термометри, набори для діагностичних аналізів, медичні інструменти тощо), що не відповідають установленим вимогам, зіпсовані або використані; </w:t>
            </w:r>
            <w:r w:rsidRPr="007320BF">
              <w:rPr>
                <w:sz w:val="22"/>
                <w:szCs w:val="22"/>
                <w:lang w:val="uk-UA"/>
              </w:rPr>
              <w:lastRenderedPageBreak/>
              <w:t>Медичні відходи категорії B</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lastRenderedPageBreak/>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0,009</w:t>
            </w:r>
          </w:p>
        </w:tc>
        <w:tc>
          <w:tcPr>
            <w:tcW w:w="3407" w:type="dxa"/>
          </w:tcPr>
          <w:p w:rsidR="00741218" w:rsidRPr="007320BF" w:rsidRDefault="00741218" w:rsidP="00881E23">
            <w:pPr>
              <w:widowControl w:val="0"/>
              <w:spacing w:line="259" w:lineRule="auto"/>
              <w:contextualSpacing/>
              <w:jc w:val="both"/>
              <w:rPr>
                <w:i/>
                <w:sz w:val="22"/>
                <w:szCs w:val="22"/>
                <w:lang w:val="uk-UA"/>
              </w:rPr>
            </w:pPr>
            <w:r w:rsidRPr="007320BF">
              <w:rPr>
                <w:sz w:val="22"/>
                <w:szCs w:val="22"/>
                <w:lang w:val="uk-UA"/>
              </w:rPr>
              <w:t>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w:t>
            </w:r>
            <w:r w:rsidRPr="007320BF">
              <w:rPr>
                <w:i/>
                <w:sz w:val="22"/>
                <w:szCs w:val="22"/>
                <w:lang w:val="uk-UA"/>
              </w:rPr>
              <w:t xml:space="preserve"> </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sz w:val="22"/>
                <w:szCs w:val="22"/>
                <w:lang w:val="uk-UA"/>
              </w:rPr>
              <w:t>Голки медичні використані</w:t>
            </w:r>
          </w:p>
        </w:tc>
        <w:tc>
          <w:tcPr>
            <w:tcW w:w="1796" w:type="dxa"/>
          </w:tcPr>
          <w:p w:rsidR="00741218" w:rsidRPr="007320BF" w:rsidRDefault="00741218" w:rsidP="00881E23">
            <w:pPr>
              <w:spacing w:line="259" w:lineRule="auto"/>
              <w:contextualSpacing/>
              <w:jc w:val="both"/>
              <w:rPr>
                <w:sz w:val="22"/>
                <w:szCs w:val="22"/>
                <w:lang w:val="uk-UA"/>
              </w:rPr>
            </w:pPr>
            <w:r w:rsidRPr="007320BF">
              <w:rPr>
                <w:sz w:val="22"/>
                <w:szCs w:val="22"/>
                <w:lang w:val="uk-UA"/>
              </w:rPr>
              <w:t>8510.2.9.01  Голки медичні зіпсовані або використані;</w:t>
            </w:r>
            <w:r>
              <w:rPr>
                <w:sz w:val="22"/>
                <w:szCs w:val="22"/>
                <w:lang w:val="uk-UA"/>
              </w:rPr>
              <w:t xml:space="preserve"> </w:t>
            </w:r>
            <w:r w:rsidRPr="007320BF">
              <w:rPr>
                <w:sz w:val="22"/>
                <w:szCs w:val="22"/>
                <w:lang w:val="uk-UA"/>
              </w:rPr>
              <w:t>Медичні відходи категорії B (гострі предмети)</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0,002</w:t>
            </w:r>
          </w:p>
        </w:tc>
        <w:tc>
          <w:tcPr>
            <w:tcW w:w="3407" w:type="dxa"/>
          </w:tcPr>
          <w:p w:rsidR="00741218" w:rsidRPr="007320BF" w:rsidRDefault="00741218" w:rsidP="00881E23">
            <w:pPr>
              <w:widowControl w:val="0"/>
              <w:spacing w:line="259" w:lineRule="auto"/>
              <w:contextualSpacing/>
              <w:jc w:val="both"/>
              <w:rPr>
                <w:i/>
                <w:sz w:val="22"/>
                <w:szCs w:val="22"/>
                <w:lang w:val="uk-UA"/>
              </w:rPr>
            </w:pPr>
            <w:r w:rsidRPr="007320BF">
              <w:rPr>
                <w:sz w:val="22"/>
                <w:szCs w:val="22"/>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sz w:val="22"/>
                <w:szCs w:val="22"/>
                <w:lang w:val="uk-UA"/>
              </w:rPr>
              <w:t>Використані одноразові вироби діагностичного обладнання (</w:t>
            </w:r>
            <w:r w:rsidRPr="007320BF">
              <w:rPr>
                <w:b/>
                <w:sz w:val="22"/>
                <w:szCs w:val="22"/>
                <w:lang w:val="uk-UA"/>
              </w:rPr>
              <w:t>мундштуки до алкотестерів</w:t>
            </w:r>
            <w:r w:rsidRPr="007320BF">
              <w:rPr>
                <w:sz w:val="22"/>
                <w:szCs w:val="22"/>
                <w:lang w:val="uk-UA"/>
              </w:rPr>
              <w:t xml:space="preserve">)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8510.2.9.02 Обладнання та інструменти медичні одноразові зіпсовані або використані; Медичні відходи категорії B</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0,0002</w:t>
            </w:r>
          </w:p>
        </w:tc>
        <w:tc>
          <w:tcPr>
            <w:tcW w:w="3407" w:type="dxa"/>
          </w:tcPr>
          <w:p w:rsidR="00741218" w:rsidRPr="007320BF" w:rsidRDefault="00741218" w:rsidP="00881E23">
            <w:pPr>
              <w:widowControl w:val="0"/>
              <w:spacing w:line="259" w:lineRule="auto"/>
              <w:contextualSpacing/>
              <w:jc w:val="both"/>
              <w:rPr>
                <w:i/>
                <w:sz w:val="22"/>
                <w:szCs w:val="22"/>
                <w:lang w:val="uk-UA"/>
              </w:rPr>
            </w:pPr>
            <w:r w:rsidRPr="007320BF">
              <w:rPr>
                <w:sz w:val="22"/>
                <w:szCs w:val="22"/>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sz w:val="22"/>
                <w:szCs w:val="22"/>
                <w:lang w:val="uk-UA"/>
              </w:rPr>
              <w:t xml:space="preserve">Флакони, туби, пусті ампули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8530.2.9.04 Тара аптекарська зіпсована або відпрацьована;  Медичні відходи категорії С (хімічні і фармацевтичні відходи)</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0,045</w:t>
            </w:r>
          </w:p>
        </w:tc>
        <w:tc>
          <w:tcPr>
            <w:tcW w:w="3407" w:type="dxa"/>
          </w:tcPr>
          <w:p w:rsidR="00741218" w:rsidRPr="007320BF" w:rsidRDefault="00741218" w:rsidP="00881E23">
            <w:pPr>
              <w:keepNext/>
              <w:keepLines/>
              <w:spacing w:line="259" w:lineRule="auto"/>
              <w:contextualSpacing/>
              <w:jc w:val="both"/>
              <w:rPr>
                <w:i/>
                <w:sz w:val="22"/>
                <w:szCs w:val="22"/>
                <w:lang w:val="uk-UA"/>
              </w:rPr>
            </w:pPr>
            <w:r w:rsidRPr="007320BF">
              <w:rPr>
                <w:sz w:val="22"/>
                <w:szCs w:val="22"/>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sz w:val="22"/>
                <w:szCs w:val="22"/>
                <w:lang w:val="uk-UA"/>
              </w:rPr>
              <w:t xml:space="preserve">Чохол на медичну кушетку </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8510.2.9.07 Відходи інші, збирання та знищення яких не обумовлено спеціальними вимогами для запобігання </w:t>
            </w:r>
            <w:r w:rsidRPr="007320BF">
              <w:rPr>
                <w:sz w:val="22"/>
                <w:szCs w:val="22"/>
                <w:lang w:val="uk-UA"/>
              </w:rPr>
              <w:lastRenderedPageBreak/>
              <w:t>виникненню інфекцій, Медичні відходи категорії В)</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lastRenderedPageBreak/>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0,002</w:t>
            </w:r>
          </w:p>
        </w:tc>
        <w:tc>
          <w:tcPr>
            <w:tcW w:w="3407" w:type="dxa"/>
          </w:tcPr>
          <w:p w:rsidR="00741218" w:rsidRPr="007320BF" w:rsidRDefault="00741218" w:rsidP="00881E23">
            <w:pPr>
              <w:widowControl w:val="0"/>
              <w:spacing w:line="259" w:lineRule="auto"/>
              <w:contextualSpacing/>
              <w:jc w:val="both"/>
              <w:rPr>
                <w:i/>
                <w:sz w:val="22"/>
                <w:szCs w:val="22"/>
                <w:lang w:val="uk-UA"/>
              </w:rPr>
            </w:pPr>
            <w:r w:rsidRPr="007320BF">
              <w:rPr>
                <w:sz w:val="22"/>
                <w:szCs w:val="22"/>
                <w:lang w:val="uk-UA"/>
              </w:rPr>
              <w:t xml:space="preserve">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w:t>
            </w:r>
            <w:r w:rsidRPr="007320BF">
              <w:rPr>
                <w:sz w:val="22"/>
                <w:szCs w:val="22"/>
                <w:lang w:val="uk-UA"/>
              </w:rPr>
              <w:lastRenderedPageBreak/>
              <w:t xml:space="preserve">пацієнтами або при виконанні дослідницьких робіт </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sz w:val="22"/>
                <w:szCs w:val="22"/>
                <w:lang w:val="uk-UA"/>
              </w:rPr>
              <w:t>Готові лікарські засоби непридатні</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8530.2.9.01 Препарати та речовини фармацевтичні, засоби і товари лікарські (у т.ч. аерозолі), їх залишки зіпсовані, прострочені або неідентифіковані. Медичні відходи категорії А</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0,003996</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Відходи виробництва, одержання і застосування фармацевтичних препаратів</w:t>
            </w:r>
          </w:p>
          <w:p w:rsidR="00741218" w:rsidRPr="007320BF" w:rsidRDefault="00741218" w:rsidP="00881E23">
            <w:pPr>
              <w:widowControl w:val="0"/>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Відходи виробництва, одержання і застосування фармацевтичних препаратів, за винятком відходів, зазначених у Зеленому переліку відходів</w:t>
            </w:r>
          </w:p>
          <w:p w:rsidR="00741218" w:rsidRPr="007320BF" w:rsidRDefault="00741218" w:rsidP="00881E23">
            <w:pPr>
              <w:widowControl w:val="0"/>
              <w:spacing w:line="259" w:lineRule="auto"/>
              <w:contextualSpacing/>
              <w:rPr>
                <w:sz w:val="22"/>
                <w:szCs w:val="22"/>
                <w:lang w:val="uk-UA"/>
              </w:rPr>
            </w:pPr>
            <w:r w:rsidRPr="007320BF">
              <w:rPr>
                <w:sz w:val="22"/>
                <w:szCs w:val="22"/>
                <w:lang w:val="uk-UA"/>
              </w:rPr>
              <w:t>Перелік готових лікарських засобів, що підлягають утилізації:</w:t>
            </w:r>
          </w:p>
          <w:p w:rsidR="00741218" w:rsidRPr="007320BF" w:rsidRDefault="00741218" w:rsidP="00881E23">
            <w:pPr>
              <w:spacing w:line="259" w:lineRule="auto"/>
              <w:contextualSpacing/>
              <w:rPr>
                <w:b/>
                <w:bCs/>
                <w:sz w:val="22"/>
                <w:szCs w:val="22"/>
                <w:lang w:val="uk-UA"/>
              </w:rPr>
            </w:pPr>
            <w:r w:rsidRPr="007320BF">
              <w:rPr>
                <w:b/>
                <w:bCs/>
                <w:sz w:val="22"/>
                <w:szCs w:val="22"/>
                <w:lang w:val="uk-UA"/>
              </w:rPr>
              <w:t xml:space="preserve">1) розчини для ін’єкцій: </w:t>
            </w:r>
          </w:p>
          <w:p w:rsidR="00741218" w:rsidRPr="007320BF" w:rsidRDefault="00741218" w:rsidP="00881E23">
            <w:pPr>
              <w:jc w:val="both"/>
              <w:rPr>
                <w:sz w:val="22"/>
                <w:szCs w:val="22"/>
                <w:lang w:val="uk-UA"/>
              </w:rPr>
            </w:pPr>
            <w:r w:rsidRPr="007320BF">
              <w:rPr>
                <w:sz w:val="22"/>
                <w:szCs w:val="22"/>
                <w:lang w:val="uk-UA"/>
              </w:rPr>
              <w:t>Кавінтон 2 мл №10 амп, (Сavinton),</w:t>
            </w:r>
          </w:p>
          <w:p w:rsidR="00741218" w:rsidRPr="007320BF" w:rsidRDefault="00741218" w:rsidP="00881E23">
            <w:pPr>
              <w:ind w:left="-21"/>
              <w:jc w:val="both"/>
              <w:rPr>
                <w:sz w:val="22"/>
                <w:szCs w:val="22"/>
                <w:lang w:val="uk-UA"/>
              </w:rPr>
            </w:pPr>
            <w:r w:rsidRPr="007320BF">
              <w:rPr>
                <w:sz w:val="22"/>
                <w:szCs w:val="22"/>
                <w:lang w:val="uk-UA"/>
              </w:rPr>
              <w:t>Кальцію глюконат 20% р-н фл-100 мл (Calcium gluconate),</w:t>
            </w:r>
          </w:p>
          <w:p w:rsidR="00741218" w:rsidRPr="007320BF" w:rsidRDefault="00741218" w:rsidP="00881E23">
            <w:pPr>
              <w:jc w:val="both"/>
              <w:rPr>
                <w:bCs/>
                <w:sz w:val="22"/>
                <w:szCs w:val="22"/>
                <w:lang w:val="uk-UA"/>
              </w:rPr>
            </w:pPr>
            <w:r w:rsidRPr="007320BF">
              <w:rPr>
                <w:sz w:val="22"/>
                <w:szCs w:val="22"/>
                <w:lang w:val="uk-UA"/>
              </w:rPr>
              <w:t>Ксилазин 2% 30 мл (</w:t>
            </w:r>
            <w:r w:rsidRPr="007320BF">
              <w:rPr>
                <w:bCs/>
                <w:sz w:val="22"/>
                <w:szCs w:val="22"/>
                <w:lang w:val="uk-UA"/>
              </w:rPr>
              <w:t>Xylazine)</w:t>
            </w:r>
            <w:r w:rsidRPr="007320BF">
              <w:rPr>
                <w:sz w:val="22"/>
                <w:szCs w:val="22"/>
                <w:lang w:val="uk-UA"/>
              </w:rPr>
              <w:t>,</w:t>
            </w:r>
          </w:p>
          <w:p w:rsidR="00741218" w:rsidRPr="007320BF" w:rsidRDefault="00741218" w:rsidP="00881E23">
            <w:pPr>
              <w:jc w:val="both"/>
              <w:rPr>
                <w:sz w:val="22"/>
                <w:szCs w:val="22"/>
                <w:lang w:val="uk-UA"/>
              </w:rPr>
            </w:pPr>
            <w:r w:rsidRPr="007320BF">
              <w:rPr>
                <w:sz w:val="22"/>
                <w:szCs w:val="22"/>
                <w:lang w:val="uk-UA"/>
              </w:rPr>
              <w:t xml:space="preserve">Медісон 10 мл (Medetomidine hydrochloride), </w:t>
            </w:r>
          </w:p>
          <w:p w:rsidR="00741218" w:rsidRPr="007320BF" w:rsidRDefault="00741218" w:rsidP="00881E23">
            <w:pPr>
              <w:jc w:val="both"/>
              <w:rPr>
                <w:sz w:val="22"/>
                <w:szCs w:val="22"/>
                <w:lang w:val="uk-UA"/>
              </w:rPr>
            </w:pPr>
            <w:r w:rsidRPr="007320BF">
              <w:rPr>
                <w:sz w:val="22"/>
                <w:szCs w:val="22"/>
                <w:lang w:val="uk-UA"/>
              </w:rPr>
              <w:t>Новокаїн р-н д/інф. 0,5% 200 мл (Procaine),</w:t>
            </w:r>
          </w:p>
          <w:p w:rsidR="00741218" w:rsidRPr="007320BF" w:rsidRDefault="00741218" w:rsidP="0088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uk-UA" w:eastAsia="uk-UA"/>
              </w:rPr>
            </w:pPr>
            <w:r w:rsidRPr="007320BF">
              <w:rPr>
                <w:sz w:val="22"/>
                <w:szCs w:val="22"/>
                <w:lang w:val="uk-UA"/>
              </w:rPr>
              <w:t>ФАРМАТИЛ-50 розч, фл-50 мл (</w:t>
            </w:r>
            <w:r w:rsidRPr="007320BF">
              <w:rPr>
                <w:color w:val="202124"/>
                <w:sz w:val="22"/>
                <w:szCs w:val="22"/>
                <w:bdr w:val="none" w:sz="0" w:space="0" w:color="auto" w:frame="1"/>
                <w:lang w:val="uk-UA" w:eastAsia="uk-UA"/>
              </w:rPr>
              <w:t>Tylosin tartrate),</w:t>
            </w:r>
          </w:p>
          <w:p w:rsidR="00741218" w:rsidRPr="007320BF" w:rsidRDefault="00741218" w:rsidP="00881E23">
            <w:pPr>
              <w:jc w:val="both"/>
              <w:rPr>
                <w:sz w:val="22"/>
                <w:szCs w:val="22"/>
                <w:lang w:val="uk-UA"/>
              </w:rPr>
            </w:pPr>
            <w:r w:rsidRPr="007320BF">
              <w:rPr>
                <w:sz w:val="22"/>
                <w:szCs w:val="22"/>
                <w:lang w:val="uk-UA"/>
              </w:rPr>
              <w:t xml:space="preserve">Комбістрес  розч, фл-50 мл (Combistress); </w:t>
            </w:r>
          </w:p>
          <w:p w:rsidR="00741218" w:rsidRPr="007320BF" w:rsidRDefault="00741218" w:rsidP="00881E23">
            <w:pPr>
              <w:spacing w:line="259" w:lineRule="auto"/>
              <w:contextualSpacing/>
              <w:rPr>
                <w:b/>
                <w:bCs/>
                <w:sz w:val="22"/>
                <w:szCs w:val="22"/>
                <w:lang w:val="uk-UA"/>
              </w:rPr>
            </w:pPr>
            <w:r w:rsidRPr="007320BF">
              <w:rPr>
                <w:b/>
                <w:bCs/>
                <w:sz w:val="22"/>
                <w:szCs w:val="22"/>
                <w:lang w:val="uk-UA"/>
              </w:rPr>
              <w:t xml:space="preserve">2) порошкоподібні ліки: </w:t>
            </w:r>
          </w:p>
          <w:p w:rsidR="00741218" w:rsidRPr="007320BF" w:rsidRDefault="00741218" w:rsidP="00881E23">
            <w:pPr>
              <w:ind w:left="-21"/>
              <w:jc w:val="both"/>
              <w:rPr>
                <w:sz w:val="22"/>
                <w:szCs w:val="22"/>
                <w:lang w:val="uk-UA"/>
              </w:rPr>
            </w:pPr>
            <w:r w:rsidRPr="007320BF">
              <w:rPr>
                <w:sz w:val="22"/>
                <w:szCs w:val="22"/>
                <w:lang w:val="uk-UA"/>
              </w:rPr>
              <w:t>Азідін-вет 0,24 г (диміназену ацетурат, феназон) (Diminuzene aceturate),</w:t>
            </w:r>
          </w:p>
          <w:p w:rsidR="00741218" w:rsidRPr="007320BF" w:rsidRDefault="00741218" w:rsidP="00881E23">
            <w:pPr>
              <w:ind w:left="-53"/>
              <w:jc w:val="both"/>
              <w:rPr>
                <w:sz w:val="22"/>
                <w:szCs w:val="22"/>
                <w:lang w:val="uk-UA"/>
              </w:rPr>
            </w:pPr>
            <w:r w:rsidRPr="007320BF">
              <w:rPr>
                <w:sz w:val="22"/>
                <w:szCs w:val="22"/>
                <w:lang w:val="uk-UA"/>
              </w:rPr>
              <w:t>Цефтріаксон-Дарниця 1г №1 (Ceftriaxonum);</w:t>
            </w:r>
          </w:p>
          <w:p w:rsidR="00741218" w:rsidRPr="007320BF" w:rsidRDefault="00741218" w:rsidP="00881E23">
            <w:pPr>
              <w:spacing w:line="259" w:lineRule="auto"/>
              <w:contextualSpacing/>
              <w:rPr>
                <w:b/>
                <w:bCs/>
                <w:sz w:val="22"/>
                <w:szCs w:val="22"/>
                <w:lang w:val="uk-UA"/>
              </w:rPr>
            </w:pPr>
            <w:r w:rsidRPr="007320BF">
              <w:rPr>
                <w:b/>
                <w:bCs/>
                <w:sz w:val="22"/>
                <w:szCs w:val="22"/>
                <w:lang w:val="uk-UA"/>
              </w:rPr>
              <w:t>3) вакцини:</w:t>
            </w:r>
          </w:p>
          <w:p w:rsidR="00741218" w:rsidRPr="007320BF" w:rsidRDefault="00741218" w:rsidP="00881E23">
            <w:pPr>
              <w:spacing w:line="259" w:lineRule="auto"/>
              <w:contextualSpacing/>
              <w:rPr>
                <w:sz w:val="22"/>
                <w:szCs w:val="22"/>
                <w:lang w:val="uk-UA"/>
              </w:rPr>
            </w:pPr>
            <w:r w:rsidRPr="007320BF">
              <w:rPr>
                <w:sz w:val="22"/>
                <w:szCs w:val="22"/>
                <w:lang w:val="uk-UA"/>
              </w:rPr>
              <w:t>Нобівак РАБІЄС (Vaccinum);</w:t>
            </w:r>
          </w:p>
          <w:p w:rsidR="00741218" w:rsidRPr="007320BF" w:rsidRDefault="00741218" w:rsidP="00881E23">
            <w:pPr>
              <w:spacing w:line="259" w:lineRule="auto"/>
              <w:contextualSpacing/>
              <w:rPr>
                <w:b/>
                <w:bCs/>
                <w:sz w:val="22"/>
                <w:szCs w:val="22"/>
                <w:lang w:val="uk-UA"/>
              </w:rPr>
            </w:pPr>
            <w:r w:rsidRPr="007320BF">
              <w:rPr>
                <w:b/>
                <w:sz w:val="22"/>
                <w:szCs w:val="22"/>
                <w:lang w:val="uk-UA"/>
              </w:rPr>
              <w:t>4) аерозолі:</w:t>
            </w:r>
          </w:p>
          <w:p w:rsidR="00741218" w:rsidRPr="007320BF" w:rsidRDefault="00741218" w:rsidP="00881E23">
            <w:pPr>
              <w:jc w:val="both"/>
              <w:rPr>
                <w:sz w:val="22"/>
                <w:szCs w:val="22"/>
                <w:lang w:val="uk-UA"/>
              </w:rPr>
            </w:pPr>
            <w:r w:rsidRPr="007320BF">
              <w:rPr>
                <w:sz w:val="22"/>
                <w:szCs w:val="22"/>
                <w:lang w:val="uk-UA"/>
              </w:rPr>
              <w:t>Дезі спрей аерозоль 200мл O.L.KAR (Oxytetracycline hydrochloride-2.5 Gentian violaceum -0.5),</w:t>
            </w:r>
          </w:p>
          <w:p w:rsidR="00741218" w:rsidRPr="007320BF" w:rsidRDefault="00741218" w:rsidP="00881E23">
            <w:pPr>
              <w:jc w:val="both"/>
              <w:rPr>
                <w:b/>
                <w:sz w:val="22"/>
                <w:szCs w:val="22"/>
                <w:lang w:val="uk-UA"/>
              </w:rPr>
            </w:pPr>
            <w:r w:rsidRPr="007320BF">
              <w:rPr>
                <w:sz w:val="22"/>
                <w:szCs w:val="22"/>
                <w:lang w:val="uk-UA"/>
              </w:rPr>
              <w:t xml:space="preserve">Кубатол РІХ спрей 150 мл (Fago </w:t>
            </w:r>
            <w:r w:rsidRPr="007320BF">
              <w:rPr>
                <w:sz w:val="22"/>
                <w:szCs w:val="22"/>
                <w:lang w:val="uk-UA"/>
              </w:rPr>
              <w:lastRenderedPageBreak/>
              <w:t>pice refertas),</w:t>
            </w:r>
          </w:p>
          <w:p w:rsidR="00741218" w:rsidRPr="007320BF" w:rsidRDefault="00741218" w:rsidP="00881E23">
            <w:pPr>
              <w:jc w:val="both"/>
              <w:rPr>
                <w:sz w:val="22"/>
                <w:szCs w:val="22"/>
                <w:lang w:val="uk-UA"/>
              </w:rPr>
            </w:pPr>
            <w:r w:rsidRPr="007320BF">
              <w:rPr>
                <w:sz w:val="22"/>
                <w:szCs w:val="22"/>
                <w:lang w:val="uk-UA"/>
              </w:rPr>
              <w:t>Флокси спрей МАКС 100 мл (Fluorfenicol - 2.5 Acetate prednisolone - 0.1)</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bCs/>
                <w:sz w:val="22"/>
                <w:szCs w:val="22"/>
                <w:shd w:val="clear" w:color="auto" w:fill="FFFFFF"/>
                <w:lang w:val="uk-UA"/>
              </w:rPr>
              <w:t>Поводження з небезпечними відходами (збирання, зберігання, утилізація):</w:t>
            </w:r>
            <w:r>
              <w:rPr>
                <w:bCs/>
                <w:sz w:val="22"/>
                <w:szCs w:val="22"/>
                <w:shd w:val="clear" w:color="auto" w:fill="FFFFFF"/>
                <w:lang w:val="uk-UA"/>
              </w:rPr>
              <w:t xml:space="preserve"> </w:t>
            </w:r>
            <w:r w:rsidRPr="007320BF">
              <w:rPr>
                <w:sz w:val="22"/>
                <w:szCs w:val="22"/>
                <w:lang w:val="uk-UA"/>
              </w:rPr>
              <w:t>Відстій з відходів нафтопродуктів</w:t>
            </w:r>
          </w:p>
        </w:tc>
        <w:tc>
          <w:tcPr>
            <w:tcW w:w="1796"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 xml:space="preserve">7750.3.1.03 </w:t>
            </w:r>
          </w:p>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Продукти хімічні та гази в балонах, які не мають маркування</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0,2</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Відпрацьовані нафтопродукти, не придатні для використання за призначенням ( у т.ч. відпрацьовані моторні, індустріальні масла та їх суміші). Відходи, забруднені нафтопродуктами – забруднені пісок, папір, деревина, ґрунт,  ганчір’я, відпрацьовані фільтри</w:t>
            </w:r>
          </w:p>
          <w:p w:rsidR="00741218" w:rsidRPr="007320BF" w:rsidRDefault="00741218" w:rsidP="00881E23">
            <w:pPr>
              <w:keepNext/>
              <w:keepLines/>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keepNext/>
              <w:keepLines/>
              <w:spacing w:line="259" w:lineRule="auto"/>
              <w:contextualSpacing/>
              <w:jc w:val="both"/>
              <w:rPr>
                <w:sz w:val="22"/>
                <w:szCs w:val="22"/>
                <w:lang w:val="uk-UA"/>
              </w:rPr>
            </w:pPr>
            <w:r w:rsidRPr="007320BF">
              <w:rPr>
                <w:sz w:val="22"/>
                <w:szCs w:val="22"/>
                <w:lang w:val="uk-UA"/>
              </w:rPr>
              <w:t>Відходи сумішей масло/вода, вуглеводні/вода, емульсії (у т.ч. відходи забруднені нафтопродуктами –  промаслені ганчір’я, пісок, деревина, тирса, папір, фільтри)</w:t>
            </w:r>
          </w:p>
          <w:p w:rsidR="00741218" w:rsidRPr="007320BF" w:rsidRDefault="00741218" w:rsidP="00881E23">
            <w:pPr>
              <w:keepNext/>
              <w:keepLines/>
              <w:spacing w:line="259" w:lineRule="auto"/>
              <w:contextualSpacing/>
              <w:jc w:val="center"/>
              <w:rPr>
                <w:i/>
                <w:sz w:val="22"/>
                <w:szCs w:val="22"/>
                <w:lang w:val="uk-UA"/>
              </w:rPr>
            </w:pPr>
            <w:r w:rsidRPr="007320BF">
              <w:rPr>
                <w:i/>
                <w:sz w:val="22"/>
                <w:szCs w:val="22"/>
                <w:lang w:val="uk-UA"/>
              </w:rPr>
              <w:t>або</w:t>
            </w:r>
          </w:p>
          <w:p w:rsidR="00741218" w:rsidRPr="007320BF" w:rsidRDefault="00741218" w:rsidP="00881E23">
            <w:pPr>
              <w:keepNext/>
              <w:keepLines/>
              <w:spacing w:line="259" w:lineRule="auto"/>
              <w:contextualSpacing/>
              <w:jc w:val="both"/>
              <w:rPr>
                <w:sz w:val="22"/>
                <w:szCs w:val="22"/>
                <w:lang w:val="uk-UA"/>
              </w:rPr>
            </w:pPr>
            <w:r w:rsidRPr="007320BF">
              <w:rPr>
                <w:sz w:val="22"/>
                <w:szCs w:val="22"/>
                <w:lang w:val="uk-UA"/>
              </w:rPr>
              <w:t>Відходи сумішей масло/вода, вуглеводні/вода, емульсії</w:t>
            </w:r>
          </w:p>
          <w:p w:rsidR="00741218" w:rsidRPr="007320BF" w:rsidRDefault="00741218" w:rsidP="00881E23">
            <w:pPr>
              <w:keepNext/>
              <w:keepLines/>
              <w:spacing w:line="259" w:lineRule="auto"/>
              <w:contextualSpacing/>
              <w:jc w:val="both"/>
              <w:rPr>
                <w:sz w:val="22"/>
                <w:szCs w:val="22"/>
                <w:lang w:val="uk-UA"/>
              </w:rPr>
            </w:pP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Збирання безпечних відходів:</w:t>
            </w:r>
            <w:r w:rsidRPr="007320BF">
              <w:rPr>
                <w:b/>
                <w:sz w:val="22"/>
                <w:szCs w:val="22"/>
                <w:lang w:val="uk-UA"/>
              </w:rPr>
              <w:t xml:space="preserve"> </w:t>
            </w:r>
            <w:r w:rsidRPr="007320BF">
              <w:rPr>
                <w:bCs/>
                <w:sz w:val="22"/>
                <w:szCs w:val="22"/>
                <w:lang w:val="uk-UA"/>
              </w:rPr>
              <w:t xml:space="preserve">Відпрацьовані гумові вироби </w:t>
            </w:r>
          </w:p>
        </w:tc>
        <w:tc>
          <w:tcPr>
            <w:tcW w:w="1796" w:type="dxa"/>
          </w:tcPr>
          <w:p w:rsidR="00741218" w:rsidRPr="007320BF" w:rsidRDefault="00741218" w:rsidP="00881E23">
            <w:pPr>
              <w:widowControl w:val="0"/>
              <w:spacing w:line="259" w:lineRule="auto"/>
              <w:contextualSpacing/>
              <w:jc w:val="both"/>
              <w:rPr>
                <w:bCs/>
                <w:sz w:val="22"/>
                <w:szCs w:val="22"/>
                <w:lang w:val="uk-UA"/>
              </w:rPr>
            </w:pPr>
            <w:r w:rsidRPr="007320BF">
              <w:rPr>
                <w:bCs/>
                <w:sz w:val="22"/>
                <w:szCs w:val="22"/>
                <w:lang w:val="uk-UA"/>
              </w:rPr>
              <w:t xml:space="preserve">7710.3.1.17 </w:t>
            </w:r>
          </w:p>
          <w:p w:rsidR="00741218" w:rsidRPr="007320BF" w:rsidRDefault="00741218" w:rsidP="00881E23">
            <w:pPr>
              <w:widowControl w:val="0"/>
              <w:spacing w:line="259" w:lineRule="auto"/>
              <w:contextualSpacing/>
              <w:jc w:val="both"/>
              <w:rPr>
                <w:sz w:val="22"/>
                <w:szCs w:val="22"/>
                <w:lang w:val="uk-UA"/>
              </w:rPr>
            </w:pPr>
            <w:r w:rsidRPr="007320BF">
              <w:rPr>
                <w:bCs/>
                <w:sz w:val="22"/>
                <w:szCs w:val="22"/>
                <w:lang w:val="uk-UA"/>
              </w:rPr>
              <w:t>Вироби та матеріали гумові зіпсовані або відпрацьовані</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0,012</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38.11 Збирання безпечних відходів</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keepNext/>
              <w:keepLines/>
              <w:spacing w:line="259" w:lineRule="auto"/>
              <w:contextualSpacing/>
              <w:jc w:val="both"/>
              <w:rPr>
                <w:sz w:val="22"/>
                <w:szCs w:val="22"/>
                <w:lang w:val="uk-UA"/>
              </w:rPr>
            </w:pPr>
            <w:r w:rsidRPr="007320BF">
              <w:rPr>
                <w:sz w:val="22"/>
                <w:szCs w:val="22"/>
                <w:lang w:val="uk-UA"/>
              </w:rPr>
              <w:t>Збирання безпечних відходів:</w:t>
            </w:r>
            <w:r w:rsidRPr="007320BF">
              <w:rPr>
                <w:b/>
                <w:sz w:val="22"/>
                <w:szCs w:val="22"/>
                <w:lang w:val="uk-UA"/>
              </w:rPr>
              <w:t xml:space="preserve"> </w:t>
            </w:r>
            <w:r w:rsidRPr="007320BF">
              <w:rPr>
                <w:bCs/>
                <w:sz w:val="22"/>
                <w:szCs w:val="22"/>
                <w:lang w:val="uk-UA"/>
              </w:rPr>
              <w:t>Відпрацьовані гумові вироби  (</w:t>
            </w:r>
            <w:r w:rsidRPr="007320BF">
              <w:rPr>
                <w:b/>
                <w:bCs/>
                <w:sz w:val="22"/>
                <w:szCs w:val="22"/>
                <w:lang w:val="uk-UA"/>
              </w:rPr>
              <w:t>матеріали</w:t>
            </w:r>
            <w:r w:rsidRPr="007320BF">
              <w:rPr>
                <w:bCs/>
                <w:sz w:val="22"/>
                <w:szCs w:val="22"/>
                <w:lang w:val="uk-UA"/>
              </w:rPr>
              <w:t>)</w:t>
            </w:r>
          </w:p>
        </w:tc>
        <w:tc>
          <w:tcPr>
            <w:tcW w:w="1796" w:type="dxa"/>
          </w:tcPr>
          <w:p w:rsidR="00741218" w:rsidRPr="007320BF" w:rsidRDefault="00741218" w:rsidP="00881E23">
            <w:pPr>
              <w:widowControl w:val="0"/>
              <w:spacing w:line="259" w:lineRule="auto"/>
              <w:contextualSpacing/>
              <w:jc w:val="both"/>
              <w:rPr>
                <w:bCs/>
                <w:sz w:val="22"/>
                <w:szCs w:val="22"/>
                <w:lang w:val="uk-UA"/>
              </w:rPr>
            </w:pPr>
            <w:r w:rsidRPr="007320BF">
              <w:rPr>
                <w:bCs/>
                <w:sz w:val="22"/>
                <w:szCs w:val="22"/>
                <w:lang w:val="uk-UA"/>
              </w:rPr>
              <w:t xml:space="preserve">7740.3 </w:t>
            </w:r>
          </w:p>
          <w:p w:rsidR="00741218" w:rsidRPr="007320BF" w:rsidRDefault="00741218" w:rsidP="00881E23">
            <w:pPr>
              <w:widowControl w:val="0"/>
              <w:spacing w:line="259" w:lineRule="auto"/>
              <w:contextualSpacing/>
              <w:jc w:val="both"/>
              <w:rPr>
                <w:sz w:val="22"/>
                <w:szCs w:val="22"/>
                <w:lang w:val="uk-UA"/>
              </w:rPr>
            </w:pPr>
            <w:r w:rsidRPr="007320BF">
              <w:rPr>
                <w:bCs/>
                <w:sz w:val="22"/>
                <w:szCs w:val="22"/>
                <w:lang w:val="uk-UA"/>
              </w:rPr>
              <w:t xml:space="preserve">Відходи від експлуатації, технічного обслуговування, ремонту та відновлення устатковання  </w:t>
            </w:r>
          </w:p>
        </w:tc>
        <w:tc>
          <w:tcPr>
            <w:tcW w:w="987"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т</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0,02</w:t>
            </w:r>
          </w:p>
        </w:tc>
        <w:tc>
          <w:tcPr>
            <w:tcW w:w="3407" w:type="dxa"/>
          </w:tcPr>
          <w:p w:rsidR="00741218" w:rsidRPr="007320BF" w:rsidRDefault="00741218" w:rsidP="00881E23">
            <w:pPr>
              <w:widowControl w:val="0"/>
              <w:spacing w:line="259" w:lineRule="auto"/>
              <w:contextualSpacing/>
              <w:jc w:val="both"/>
              <w:rPr>
                <w:sz w:val="22"/>
                <w:szCs w:val="22"/>
                <w:lang w:val="uk-UA"/>
              </w:rPr>
            </w:pPr>
            <w:r w:rsidRPr="007320BF">
              <w:rPr>
                <w:sz w:val="22"/>
                <w:szCs w:val="22"/>
                <w:lang w:val="uk-UA"/>
              </w:rPr>
              <w:t>38.11 Збирання безпечних відходів</w:t>
            </w:r>
          </w:p>
        </w:tc>
      </w:tr>
      <w:tr w:rsidR="00741218" w:rsidRPr="007320BF" w:rsidTr="00881E23">
        <w:trPr>
          <w:trHeight w:val="335"/>
          <w:jc w:val="center"/>
        </w:trPr>
        <w:tc>
          <w:tcPr>
            <w:tcW w:w="826" w:type="dxa"/>
          </w:tcPr>
          <w:p w:rsidR="00741218" w:rsidRPr="007320BF" w:rsidRDefault="00741218" w:rsidP="00741218">
            <w:pPr>
              <w:widowControl w:val="0"/>
              <w:numPr>
                <w:ilvl w:val="0"/>
                <w:numId w:val="26"/>
              </w:numPr>
              <w:spacing w:line="259" w:lineRule="auto"/>
              <w:contextualSpacing/>
              <w:rPr>
                <w:sz w:val="22"/>
                <w:szCs w:val="22"/>
                <w:lang w:val="uk-UA"/>
              </w:rPr>
            </w:pPr>
          </w:p>
        </w:tc>
        <w:tc>
          <w:tcPr>
            <w:tcW w:w="2041" w:type="dxa"/>
          </w:tcPr>
          <w:p w:rsidR="00741218" w:rsidRPr="007320BF" w:rsidRDefault="00741218" w:rsidP="00881E23">
            <w:pPr>
              <w:widowControl w:val="0"/>
              <w:spacing w:line="259" w:lineRule="auto"/>
              <w:contextualSpacing/>
              <w:rPr>
                <w:sz w:val="22"/>
                <w:szCs w:val="22"/>
                <w:lang w:val="uk-UA"/>
              </w:rPr>
            </w:pPr>
            <w:r w:rsidRPr="007320BF">
              <w:rPr>
                <w:sz w:val="22"/>
                <w:szCs w:val="22"/>
                <w:lang w:val="uk-UA"/>
              </w:rPr>
              <w:t>Транспортні послуги</w:t>
            </w:r>
          </w:p>
        </w:tc>
        <w:tc>
          <w:tcPr>
            <w:tcW w:w="1796" w:type="dxa"/>
          </w:tcPr>
          <w:p w:rsidR="00741218" w:rsidRPr="007320BF" w:rsidRDefault="00741218" w:rsidP="00881E23">
            <w:pPr>
              <w:widowControl w:val="0"/>
              <w:spacing w:line="259" w:lineRule="auto"/>
              <w:contextualSpacing/>
              <w:jc w:val="center"/>
              <w:rPr>
                <w:sz w:val="22"/>
                <w:szCs w:val="22"/>
                <w:lang w:val="uk-UA"/>
              </w:rPr>
            </w:pPr>
          </w:p>
        </w:tc>
        <w:tc>
          <w:tcPr>
            <w:tcW w:w="987" w:type="dxa"/>
          </w:tcPr>
          <w:p w:rsidR="00741218" w:rsidRPr="007320BF" w:rsidRDefault="00741218" w:rsidP="00881E23">
            <w:pPr>
              <w:widowControl w:val="0"/>
              <w:spacing w:line="259" w:lineRule="auto"/>
              <w:contextualSpacing/>
              <w:jc w:val="center"/>
              <w:rPr>
                <w:sz w:val="22"/>
                <w:szCs w:val="22"/>
                <w:lang w:val="uk-UA"/>
              </w:rPr>
            </w:pPr>
            <w:r>
              <w:rPr>
                <w:sz w:val="22"/>
                <w:szCs w:val="22"/>
                <w:lang w:val="uk-UA"/>
              </w:rPr>
              <w:t>послуга</w:t>
            </w:r>
          </w:p>
        </w:tc>
        <w:tc>
          <w:tcPr>
            <w:tcW w:w="1281" w:type="dxa"/>
          </w:tcPr>
          <w:p w:rsidR="00741218" w:rsidRPr="007320BF" w:rsidRDefault="00741218" w:rsidP="00881E23">
            <w:pPr>
              <w:widowControl w:val="0"/>
              <w:spacing w:line="259" w:lineRule="auto"/>
              <w:contextualSpacing/>
              <w:jc w:val="center"/>
              <w:rPr>
                <w:sz w:val="22"/>
                <w:szCs w:val="22"/>
                <w:lang w:val="uk-UA"/>
              </w:rPr>
            </w:pPr>
            <w:r w:rsidRPr="007320BF">
              <w:rPr>
                <w:sz w:val="22"/>
                <w:szCs w:val="22"/>
                <w:lang w:val="uk-UA"/>
              </w:rPr>
              <w:t>2</w:t>
            </w:r>
          </w:p>
        </w:tc>
        <w:tc>
          <w:tcPr>
            <w:tcW w:w="3407" w:type="dxa"/>
          </w:tcPr>
          <w:p w:rsidR="00741218" w:rsidRPr="007320BF" w:rsidRDefault="00741218" w:rsidP="00881E23">
            <w:pPr>
              <w:widowControl w:val="0"/>
              <w:spacing w:line="259" w:lineRule="auto"/>
              <w:contextualSpacing/>
              <w:jc w:val="both"/>
              <w:rPr>
                <w:i/>
                <w:sz w:val="22"/>
                <w:szCs w:val="22"/>
                <w:lang w:val="uk-UA"/>
              </w:rPr>
            </w:pPr>
            <w:r w:rsidRPr="007320BF">
              <w:rPr>
                <w:sz w:val="22"/>
                <w:szCs w:val="22"/>
                <w:shd w:val="clear" w:color="auto" w:fill="FFFFFF"/>
                <w:lang w:val="uk-UA"/>
              </w:rPr>
              <w:t>Здійснення перевезення небезпечних відходів вантажними автомобілями</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741218">
      <w:headerReference w:type="even" r:id="rId9"/>
      <w:headerReference w:type="default" r:id="rId10"/>
      <w:footerReference w:type="default" r:id="rId11"/>
      <w:pgSz w:w="11906" w:h="16838"/>
      <w:pgMar w:top="567" w:right="567" w:bottom="567" w:left="1134" w:header="709" w:footer="2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CA" w:rsidRDefault="008F09CA">
      <w:r>
        <w:separator/>
      </w:r>
    </w:p>
  </w:endnote>
  <w:endnote w:type="continuationSeparator" w:id="0">
    <w:p w:rsidR="008F09CA" w:rsidRDefault="008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0302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4087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3738B">
      <w:rPr>
        <w:sz w:val="20"/>
        <w:szCs w:val="20"/>
        <w:lang w:val="uk-UA"/>
      </w:rPr>
      <w:t xml:space="preserve">Послуги із здійснення операцій поводження з небезпечними відходами та хімічними речовинами, код ДК 021:2015 - 90520000-8 - Послуги у сфері поводження з радіоактивними, токсичними, медичними та небезпечними відходами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0302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0302C">
      <w:rPr>
        <w:bCs/>
        <w:noProof/>
        <w:sz w:val="20"/>
        <w:szCs w:val="20"/>
      </w:rPr>
      <w:t>9</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CA" w:rsidRDefault="008F09CA">
      <w:r>
        <w:separator/>
      </w:r>
    </w:p>
  </w:footnote>
  <w:footnote w:type="continuationSeparator" w:id="0">
    <w:p w:rsidR="008F09CA" w:rsidRDefault="008F0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0302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A76A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rJAIAAD8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ON5UOs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C0FF6"/>
    <w:multiLevelType w:val="hybridMultilevel"/>
    <w:tmpl w:val="0D4A3F1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302C"/>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38B"/>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1218"/>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09CA"/>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E5266"/>
  <w15:chartTrackingRefBased/>
  <w15:docId w15:val="{2809B7AE-CF81-46BD-A253-50CE0408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F6E6-A4EE-4BCC-9FEA-C1FD98CC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8745</Words>
  <Characters>4986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2023-05-23T14:16:00Z</dcterms:created>
  <dcterms:modified xsi:type="dcterms:W3CDTF">2023-05-23T14:16:00Z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