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4E3093"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B90DA7" w:rsidRDefault="004072F7" w:rsidP="00B90DA7">
            <w:pPr>
              <w:widowControl w:val="0"/>
              <w:ind w:right="-11"/>
              <w:jc w:val="center"/>
              <w:rPr>
                <w:sz w:val="22"/>
                <w:szCs w:val="22"/>
                <w:lang w:val="uk-UA" w:eastAsia="uk-UA"/>
              </w:rPr>
            </w:pPr>
            <w:r w:rsidRPr="00B90DA7">
              <w:rPr>
                <w:sz w:val="22"/>
                <w:szCs w:val="22"/>
                <w:lang w:val="uk-UA"/>
              </w:rPr>
              <w:t>п.</w:t>
            </w:r>
            <w:r w:rsidR="00A76484" w:rsidRPr="00B90DA7">
              <w:rPr>
                <w:sz w:val="22"/>
                <w:szCs w:val="22"/>
                <w:lang w:val="uk-UA"/>
              </w:rPr>
              <w:t xml:space="preserve"> </w:t>
            </w:r>
            <w:r w:rsidR="00A100AF" w:rsidRPr="00B90DA7">
              <w:rPr>
                <w:sz w:val="22"/>
                <w:szCs w:val="22"/>
                <w:lang w:val="uk-UA"/>
              </w:rPr>
              <w:t xml:space="preserve">20.03 </w:t>
            </w:r>
            <w:r w:rsidR="00BD6E95" w:rsidRPr="00B90DA7">
              <w:rPr>
                <w:sz w:val="22"/>
                <w:szCs w:val="22"/>
                <w:lang w:val="uk-UA" w:eastAsia="uk-UA"/>
              </w:rPr>
              <w:t>(202</w:t>
            </w:r>
            <w:r w:rsidR="004E76E1" w:rsidRPr="00B90DA7">
              <w:rPr>
                <w:sz w:val="22"/>
                <w:szCs w:val="22"/>
                <w:lang w:val="uk-UA" w:eastAsia="uk-UA"/>
              </w:rPr>
              <w:t>3</w:t>
            </w:r>
            <w:r w:rsidR="00A76484" w:rsidRPr="00B90DA7">
              <w:rPr>
                <w:sz w:val="22"/>
                <w:szCs w:val="22"/>
                <w:lang w:val="uk-UA" w:eastAsia="uk-UA"/>
              </w:rPr>
              <w:t>)</w:t>
            </w:r>
          </w:p>
        </w:tc>
        <w:tc>
          <w:tcPr>
            <w:tcW w:w="1527" w:type="pct"/>
          </w:tcPr>
          <w:p w:rsidR="00A76484" w:rsidRPr="00B90DA7" w:rsidRDefault="00A100AF" w:rsidP="00A12478">
            <w:pPr>
              <w:widowControl w:val="0"/>
              <w:rPr>
                <w:bCs/>
                <w:sz w:val="22"/>
                <w:szCs w:val="22"/>
                <w:lang w:val="uk-UA"/>
              </w:rPr>
            </w:pPr>
            <w:r w:rsidRPr="00B90DA7">
              <w:rPr>
                <w:b/>
                <w:sz w:val="22"/>
                <w:szCs w:val="22"/>
                <w:lang w:val="uk-UA"/>
              </w:rPr>
              <w:t xml:space="preserve">Обов’язкове особисте страхування працівників служби аварійно-рятувального та протипожежного забезпечення польотів, </w:t>
            </w:r>
            <w:r w:rsidRPr="00B90DA7">
              <w:rPr>
                <w:sz w:val="22"/>
                <w:szCs w:val="22"/>
                <w:lang w:val="uk-UA"/>
              </w:rPr>
              <w:t>код ДК 021:2015 - 66510000-8 - Страхові послуги</w:t>
            </w:r>
            <w:r w:rsidRPr="00B90DA7">
              <w:rPr>
                <w:b/>
                <w:sz w:val="22"/>
                <w:szCs w:val="22"/>
                <w:lang w:val="uk-UA"/>
              </w:rPr>
              <w:t xml:space="preserve"> </w:t>
            </w:r>
          </w:p>
        </w:tc>
        <w:tc>
          <w:tcPr>
            <w:tcW w:w="947" w:type="pct"/>
          </w:tcPr>
          <w:p w:rsidR="00A76484" w:rsidRPr="00B90DA7" w:rsidRDefault="00A100AF" w:rsidP="002D4D30">
            <w:pPr>
              <w:widowControl w:val="0"/>
              <w:jc w:val="center"/>
              <w:rPr>
                <w:sz w:val="22"/>
                <w:szCs w:val="22"/>
                <w:lang w:val="uk-UA"/>
              </w:rPr>
            </w:pPr>
            <w:r w:rsidRPr="00B90DA7">
              <w:rPr>
                <w:sz w:val="22"/>
                <w:szCs w:val="22"/>
                <w:lang w:val="uk-UA"/>
              </w:rPr>
              <w:t>150 000,00</w:t>
            </w:r>
            <w:r w:rsidR="00A76484" w:rsidRPr="00B90DA7">
              <w:rPr>
                <w:sz w:val="22"/>
                <w:szCs w:val="22"/>
                <w:lang w:val="uk-UA"/>
              </w:rPr>
              <w:t xml:space="preserve"> </w:t>
            </w:r>
          </w:p>
          <w:p w:rsidR="00A76484" w:rsidRPr="00B90DA7" w:rsidRDefault="00A76484" w:rsidP="002D4D30">
            <w:pPr>
              <w:widowControl w:val="0"/>
              <w:jc w:val="center"/>
              <w:rPr>
                <w:sz w:val="22"/>
                <w:szCs w:val="22"/>
                <w:lang w:val="uk-UA"/>
              </w:rPr>
            </w:pPr>
            <w:r w:rsidRPr="00B90DA7">
              <w:rPr>
                <w:sz w:val="22"/>
                <w:szCs w:val="22"/>
                <w:lang w:val="uk-UA"/>
              </w:rPr>
              <w:t>грн. з ПДВ</w:t>
            </w:r>
          </w:p>
        </w:tc>
        <w:tc>
          <w:tcPr>
            <w:tcW w:w="1102" w:type="pct"/>
          </w:tcPr>
          <w:p w:rsidR="00A76484" w:rsidRPr="00B90DA7" w:rsidRDefault="00A100AF" w:rsidP="002D4D30">
            <w:pPr>
              <w:widowControl w:val="0"/>
              <w:jc w:val="center"/>
              <w:rPr>
                <w:sz w:val="22"/>
                <w:szCs w:val="22"/>
                <w:lang w:val="uk-UA"/>
              </w:rPr>
            </w:pPr>
            <w:r w:rsidRPr="00B90DA7">
              <w:rPr>
                <w:sz w:val="22"/>
                <w:szCs w:val="22"/>
                <w:lang w:val="uk-UA"/>
              </w:rPr>
              <w:t>150 000,00</w:t>
            </w:r>
          </w:p>
          <w:p w:rsidR="00A76484" w:rsidRPr="00B90DA7" w:rsidRDefault="00A76484" w:rsidP="002D4D30">
            <w:pPr>
              <w:widowControl w:val="0"/>
              <w:jc w:val="center"/>
              <w:rPr>
                <w:sz w:val="22"/>
                <w:szCs w:val="22"/>
                <w:lang w:val="uk-UA"/>
              </w:rPr>
            </w:pPr>
            <w:r w:rsidRPr="00B90DA7">
              <w:rPr>
                <w:sz w:val="22"/>
                <w:szCs w:val="22"/>
                <w:lang w:val="uk-UA"/>
              </w:rPr>
              <w:t xml:space="preserve">грн. без ПДВ </w:t>
            </w:r>
          </w:p>
        </w:tc>
        <w:tc>
          <w:tcPr>
            <w:tcW w:w="936" w:type="pct"/>
          </w:tcPr>
          <w:p w:rsidR="00A76484" w:rsidRPr="007101A5" w:rsidRDefault="00A100AF" w:rsidP="002D4D30">
            <w:pPr>
              <w:widowControl w:val="0"/>
              <w:jc w:val="center"/>
              <w:rPr>
                <w:color w:val="0000FF"/>
                <w:sz w:val="22"/>
                <w:szCs w:val="22"/>
                <w:lang w:val="uk-UA"/>
              </w:rPr>
            </w:pPr>
            <w:r w:rsidRPr="00B90DA7">
              <w:rPr>
                <w:b/>
                <w:sz w:val="22"/>
                <w:szCs w:val="22"/>
                <w:lang w:val="uk-UA"/>
              </w:rPr>
              <w:t>UA-2023-05-22-009126-a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Borders>
          <w:top w:val="thickThinLargeGap" w:sz="6" w:space="0" w:color="000000"/>
          <w:left w:val="thickThinLargeGap" w:sz="6" w:space="0" w:color="000000"/>
          <w:bottom w:val="thickThinLargeGap" w:sz="6" w:space="0" w:color="000000"/>
          <w:right w:val="thickThinLargeGap" w:sz="6" w:space="0" w:color="000000"/>
          <w:insideH w:val="thickThinLargeGap" w:sz="6" w:space="0" w:color="000000"/>
          <w:insideV w:val="thickThinLargeGap" w:sz="6" w:space="0" w:color="000000"/>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B90DA7" w:rsidRPr="00B90DA7" w:rsidTr="00B90DA7">
        <w:tc>
          <w:tcPr>
            <w:tcW w:w="426" w:type="dxa"/>
            <w:shd w:val="clear" w:color="auto" w:fill="auto"/>
          </w:tcPr>
          <w:p w:rsidR="00B90DA7" w:rsidRPr="00B90DA7" w:rsidRDefault="00B90DA7" w:rsidP="00B90DA7">
            <w:pPr>
              <w:rPr>
                <w:lang w:val="uk-UA"/>
              </w:rPr>
            </w:pPr>
            <w:r w:rsidRPr="00B90DA7">
              <w:rPr>
                <w:lang w:val="uk-UA"/>
              </w:rPr>
              <w:t>1</w:t>
            </w:r>
          </w:p>
        </w:tc>
        <w:tc>
          <w:tcPr>
            <w:tcW w:w="2693" w:type="dxa"/>
            <w:shd w:val="clear" w:color="auto" w:fill="auto"/>
          </w:tcPr>
          <w:p w:rsidR="00B90DA7" w:rsidRPr="00B90DA7" w:rsidRDefault="00B90DA7" w:rsidP="00B90DA7">
            <w:pPr>
              <w:rPr>
                <w:lang w:val="uk-UA"/>
              </w:rPr>
            </w:pPr>
            <w:r w:rsidRPr="00B90DA7">
              <w:rPr>
                <w:lang w:val="uk-UA"/>
              </w:rPr>
              <w:t>Обґрунтування технічних та якісних характеристик предмета закупівлі</w:t>
            </w:r>
          </w:p>
        </w:tc>
        <w:tc>
          <w:tcPr>
            <w:tcW w:w="7087" w:type="dxa"/>
            <w:shd w:val="clear" w:color="auto" w:fill="auto"/>
          </w:tcPr>
          <w:p w:rsidR="00B90DA7" w:rsidRPr="00B90DA7" w:rsidRDefault="00B90DA7" w:rsidP="00B90DA7">
            <w:pPr>
              <w:widowControl w:val="0"/>
              <w:ind w:right="112" w:firstLine="368"/>
              <w:jc w:val="both"/>
              <w:rPr>
                <w:lang w:val="uk-UA"/>
              </w:rPr>
            </w:pPr>
            <w:r w:rsidRPr="00B90DA7">
              <w:rPr>
                <w:lang w:val="uk-UA"/>
              </w:rPr>
              <w:t>Технічні та якісні характеристики предмету закупівлі визначені Законом України від 07.03.1996 року № 85/96-ВР «Про страхування» та Постановою КМУ від 3 квітня 1995 р. N 232 «Про затвердження Положення про порядок і умови обов'язкового особистого страхування працівників відомчої та місцевої пожежної охорони і членів добровільних пожежних дружин (команд)».</w:t>
            </w:r>
          </w:p>
        </w:tc>
      </w:tr>
      <w:tr w:rsidR="00B90DA7" w:rsidRPr="00B90DA7" w:rsidTr="00B90DA7">
        <w:tc>
          <w:tcPr>
            <w:tcW w:w="426" w:type="dxa"/>
            <w:shd w:val="clear" w:color="auto" w:fill="auto"/>
          </w:tcPr>
          <w:p w:rsidR="00B90DA7" w:rsidRPr="00B90DA7" w:rsidRDefault="00B90DA7" w:rsidP="00B90DA7">
            <w:pPr>
              <w:rPr>
                <w:bCs/>
                <w:lang w:val="uk-UA"/>
              </w:rPr>
            </w:pPr>
            <w:r w:rsidRPr="00B90DA7">
              <w:rPr>
                <w:bCs/>
                <w:lang w:val="uk-UA"/>
              </w:rPr>
              <w:t>2</w:t>
            </w:r>
          </w:p>
        </w:tc>
        <w:tc>
          <w:tcPr>
            <w:tcW w:w="2693" w:type="dxa"/>
            <w:shd w:val="clear" w:color="auto" w:fill="auto"/>
          </w:tcPr>
          <w:p w:rsidR="00B90DA7" w:rsidRPr="00B90DA7" w:rsidRDefault="00B90DA7" w:rsidP="00B90DA7">
            <w:pPr>
              <w:rPr>
                <w:lang w:val="uk-UA"/>
              </w:rPr>
            </w:pPr>
            <w:r w:rsidRPr="00B90DA7">
              <w:rPr>
                <w:lang w:val="uk-UA"/>
              </w:rPr>
              <w:t>Обґрунтування очікуваної вартості предмета закупівлі</w:t>
            </w:r>
          </w:p>
        </w:tc>
        <w:tc>
          <w:tcPr>
            <w:tcW w:w="7087" w:type="dxa"/>
            <w:shd w:val="clear" w:color="auto" w:fill="auto"/>
          </w:tcPr>
          <w:p w:rsidR="00B90DA7" w:rsidRPr="00B90DA7" w:rsidRDefault="00B90DA7" w:rsidP="00B90DA7">
            <w:pPr>
              <w:widowControl w:val="0"/>
              <w:ind w:right="112" w:firstLine="368"/>
              <w:jc w:val="both"/>
              <w:rPr>
                <w:lang w:val="uk-UA"/>
              </w:rPr>
            </w:pPr>
            <w:r w:rsidRPr="00B90DA7">
              <w:rPr>
                <w:lang w:val="uk-UA"/>
              </w:rPr>
              <w:t>Визначення очікуваної вартості здійснено на підставі Положення про порядок визначення очікуваної вартості предмета закупівлі, затвердженого н</w:t>
            </w:r>
            <w:bookmarkStart w:id="0" w:name="_GoBack"/>
            <w:bookmarkEnd w:id="0"/>
            <w:r w:rsidRPr="00B90DA7">
              <w:rPr>
                <w:lang w:val="uk-UA"/>
              </w:rPr>
              <w:t>аказом Генерального директора від 17.05.2022 №50-06-1, методом порівняння ринкових цін на підставі отриманих цінових  пропозицій.</w:t>
            </w:r>
          </w:p>
        </w:tc>
      </w:tr>
      <w:tr w:rsidR="00B90DA7" w:rsidRPr="007101A5" w:rsidTr="00B90DA7">
        <w:tc>
          <w:tcPr>
            <w:tcW w:w="426" w:type="dxa"/>
            <w:shd w:val="clear" w:color="auto" w:fill="auto"/>
          </w:tcPr>
          <w:p w:rsidR="00B90DA7" w:rsidRPr="007101A5" w:rsidRDefault="00B90DA7" w:rsidP="00B90DA7">
            <w:pPr>
              <w:rPr>
                <w:bCs/>
                <w:lang w:val="uk-UA"/>
              </w:rPr>
            </w:pPr>
            <w:r w:rsidRPr="007101A5">
              <w:rPr>
                <w:bCs/>
                <w:lang w:val="uk-UA"/>
              </w:rPr>
              <w:t>3</w:t>
            </w:r>
          </w:p>
        </w:tc>
        <w:tc>
          <w:tcPr>
            <w:tcW w:w="2693" w:type="dxa"/>
            <w:shd w:val="clear" w:color="auto" w:fill="auto"/>
          </w:tcPr>
          <w:p w:rsidR="00B90DA7" w:rsidRPr="007101A5" w:rsidRDefault="00B90DA7" w:rsidP="00B90DA7">
            <w:pPr>
              <w:rPr>
                <w:lang w:val="uk-UA"/>
              </w:rPr>
            </w:pPr>
            <w:r w:rsidRPr="007101A5">
              <w:rPr>
                <w:lang w:val="uk-UA"/>
              </w:rPr>
              <w:t>Інша інформація</w:t>
            </w:r>
          </w:p>
        </w:tc>
        <w:tc>
          <w:tcPr>
            <w:tcW w:w="7087" w:type="dxa"/>
            <w:shd w:val="clear" w:color="auto" w:fill="auto"/>
          </w:tcPr>
          <w:p w:rsidR="00B90DA7" w:rsidRPr="007101A5" w:rsidRDefault="00B90DA7" w:rsidP="00B90DA7">
            <w:pPr>
              <w:rPr>
                <w:i/>
                <w:lang w:val="uk-UA"/>
              </w:rPr>
            </w:pPr>
            <w:r>
              <w:rPr>
                <w:i/>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30" w:type="dxa"/>
          <w:left w:w="60" w:type="dxa"/>
          <w:bottom w:w="30" w:type="dxa"/>
          <w:right w:w="30" w:type="dxa"/>
        </w:tblCellMar>
        <w:tblLook w:val="0000" w:firstRow="0" w:lastRow="0" w:firstColumn="0" w:lastColumn="0" w:noHBand="0" w:noVBand="0"/>
      </w:tblPr>
      <w:tblGrid>
        <w:gridCol w:w="633"/>
        <w:gridCol w:w="2000"/>
        <w:gridCol w:w="1134"/>
        <w:gridCol w:w="1134"/>
        <w:gridCol w:w="5306"/>
      </w:tblGrid>
      <w:tr w:rsidR="00B90DA7" w:rsidRPr="00370B69" w:rsidTr="000A7F03">
        <w:trPr>
          <w:trHeight w:val="432"/>
        </w:trPr>
        <w:tc>
          <w:tcPr>
            <w:tcW w:w="633" w:type="dxa"/>
            <w:shd w:val="clear" w:color="auto" w:fill="BDD6EE" w:themeFill="accent1" w:themeFillTint="66"/>
          </w:tcPr>
          <w:p w:rsidR="00B90DA7" w:rsidRPr="00C66583" w:rsidRDefault="00B90DA7" w:rsidP="000A7F03">
            <w:pPr>
              <w:widowControl w:val="0"/>
              <w:jc w:val="center"/>
              <w:rPr>
                <w:b/>
                <w:sz w:val="22"/>
                <w:szCs w:val="22"/>
                <w:lang w:val="uk-UA"/>
              </w:rPr>
            </w:pPr>
            <w:r w:rsidRPr="00C66583">
              <w:rPr>
                <w:b/>
                <w:sz w:val="22"/>
                <w:szCs w:val="22"/>
                <w:lang w:val="uk-UA"/>
              </w:rPr>
              <w:lastRenderedPageBreak/>
              <w:t>№ п/п</w:t>
            </w:r>
          </w:p>
        </w:tc>
        <w:tc>
          <w:tcPr>
            <w:tcW w:w="2000" w:type="dxa"/>
            <w:shd w:val="clear" w:color="auto" w:fill="BDD6EE" w:themeFill="accent1" w:themeFillTint="66"/>
          </w:tcPr>
          <w:p w:rsidR="00B90DA7" w:rsidRPr="00370B69" w:rsidRDefault="00B90DA7" w:rsidP="000A7F03">
            <w:pPr>
              <w:widowControl w:val="0"/>
              <w:jc w:val="center"/>
              <w:rPr>
                <w:b/>
                <w:sz w:val="22"/>
                <w:szCs w:val="22"/>
                <w:lang w:val="uk-UA"/>
              </w:rPr>
            </w:pPr>
            <w:r w:rsidRPr="00370B69">
              <w:rPr>
                <w:b/>
                <w:bCs/>
                <w:sz w:val="22"/>
                <w:szCs w:val="22"/>
                <w:lang w:val="uk-UA"/>
              </w:rPr>
              <w:t>Найменування послуг</w:t>
            </w:r>
            <w:r>
              <w:rPr>
                <w:b/>
                <w:bCs/>
                <w:sz w:val="22"/>
                <w:szCs w:val="22"/>
                <w:lang w:val="uk-UA"/>
              </w:rPr>
              <w:t>и</w:t>
            </w:r>
          </w:p>
        </w:tc>
        <w:tc>
          <w:tcPr>
            <w:tcW w:w="1134" w:type="dxa"/>
            <w:shd w:val="clear" w:color="auto" w:fill="BDD6EE" w:themeFill="accent1" w:themeFillTint="66"/>
          </w:tcPr>
          <w:p w:rsidR="00B90DA7" w:rsidRPr="00370B69" w:rsidRDefault="00B90DA7" w:rsidP="000A7F03">
            <w:pPr>
              <w:widowControl w:val="0"/>
              <w:jc w:val="center"/>
              <w:rPr>
                <w:b/>
                <w:sz w:val="22"/>
                <w:szCs w:val="22"/>
                <w:lang w:val="uk-UA"/>
              </w:rPr>
            </w:pPr>
            <w:r w:rsidRPr="00370B69">
              <w:rPr>
                <w:b/>
                <w:sz w:val="22"/>
                <w:szCs w:val="22"/>
                <w:lang w:val="uk-UA"/>
              </w:rPr>
              <w:t>Одиниця</w:t>
            </w:r>
          </w:p>
          <w:p w:rsidR="00B90DA7" w:rsidRPr="00370B69" w:rsidRDefault="00B90DA7" w:rsidP="000A7F03">
            <w:pPr>
              <w:widowControl w:val="0"/>
              <w:jc w:val="center"/>
              <w:rPr>
                <w:b/>
                <w:sz w:val="22"/>
                <w:szCs w:val="22"/>
                <w:lang w:val="uk-UA"/>
              </w:rPr>
            </w:pPr>
            <w:r w:rsidRPr="00370B69">
              <w:rPr>
                <w:b/>
                <w:sz w:val="22"/>
                <w:szCs w:val="22"/>
                <w:lang w:val="uk-UA"/>
              </w:rPr>
              <w:t>виміру</w:t>
            </w:r>
          </w:p>
        </w:tc>
        <w:tc>
          <w:tcPr>
            <w:tcW w:w="1134" w:type="dxa"/>
            <w:shd w:val="clear" w:color="auto" w:fill="BDD6EE" w:themeFill="accent1" w:themeFillTint="66"/>
          </w:tcPr>
          <w:p w:rsidR="00B90DA7" w:rsidRPr="00370B69" w:rsidRDefault="00B90DA7" w:rsidP="000A7F03">
            <w:pPr>
              <w:widowControl w:val="0"/>
              <w:jc w:val="center"/>
              <w:rPr>
                <w:b/>
                <w:sz w:val="22"/>
                <w:szCs w:val="22"/>
                <w:lang w:val="uk-UA"/>
              </w:rPr>
            </w:pPr>
            <w:r w:rsidRPr="00370B69">
              <w:rPr>
                <w:b/>
                <w:sz w:val="22"/>
                <w:szCs w:val="22"/>
                <w:lang w:val="uk-UA"/>
              </w:rPr>
              <w:t>Кількість</w:t>
            </w:r>
          </w:p>
        </w:tc>
        <w:tc>
          <w:tcPr>
            <w:tcW w:w="5306" w:type="dxa"/>
            <w:shd w:val="clear" w:color="auto" w:fill="BDD6EE" w:themeFill="accent1" w:themeFillTint="66"/>
          </w:tcPr>
          <w:p w:rsidR="00B90DA7" w:rsidRPr="00C66583" w:rsidRDefault="00B90DA7" w:rsidP="000A7F03">
            <w:pPr>
              <w:widowControl w:val="0"/>
              <w:jc w:val="center"/>
              <w:rPr>
                <w:b/>
                <w:sz w:val="22"/>
                <w:szCs w:val="22"/>
                <w:lang w:val="uk-UA"/>
              </w:rPr>
            </w:pPr>
            <w:r w:rsidRPr="00C66583">
              <w:rPr>
                <w:b/>
                <w:sz w:val="22"/>
                <w:szCs w:val="22"/>
                <w:lang w:val="uk-UA"/>
              </w:rPr>
              <w:t>Технічні та якісні характеристики предмета закупівлі</w:t>
            </w:r>
          </w:p>
          <w:p w:rsidR="00B90DA7" w:rsidRPr="00370B69" w:rsidRDefault="00B90DA7" w:rsidP="000A7F03">
            <w:pPr>
              <w:widowControl w:val="0"/>
              <w:jc w:val="center"/>
              <w:rPr>
                <w:b/>
                <w:sz w:val="22"/>
                <w:szCs w:val="22"/>
                <w:lang w:val="uk-UA"/>
              </w:rPr>
            </w:pPr>
            <w:r w:rsidRPr="00C66583">
              <w:rPr>
                <w:b/>
                <w:sz w:val="22"/>
                <w:szCs w:val="22"/>
                <w:lang w:val="uk-UA"/>
              </w:rPr>
              <w:t>(Технічна специфікація)</w:t>
            </w:r>
          </w:p>
        </w:tc>
      </w:tr>
      <w:tr w:rsidR="00B90DA7" w:rsidRPr="001E7FA1" w:rsidTr="000A7F03">
        <w:trPr>
          <w:trHeight w:val="2765"/>
        </w:trPr>
        <w:tc>
          <w:tcPr>
            <w:tcW w:w="633" w:type="dxa"/>
            <w:shd w:val="clear" w:color="auto" w:fill="FFFFFF" w:themeFill="background1"/>
          </w:tcPr>
          <w:p w:rsidR="00B90DA7" w:rsidRPr="00370B69" w:rsidRDefault="00B90DA7" w:rsidP="000A7F03">
            <w:pPr>
              <w:suppressAutoHyphens/>
              <w:jc w:val="center"/>
              <w:rPr>
                <w:b/>
                <w:bCs/>
                <w:sz w:val="22"/>
                <w:szCs w:val="22"/>
                <w:lang w:val="uk-UA"/>
              </w:rPr>
            </w:pPr>
            <w:r w:rsidRPr="00370B69">
              <w:rPr>
                <w:sz w:val="22"/>
                <w:szCs w:val="22"/>
                <w:lang w:val="uk-UA"/>
              </w:rPr>
              <w:t>1</w:t>
            </w:r>
          </w:p>
        </w:tc>
        <w:tc>
          <w:tcPr>
            <w:tcW w:w="2000" w:type="dxa"/>
            <w:shd w:val="clear" w:color="auto" w:fill="FFFFFF" w:themeFill="background1"/>
          </w:tcPr>
          <w:p w:rsidR="00B90DA7" w:rsidRPr="00370B69" w:rsidRDefault="00B90DA7" w:rsidP="000A7F03">
            <w:pPr>
              <w:suppressAutoHyphens/>
              <w:jc w:val="center"/>
              <w:rPr>
                <w:sz w:val="22"/>
                <w:szCs w:val="22"/>
                <w:lang w:val="uk-UA"/>
              </w:rPr>
            </w:pPr>
            <w:r w:rsidRPr="00370B69">
              <w:rPr>
                <w:sz w:val="22"/>
                <w:szCs w:val="22"/>
                <w:lang w:val="uk-UA" w:eastAsia="uk-UA"/>
              </w:rPr>
              <w:t>Обов'язкове особисте страхування працівників служби аварійно-рятувального та протипожежного забезпечення польотів</w:t>
            </w:r>
          </w:p>
        </w:tc>
        <w:tc>
          <w:tcPr>
            <w:tcW w:w="1134" w:type="dxa"/>
            <w:shd w:val="clear" w:color="auto" w:fill="FFFFFF" w:themeFill="background1"/>
          </w:tcPr>
          <w:p w:rsidR="00B90DA7" w:rsidRPr="00370B69" w:rsidRDefault="00B90DA7" w:rsidP="000A7F03">
            <w:pPr>
              <w:suppressAutoHyphens/>
              <w:jc w:val="center"/>
              <w:rPr>
                <w:sz w:val="22"/>
                <w:szCs w:val="22"/>
                <w:lang w:val="uk-UA"/>
              </w:rPr>
            </w:pPr>
            <w:r w:rsidRPr="00370B69">
              <w:rPr>
                <w:sz w:val="22"/>
                <w:szCs w:val="22"/>
                <w:lang w:val="uk-UA"/>
              </w:rPr>
              <w:t>послуга</w:t>
            </w:r>
          </w:p>
        </w:tc>
        <w:tc>
          <w:tcPr>
            <w:tcW w:w="1134" w:type="dxa"/>
            <w:shd w:val="clear" w:color="auto" w:fill="FFFFFF" w:themeFill="background1"/>
          </w:tcPr>
          <w:p w:rsidR="00B90DA7" w:rsidRPr="00370B69" w:rsidRDefault="00B90DA7" w:rsidP="000A7F03">
            <w:pPr>
              <w:suppressAutoHyphens/>
              <w:jc w:val="center"/>
              <w:rPr>
                <w:sz w:val="22"/>
                <w:szCs w:val="22"/>
                <w:lang w:val="uk-UA"/>
              </w:rPr>
            </w:pPr>
            <w:r w:rsidRPr="00370B69">
              <w:rPr>
                <w:sz w:val="22"/>
                <w:szCs w:val="22"/>
                <w:lang w:val="uk-UA"/>
              </w:rPr>
              <w:t>1</w:t>
            </w:r>
          </w:p>
        </w:tc>
        <w:tc>
          <w:tcPr>
            <w:tcW w:w="5306" w:type="dxa"/>
            <w:shd w:val="clear" w:color="auto" w:fill="FFFFFF" w:themeFill="background1"/>
          </w:tcPr>
          <w:p w:rsidR="00B90DA7" w:rsidRDefault="00B90DA7" w:rsidP="000A7F03">
            <w:pPr>
              <w:widowControl w:val="0"/>
              <w:jc w:val="center"/>
              <w:rPr>
                <w:sz w:val="22"/>
                <w:szCs w:val="22"/>
                <w:lang w:val="uk-UA"/>
              </w:rPr>
            </w:pPr>
            <w:r w:rsidRPr="002310A3">
              <w:rPr>
                <w:sz w:val="22"/>
                <w:szCs w:val="22"/>
                <w:lang w:val="uk-UA"/>
              </w:rPr>
              <w:t xml:space="preserve">Обов'язкове особисте страхування працівників служби аварійно-рятувального та протипожежного забезпечення польотів ДП МА «БОРИСПІЛЬ» (далі – </w:t>
            </w:r>
            <w:proofErr w:type="spellStart"/>
            <w:r w:rsidRPr="002310A3">
              <w:rPr>
                <w:sz w:val="22"/>
                <w:szCs w:val="22"/>
                <w:lang w:val="uk-UA"/>
              </w:rPr>
              <w:t>САРтаПЗП</w:t>
            </w:r>
            <w:proofErr w:type="spellEnd"/>
            <w:r w:rsidRPr="002310A3">
              <w:rPr>
                <w:sz w:val="22"/>
                <w:szCs w:val="22"/>
                <w:lang w:val="uk-UA"/>
              </w:rPr>
              <w:t xml:space="preserve">) </w:t>
            </w:r>
          </w:p>
          <w:p w:rsidR="00B90DA7" w:rsidRPr="002310A3" w:rsidRDefault="00B90DA7" w:rsidP="000A7F03">
            <w:pPr>
              <w:widowControl w:val="0"/>
              <w:jc w:val="center"/>
              <w:rPr>
                <w:sz w:val="22"/>
                <w:szCs w:val="22"/>
                <w:lang w:val="uk-UA" w:eastAsia="uk-UA"/>
              </w:rPr>
            </w:pPr>
            <w:r w:rsidRPr="002310A3">
              <w:rPr>
                <w:b/>
                <w:sz w:val="22"/>
                <w:szCs w:val="22"/>
                <w:lang w:val="uk-UA"/>
              </w:rPr>
              <w:t>в</w:t>
            </w:r>
            <w:r w:rsidRPr="002310A3">
              <w:rPr>
                <w:sz w:val="22"/>
                <w:szCs w:val="22"/>
                <w:lang w:val="uk-UA"/>
              </w:rPr>
              <w:t xml:space="preserve"> </w:t>
            </w:r>
            <w:r w:rsidRPr="002310A3">
              <w:rPr>
                <w:b/>
                <w:sz w:val="22"/>
                <w:szCs w:val="22"/>
                <w:lang w:val="uk-UA"/>
              </w:rPr>
              <w:t xml:space="preserve">кількості </w:t>
            </w:r>
            <w:r w:rsidRPr="002310A3">
              <w:rPr>
                <w:b/>
                <w:sz w:val="22"/>
                <w:szCs w:val="22"/>
                <w:lang w:val="uk-UA" w:eastAsia="uk-UA"/>
              </w:rPr>
              <w:t>122 людини</w:t>
            </w:r>
            <w:r w:rsidRPr="002310A3">
              <w:rPr>
                <w:sz w:val="22"/>
                <w:szCs w:val="22"/>
                <w:lang w:val="uk-UA" w:eastAsia="uk-UA"/>
              </w:rPr>
              <w:t>.</w:t>
            </w:r>
          </w:p>
          <w:p w:rsidR="00B90DA7" w:rsidRPr="002310A3" w:rsidRDefault="00B90DA7" w:rsidP="000A7F03">
            <w:pPr>
              <w:jc w:val="center"/>
              <w:rPr>
                <w:sz w:val="22"/>
                <w:szCs w:val="22"/>
                <w:lang w:val="uk-UA"/>
              </w:rPr>
            </w:pPr>
            <w:r w:rsidRPr="002310A3">
              <w:rPr>
                <w:sz w:val="22"/>
                <w:szCs w:val="22"/>
                <w:lang w:val="uk-UA"/>
              </w:rPr>
              <w:t xml:space="preserve">Надання послуг здійснюється згідно з вимогами </w:t>
            </w:r>
            <w:r w:rsidRPr="002310A3">
              <w:rPr>
                <w:sz w:val="22"/>
                <w:szCs w:val="22"/>
                <w:lang w:val="uk-UA" w:eastAsia="uk-UA"/>
              </w:rPr>
              <w:t>Закону України від 07.03.1996 року № 85/96-ВР «Про страхування» та Постанови КМУ від 3 квітня 1995 р. N 232 «Про затвердження Положення про порядок і умови обов'язкового особистого страхування працівників відомчої та місцевої пожежної охорони і членів добровільних пожежних дружин (команд)».</w:t>
            </w:r>
          </w:p>
        </w:tc>
      </w:tr>
    </w:tbl>
    <w:p w:rsidR="006F428D" w:rsidRPr="007101A5" w:rsidRDefault="006F428D" w:rsidP="00A12478">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1CA" w:rsidRDefault="002421CA">
      <w:r>
        <w:separator/>
      </w:r>
    </w:p>
  </w:endnote>
  <w:endnote w:type="continuationSeparator" w:id="0">
    <w:p w:rsidR="002421CA" w:rsidRDefault="0024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4E309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6EEC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100AF">
      <w:rPr>
        <w:sz w:val="20"/>
        <w:szCs w:val="20"/>
        <w:lang w:val="uk-UA"/>
      </w:rPr>
      <w:t xml:space="preserve">Обов’язкове особисте страхування працівників служби аварійно-рятувального та протипожежного забезпечення польотів, код ДК 021:2015 - 66510000-8 - Страхові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90DA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90DA7">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1CA" w:rsidRDefault="002421CA">
      <w:r>
        <w:separator/>
      </w:r>
    </w:p>
  </w:footnote>
  <w:footnote w:type="continuationSeparator" w:id="0">
    <w:p w:rsidR="002421CA" w:rsidRDefault="002421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4E309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AC3B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21CA"/>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3093"/>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0A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DA7"/>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BF80"/>
  <w15:chartTrackingRefBased/>
  <w15:docId w15:val="{A724E03D-17D9-4A6A-B92C-F1B556DC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24CD-8A47-4F65-B36E-3444B359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1822</Words>
  <Characters>1040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2023-05-22T12:14:00Z</dcterms:created>
  <dcterms:modified xsi:type="dcterms:W3CDTF">2023-05-22T12:16:00Z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