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010FE" w:rsidP="006926A0">
            <w:pPr>
              <w:pStyle w:val="a3"/>
              <w:widowControl w:val="0"/>
              <w:rPr>
                <w:szCs w:val="17"/>
                <w:lang w:val="uk-UA"/>
              </w:rPr>
            </w:pPr>
            <w:r>
              <w:rPr>
                <w:noProof/>
                <w:lang w:val="ru-RU"/>
              </w:rPr>
              <w:drawing>
                <wp:inline distT="0" distB="0" distL="0" distR="0">
                  <wp:extent cx="144716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B07C36">
        <w:trPr>
          <w:trHeight w:val="1667"/>
        </w:trPr>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144E6" w:rsidRPr="007101A5" w:rsidTr="00212515">
        <w:tc>
          <w:tcPr>
            <w:tcW w:w="487" w:type="pct"/>
          </w:tcPr>
          <w:p w:rsidR="009144E6" w:rsidRPr="0006640D" w:rsidRDefault="009144E6" w:rsidP="009144E6">
            <w:pPr>
              <w:widowControl w:val="0"/>
              <w:ind w:right="-11"/>
              <w:jc w:val="center"/>
              <w:rPr>
                <w:sz w:val="22"/>
                <w:szCs w:val="22"/>
                <w:lang w:val="uk-UA" w:eastAsia="uk-UA"/>
              </w:rPr>
            </w:pPr>
            <w:r w:rsidRPr="0006640D">
              <w:rPr>
                <w:sz w:val="22"/>
                <w:szCs w:val="22"/>
                <w:lang w:val="uk-UA"/>
              </w:rPr>
              <w:t xml:space="preserve">5.02.1 </w:t>
            </w:r>
            <w:r w:rsidRPr="0006640D">
              <w:rPr>
                <w:sz w:val="22"/>
                <w:szCs w:val="22"/>
                <w:lang w:val="uk-UA" w:eastAsia="uk-UA"/>
              </w:rPr>
              <w:t>(2023)</w:t>
            </w:r>
          </w:p>
        </w:tc>
        <w:tc>
          <w:tcPr>
            <w:tcW w:w="1527" w:type="pct"/>
          </w:tcPr>
          <w:p w:rsidR="009144E6" w:rsidRPr="0006640D" w:rsidRDefault="009144E6" w:rsidP="009144E6">
            <w:pPr>
              <w:widowControl w:val="0"/>
              <w:rPr>
                <w:bCs/>
                <w:sz w:val="22"/>
                <w:szCs w:val="22"/>
                <w:lang w:val="uk-UA"/>
              </w:rPr>
            </w:pPr>
            <w:r w:rsidRPr="0006640D">
              <w:rPr>
                <w:b/>
                <w:sz w:val="22"/>
                <w:szCs w:val="22"/>
                <w:lang w:val="uk-UA"/>
              </w:rPr>
              <w:t xml:space="preserve">Продукція для чищення та прання, </w:t>
            </w:r>
            <w:r w:rsidRPr="005201AD">
              <w:rPr>
                <w:sz w:val="22"/>
                <w:szCs w:val="22"/>
                <w:lang w:val="uk-UA"/>
              </w:rPr>
              <w:t>код ДК 021:2015 - 39830000-9 - Продукція для чищення</w:t>
            </w:r>
            <w:r w:rsidRPr="0006640D">
              <w:rPr>
                <w:sz w:val="22"/>
                <w:szCs w:val="22"/>
                <w:lang w:val="uk-UA"/>
              </w:rPr>
              <w:t xml:space="preserve"> </w:t>
            </w:r>
          </w:p>
        </w:tc>
        <w:tc>
          <w:tcPr>
            <w:tcW w:w="947" w:type="pct"/>
          </w:tcPr>
          <w:p w:rsidR="009144E6" w:rsidRPr="0006640D" w:rsidRDefault="009144E6" w:rsidP="009144E6">
            <w:pPr>
              <w:widowControl w:val="0"/>
              <w:jc w:val="center"/>
              <w:rPr>
                <w:sz w:val="22"/>
                <w:szCs w:val="22"/>
                <w:lang w:val="uk-UA"/>
              </w:rPr>
            </w:pPr>
            <w:r w:rsidRPr="0006640D">
              <w:rPr>
                <w:sz w:val="22"/>
                <w:szCs w:val="22"/>
                <w:lang w:val="uk-UA"/>
              </w:rPr>
              <w:t xml:space="preserve">16 712,00 </w:t>
            </w:r>
          </w:p>
          <w:p w:rsidR="009144E6" w:rsidRPr="0006640D" w:rsidRDefault="009144E6" w:rsidP="009144E6">
            <w:pPr>
              <w:widowControl w:val="0"/>
              <w:jc w:val="center"/>
              <w:rPr>
                <w:sz w:val="22"/>
                <w:szCs w:val="22"/>
                <w:lang w:val="uk-UA"/>
              </w:rPr>
            </w:pPr>
            <w:r w:rsidRPr="0006640D">
              <w:rPr>
                <w:sz w:val="22"/>
                <w:szCs w:val="22"/>
                <w:lang w:val="uk-UA"/>
              </w:rPr>
              <w:t>грн. з ПДВ</w:t>
            </w:r>
          </w:p>
        </w:tc>
        <w:tc>
          <w:tcPr>
            <w:tcW w:w="1102" w:type="pct"/>
          </w:tcPr>
          <w:p w:rsidR="009144E6" w:rsidRPr="0006640D" w:rsidRDefault="009144E6" w:rsidP="009144E6">
            <w:pPr>
              <w:widowControl w:val="0"/>
              <w:jc w:val="center"/>
              <w:rPr>
                <w:sz w:val="22"/>
                <w:szCs w:val="22"/>
                <w:lang w:val="uk-UA"/>
              </w:rPr>
            </w:pPr>
            <w:r w:rsidRPr="0006640D">
              <w:rPr>
                <w:sz w:val="22"/>
                <w:szCs w:val="22"/>
                <w:lang w:val="uk-UA"/>
              </w:rPr>
              <w:t>13 926,67</w:t>
            </w:r>
          </w:p>
          <w:p w:rsidR="009144E6" w:rsidRPr="0006640D" w:rsidRDefault="009144E6" w:rsidP="009144E6">
            <w:pPr>
              <w:widowControl w:val="0"/>
              <w:jc w:val="center"/>
              <w:rPr>
                <w:sz w:val="22"/>
                <w:szCs w:val="22"/>
                <w:lang w:val="uk-UA"/>
              </w:rPr>
            </w:pPr>
            <w:r w:rsidRPr="0006640D">
              <w:rPr>
                <w:sz w:val="22"/>
                <w:szCs w:val="22"/>
                <w:lang w:val="uk-UA"/>
              </w:rPr>
              <w:t xml:space="preserve">грн. без ПДВ </w:t>
            </w:r>
          </w:p>
        </w:tc>
        <w:tc>
          <w:tcPr>
            <w:tcW w:w="936" w:type="pct"/>
          </w:tcPr>
          <w:p w:rsidR="009144E6" w:rsidRPr="00B07C36" w:rsidRDefault="00B07C36" w:rsidP="009144E6">
            <w:pPr>
              <w:widowControl w:val="0"/>
              <w:jc w:val="center"/>
              <w:rPr>
                <w:sz w:val="22"/>
                <w:szCs w:val="22"/>
                <w:lang w:val="uk-UA"/>
              </w:rPr>
            </w:pPr>
            <w:r w:rsidRPr="00B07C36">
              <w:rPr>
                <w:sz w:val="22"/>
                <w:szCs w:val="22"/>
                <w:lang w:val="uk-UA"/>
              </w:rPr>
              <w:t>UA-2023-05-23-007051-a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92E5E" w:rsidRPr="007101A5" w:rsidTr="00292E5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92E5E" w:rsidRPr="00292E5E" w:rsidRDefault="00292E5E" w:rsidP="00292E5E">
            <w:pPr>
              <w:widowControl w:val="0"/>
              <w:ind w:right="162" w:firstLine="368"/>
              <w:jc w:val="both"/>
              <w:rPr>
                <w:lang w:val="uk-UA"/>
              </w:rPr>
            </w:pPr>
            <w:bookmarkStart w:id="0" w:name="_GoBack"/>
            <w:bookmarkEnd w:id="0"/>
            <w:r w:rsidRPr="00292E5E">
              <w:rPr>
                <w:b/>
                <w:i/>
                <w:lang w:val="uk-UA"/>
              </w:rPr>
              <w:t>Визначення потреби в закупівлі:</w:t>
            </w:r>
            <w:r w:rsidRPr="00292E5E">
              <w:rPr>
                <w:lang w:val="uk-UA"/>
              </w:rPr>
              <w:t xml:space="preserve"> Закупівля зумовлена необхідністю забезпечення належних санітарно-гігієнічних умов у внутрішніх приміщеннях об’єктів аеропорту та вимог охорони праці.</w:t>
            </w:r>
          </w:p>
          <w:p w:rsidR="00292E5E" w:rsidRPr="00292E5E" w:rsidRDefault="00292E5E" w:rsidP="00292E5E">
            <w:pPr>
              <w:widowControl w:val="0"/>
              <w:ind w:right="162" w:firstLine="368"/>
              <w:jc w:val="both"/>
              <w:rPr>
                <w:lang w:val="uk-UA"/>
              </w:rPr>
            </w:pPr>
            <w:r w:rsidRPr="00292E5E">
              <w:rPr>
                <w:b/>
                <w:i/>
                <w:lang w:val="uk-UA"/>
              </w:rPr>
              <w:t>Обґрунтування технічних та якісних характеристик предмета закупівлі:</w:t>
            </w:r>
            <w:r w:rsidRPr="00292E5E">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92E5E" w:rsidRPr="004414C4" w:rsidRDefault="00292E5E" w:rsidP="00292E5E">
            <w:pPr>
              <w:widowControl w:val="0"/>
              <w:ind w:right="162" w:firstLine="368"/>
              <w:jc w:val="both"/>
              <w:rPr>
                <w:i/>
              </w:rPr>
            </w:pPr>
            <w:r w:rsidRPr="004414C4">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292E5E" w:rsidRPr="007101A5" w:rsidTr="00292E5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92E5E" w:rsidRPr="00292E5E" w:rsidRDefault="00292E5E" w:rsidP="00292E5E">
            <w:pPr>
              <w:widowControl w:val="0"/>
              <w:ind w:right="162" w:firstLine="368"/>
              <w:jc w:val="both"/>
              <w:rPr>
                <w:lang w:val="uk-UA"/>
              </w:rPr>
            </w:pPr>
            <w:r w:rsidRPr="00292E5E">
              <w:rPr>
                <w:b/>
                <w:i/>
                <w:lang w:val="uk-UA"/>
              </w:rPr>
              <w:t>Обґрунтування очікуваної вартості предмета закупівлі:</w:t>
            </w:r>
            <w:r w:rsidRPr="00292E5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92E5E" w:rsidRPr="004414C4" w:rsidRDefault="00292E5E" w:rsidP="00292E5E">
            <w:pPr>
              <w:widowControl w:val="0"/>
              <w:ind w:firstLine="368"/>
              <w:jc w:val="both"/>
            </w:pPr>
            <w:r w:rsidRPr="004414C4">
              <w:t xml:space="preserve">Розрахунок очікуваної вартості предмета закупівлі здійснено </w:t>
            </w:r>
            <w:r w:rsidRPr="004414C4">
              <w:lastRenderedPageBreak/>
              <w:t>відповідно до Положення «Про порядок визначення очікуваної вартості предмета закупівлі» від 17.05.2022 №50-06-1.</w:t>
            </w:r>
          </w:p>
          <w:p w:rsidR="00292E5E" w:rsidRPr="004414C4" w:rsidRDefault="00292E5E" w:rsidP="00292E5E">
            <w:pPr>
              <w:widowControl w:val="0"/>
              <w:ind w:firstLine="368"/>
              <w:jc w:val="both"/>
            </w:pPr>
            <w:r w:rsidRPr="004414C4">
              <w:rPr>
                <w:b/>
                <w:i/>
              </w:rPr>
              <w:t>Обґрунтування обсягів закупівлі:</w:t>
            </w:r>
            <w:r w:rsidRPr="004414C4">
              <w:rPr>
                <w:b/>
              </w:rPr>
              <w:t xml:space="preserve"> </w:t>
            </w:r>
            <w:r w:rsidRPr="004414C4">
              <w:t>Обсяги визначено відповідно до очікуваної потреби.</w:t>
            </w:r>
          </w:p>
        </w:tc>
      </w:tr>
      <w:tr w:rsidR="00292E5E" w:rsidRPr="007101A5" w:rsidTr="00292E5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92E5E" w:rsidRPr="007101A5" w:rsidRDefault="00292E5E" w:rsidP="00292E5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92E5E" w:rsidRDefault="00292E5E" w:rsidP="00292E5E">
            <w:pPr>
              <w:widowControl w:val="0"/>
              <w:jc w:val="both"/>
              <w:rPr>
                <w:b/>
              </w:rPr>
            </w:pPr>
            <w:r w:rsidRPr="004414C4">
              <w:rPr>
                <w:b/>
              </w:rPr>
              <w:t>Спосіб проведення моніторингу ринку</w:t>
            </w:r>
            <w:r>
              <w:rPr>
                <w:b/>
              </w:rPr>
              <w:t>:</w:t>
            </w:r>
          </w:p>
          <w:p w:rsidR="00292E5E" w:rsidRPr="00F272D9" w:rsidRDefault="00292E5E" w:rsidP="00292E5E">
            <w:pPr>
              <w:widowControl w:val="0"/>
              <w:jc w:val="both"/>
            </w:pPr>
            <w:r w:rsidRPr="00F272D9">
              <w:t>Для визначення очікуваної інформації проаналізовано інформацію, що міститься в мережі інтернет, а саме:</w:t>
            </w:r>
          </w:p>
          <w:p w:rsidR="00292E5E" w:rsidRDefault="00292E5E" w:rsidP="00292E5E">
            <w:r w:rsidRPr="00F272D9">
              <w:t>Інтернет-магазин https://glutoclean.ua/</w:t>
            </w:r>
          </w:p>
          <w:p w:rsidR="00292E5E" w:rsidRDefault="00292E5E" w:rsidP="00292E5E">
            <w:r w:rsidRPr="00F272D9">
              <w:t>Інтернет-магазин https://clean-ua.com/</w:t>
            </w:r>
            <w:r w:rsidRPr="00F272D9">
              <w:tab/>
            </w:r>
          </w:p>
          <w:p w:rsidR="00292E5E" w:rsidRDefault="00292E5E" w:rsidP="00292E5E">
            <w:r w:rsidRPr="00F272D9">
              <w:t xml:space="preserve">Інтернет-магазин </w:t>
            </w:r>
            <w:hyperlink r:id="rId9" w:history="1">
              <w:r w:rsidRPr="00737835">
                <w:rPr>
                  <w:rStyle w:val="ae"/>
                </w:rPr>
                <w:t>https://horeca-service.net/ua/</w:t>
              </w:r>
            </w:hyperlink>
            <w:r w:rsidRPr="00F272D9">
              <w:tab/>
            </w:r>
          </w:p>
          <w:p w:rsidR="00292E5E" w:rsidRDefault="00292E5E" w:rsidP="00292E5E">
            <w:r w:rsidRPr="00F272D9">
              <w:t xml:space="preserve">Інтернет-магазин </w:t>
            </w:r>
            <w:hyperlink r:id="rId10" w:history="1">
              <w:r w:rsidRPr="00737835">
                <w:rPr>
                  <w:rStyle w:val="ae"/>
                </w:rPr>
                <w:t>https://epicentrk.ua/</w:t>
              </w:r>
            </w:hyperlink>
            <w:r w:rsidRPr="00F272D9">
              <w:tab/>
            </w:r>
          </w:p>
          <w:p w:rsidR="00292E5E" w:rsidRDefault="00292E5E" w:rsidP="00292E5E">
            <w:r w:rsidRPr="00F272D9">
              <w:t>І</w:t>
            </w:r>
            <w:r>
              <w:t xml:space="preserve">нтернет-магазин </w:t>
            </w:r>
            <w:hyperlink r:id="rId11" w:history="1">
              <w:r w:rsidRPr="00D45A38">
                <w:rPr>
                  <w:rStyle w:val="ae"/>
                </w:rPr>
                <w:t>https://eva.ua/</w:t>
              </w:r>
            </w:hyperlink>
          </w:p>
          <w:p w:rsidR="00292E5E" w:rsidRPr="006A176A" w:rsidRDefault="00292E5E" w:rsidP="00292E5E">
            <w:r w:rsidRPr="006A176A">
              <w:t>Інтернет-магазин https://epicentrk.ua/</w:t>
            </w:r>
          </w:p>
          <w:p w:rsidR="00292E5E" w:rsidRPr="006A176A" w:rsidRDefault="00292E5E" w:rsidP="00292E5E">
            <w:r w:rsidRPr="006A176A">
              <w:t xml:space="preserve">Інтернет-магазин </w:t>
            </w:r>
            <w:r w:rsidRPr="006A176A">
              <w:rPr>
                <w:bCs/>
                <w:color w:val="000000" w:themeColor="text1"/>
                <w:spacing w:val="-8"/>
              </w:rPr>
              <w:t>https://rozetka.com.ua/</w:t>
            </w:r>
            <w:r w:rsidRPr="006A176A">
              <w:tab/>
            </w:r>
          </w:p>
          <w:p w:rsidR="00292E5E" w:rsidRPr="006A176A" w:rsidRDefault="00292E5E" w:rsidP="00292E5E">
            <w:r w:rsidRPr="006A176A">
              <w:t xml:space="preserve">Інтернет-магазин </w:t>
            </w:r>
            <w:hyperlink r:id="rId12" w:history="1">
              <w:r w:rsidRPr="006A176A">
                <w:rPr>
                  <w:rStyle w:val="ae"/>
                </w:rPr>
                <w:t>https://green-sky.com.ua/</w:t>
              </w:r>
            </w:hyperlink>
            <w:r w:rsidRPr="006A176A">
              <w:tab/>
            </w:r>
          </w:p>
          <w:p w:rsidR="00292E5E" w:rsidRPr="006A176A" w:rsidRDefault="00292E5E" w:rsidP="00292E5E">
            <w:r w:rsidRPr="006A176A">
              <w:t xml:space="preserve">Інтернет-магазин </w:t>
            </w:r>
            <w:hyperlink r:id="rId13" w:history="1">
              <w:r w:rsidRPr="006A176A">
                <w:rPr>
                  <w:rStyle w:val="ae"/>
                </w:rPr>
                <w:t>https://prom.ua/ua</w:t>
              </w:r>
            </w:hyperlink>
            <w:r w:rsidRPr="006A176A">
              <w:tab/>
            </w:r>
          </w:p>
          <w:p w:rsidR="00292E5E" w:rsidRPr="004414C4" w:rsidRDefault="00292E5E" w:rsidP="00292E5E">
            <w:r w:rsidRPr="006A176A">
              <w:t>Інтернет-магазин https://hozsklad.ua/</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003FC8" w:rsidRPr="007B1DF3" w:rsidRDefault="00003FC8" w:rsidP="00003FC8">
      <w:pPr>
        <w:widowControl w:val="0"/>
        <w:jc w:val="center"/>
        <w:rPr>
          <w:b/>
          <w:sz w:val="22"/>
          <w:szCs w:val="22"/>
        </w:rPr>
      </w:pPr>
      <w:r w:rsidRPr="007B1DF3">
        <w:rPr>
          <w:b/>
          <w:sz w:val="22"/>
          <w:szCs w:val="22"/>
        </w:rPr>
        <w:t>Специфікація</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614"/>
        <w:gridCol w:w="1694"/>
        <w:gridCol w:w="1042"/>
        <w:gridCol w:w="1098"/>
        <w:gridCol w:w="4517"/>
      </w:tblGrid>
      <w:tr w:rsidR="00003FC8" w:rsidRPr="007B1DF3" w:rsidTr="00E27669">
        <w:tc>
          <w:tcPr>
            <w:tcW w:w="246"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r w:rsidRPr="007B1DF3">
              <w:rPr>
                <w:b/>
                <w:sz w:val="20"/>
                <w:szCs w:val="20"/>
              </w:rPr>
              <w:t>№ п/п</w:t>
            </w:r>
          </w:p>
        </w:tc>
        <w:tc>
          <w:tcPr>
            <w:tcW w:w="770"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r w:rsidRPr="007B1DF3">
              <w:rPr>
                <w:b/>
                <w:sz w:val="20"/>
                <w:szCs w:val="20"/>
              </w:rPr>
              <w:t>Найменування Товару</w:t>
            </w:r>
          </w:p>
        </w:tc>
        <w:tc>
          <w:tcPr>
            <w:tcW w:w="808" w:type="pct"/>
            <w:tcBorders>
              <w:top w:val="single" w:sz="4" w:space="0" w:color="auto"/>
              <w:left w:val="single" w:sz="4" w:space="0" w:color="auto"/>
              <w:bottom w:val="single" w:sz="4" w:space="0" w:color="auto"/>
              <w:right w:val="single" w:sz="4" w:space="0" w:color="auto"/>
            </w:tcBorders>
            <w:shd w:val="clear" w:color="auto" w:fill="D9E2F3"/>
            <w:hideMark/>
          </w:tcPr>
          <w:p w:rsidR="00003FC8" w:rsidRPr="007B1DF3" w:rsidRDefault="00003FC8" w:rsidP="00E27669">
            <w:pPr>
              <w:widowControl w:val="0"/>
              <w:jc w:val="center"/>
              <w:rPr>
                <w:b/>
                <w:sz w:val="20"/>
                <w:szCs w:val="20"/>
              </w:rPr>
            </w:pPr>
            <w:r w:rsidRPr="00AE70C4">
              <w:rPr>
                <w:b/>
                <w:sz w:val="20"/>
                <w:szCs w:val="20"/>
              </w:rPr>
              <w:t>Марка або модель, або артикул, або каталожний номер, або  інші параметри для ідентифікації Товару</w:t>
            </w:r>
          </w:p>
        </w:tc>
        <w:tc>
          <w:tcPr>
            <w:tcW w:w="497"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r w:rsidRPr="007B1DF3">
              <w:rPr>
                <w:b/>
                <w:sz w:val="20"/>
                <w:szCs w:val="20"/>
              </w:rPr>
              <w:t>Одиниця</w:t>
            </w:r>
          </w:p>
          <w:p w:rsidR="00003FC8" w:rsidRPr="007B1DF3" w:rsidRDefault="00003FC8" w:rsidP="00E27669">
            <w:pPr>
              <w:widowControl w:val="0"/>
              <w:jc w:val="center"/>
              <w:rPr>
                <w:b/>
                <w:sz w:val="20"/>
                <w:szCs w:val="20"/>
              </w:rPr>
            </w:pPr>
            <w:r w:rsidRPr="007B1DF3">
              <w:rPr>
                <w:b/>
                <w:sz w:val="20"/>
                <w:szCs w:val="20"/>
              </w:rPr>
              <w:t>виміру</w:t>
            </w:r>
          </w:p>
        </w:tc>
        <w:tc>
          <w:tcPr>
            <w:tcW w:w="524" w:type="pct"/>
            <w:tcBorders>
              <w:top w:val="single" w:sz="4" w:space="0" w:color="auto"/>
              <w:left w:val="single" w:sz="4" w:space="0" w:color="auto"/>
              <w:bottom w:val="single" w:sz="4" w:space="0" w:color="auto"/>
              <w:right w:val="single" w:sz="4" w:space="0" w:color="auto"/>
            </w:tcBorders>
            <w:shd w:val="clear" w:color="auto" w:fill="D9E2F3"/>
          </w:tcPr>
          <w:p w:rsidR="00003FC8" w:rsidRPr="007B1DF3" w:rsidRDefault="00003FC8" w:rsidP="00E27669">
            <w:pPr>
              <w:widowControl w:val="0"/>
              <w:jc w:val="center"/>
              <w:rPr>
                <w:b/>
                <w:sz w:val="20"/>
                <w:szCs w:val="20"/>
              </w:rPr>
            </w:pPr>
            <w:r w:rsidRPr="007B1DF3">
              <w:rPr>
                <w:b/>
                <w:sz w:val="20"/>
                <w:szCs w:val="20"/>
              </w:rPr>
              <w:t>Кількість</w:t>
            </w:r>
          </w:p>
          <w:p w:rsidR="00003FC8" w:rsidRPr="007B1DF3" w:rsidRDefault="00003FC8" w:rsidP="00E27669">
            <w:pPr>
              <w:widowControl w:val="0"/>
              <w:jc w:val="center"/>
              <w:rPr>
                <w:b/>
                <w:sz w:val="20"/>
                <w:szCs w:val="20"/>
              </w:rPr>
            </w:pPr>
          </w:p>
        </w:tc>
        <w:tc>
          <w:tcPr>
            <w:tcW w:w="2155" w:type="pct"/>
            <w:tcBorders>
              <w:top w:val="single" w:sz="4" w:space="0" w:color="auto"/>
              <w:left w:val="single" w:sz="4" w:space="0" w:color="auto"/>
              <w:bottom w:val="single" w:sz="4" w:space="0" w:color="auto"/>
              <w:right w:val="single" w:sz="4" w:space="0" w:color="auto"/>
            </w:tcBorders>
            <w:shd w:val="clear" w:color="auto" w:fill="D9E2F3"/>
            <w:hideMark/>
          </w:tcPr>
          <w:p w:rsidR="00003FC8" w:rsidRPr="007B1DF3" w:rsidRDefault="00003FC8" w:rsidP="00E27669">
            <w:pPr>
              <w:widowControl w:val="0"/>
              <w:jc w:val="center"/>
              <w:rPr>
                <w:b/>
                <w:sz w:val="20"/>
                <w:szCs w:val="20"/>
              </w:rPr>
            </w:pPr>
            <w:r w:rsidRPr="007B1DF3">
              <w:rPr>
                <w:b/>
                <w:sz w:val="20"/>
                <w:szCs w:val="20"/>
              </w:rPr>
              <w:t>Технічні та якісні характеристики предмета закупівлі</w:t>
            </w:r>
          </w:p>
          <w:p w:rsidR="00003FC8" w:rsidRPr="007B1DF3" w:rsidRDefault="00003FC8" w:rsidP="00E27669">
            <w:pPr>
              <w:widowControl w:val="0"/>
              <w:jc w:val="center"/>
              <w:rPr>
                <w:b/>
                <w:sz w:val="20"/>
                <w:szCs w:val="20"/>
              </w:rPr>
            </w:pPr>
            <w:r w:rsidRPr="007B1DF3">
              <w:rPr>
                <w:b/>
                <w:sz w:val="20"/>
                <w:szCs w:val="20"/>
              </w:rPr>
              <w:t>(Технічна специфікація)</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hideMark/>
          </w:tcPr>
          <w:p w:rsidR="00003FC8" w:rsidRPr="007B1DF3" w:rsidRDefault="00003FC8" w:rsidP="00E27669">
            <w:pPr>
              <w:widowControl w:val="0"/>
              <w:rPr>
                <w:sz w:val="20"/>
                <w:szCs w:val="20"/>
              </w:rPr>
            </w:pPr>
            <w:r w:rsidRPr="007B1DF3">
              <w:rPr>
                <w:sz w:val="20"/>
                <w:szCs w:val="20"/>
              </w:rPr>
              <w:t>1</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sz w:val="22"/>
                <w:szCs w:val="22"/>
              </w:rPr>
              <w:t xml:space="preserve">Засіб для видалення наклейок </w:t>
            </w:r>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t xml:space="preserve">GLUTOCLEAN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t>шт</w:t>
            </w:r>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10</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ind w:right="256"/>
              <w:jc w:val="both"/>
              <w:rPr>
                <w:color w:val="222222"/>
                <w:sz w:val="22"/>
                <w:szCs w:val="22"/>
                <w:shd w:val="clear" w:color="auto" w:fill="F8F9FA"/>
              </w:rPr>
            </w:pPr>
            <w:r w:rsidRPr="00813749">
              <w:rPr>
                <w:b/>
                <w:color w:val="222222"/>
                <w:sz w:val="22"/>
                <w:szCs w:val="22"/>
                <w:shd w:val="clear" w:color="auto" w:fill="F8F9FA"/>
              </w:rPr>
              <w:t>Сфера застосування</w:t>
            </w:r>
            <w:r w:rsidRPr="00813749">
              <w:rPr>
                <w:color w:val="222222"/>
                <w:sz w:val="22"/>
                <w:szCs w:val="22"/>
                <w:shd w:val="clear" w:color="auto" w:fill="F8F9FA"/>
              </w:rPr>
              <w:t xml:space="preserve"> – видалення з поверхонь жирових та масляних забруднень зі скла, пластмаси, дерева ПВХ та кераміки </w:t>
            </w:r>
          </w:p>
          <w:p w:rsidR="00003FC8" w:rsidRDefault="00003FC8" w:rsidP="00E27669">
            <w:pPr>
              <w:ind w:right="256"/>
              <w:jc w:val="both"/>
              <w:rPr>
                <w:color w:val="222222"/>
                <w:sz w:val="22"/>
                <w:szCs w:val="22"/>
                <w:shd w:val="clear" w:color="auto" w:fill="F8F9FA"/>
              </w:rPr>
            </w:pPr>
            <w:r w:rsidRPr="00813749">
              <w:rPr>
                <w:b/>
                <w:color w:val="222222"/>
                <w:sz w:val="22"/>
                <w:szCs w:val="22"/>
                <w:shd w:val="clear" w:color="auto" w:fill="F8F9FA"/>
              </w:rPr>
              <w:t>Об’єм</w:t>
            </w:r>
            <w:r w:rsidRPr="00813749">
              <w:rPr>
                <w:color w:val="222222"/>
                <w:sz w:val="22"/>
                <w:szCs w:val="22"/>
                <w:shd w:val="clear" w:color="auto" w:fill="F8F9FA"/>
              </w:rPr>
              <w:t xml:space="preserve"> – </w:t>
            </w:r>
            <w:r w:rsidRPr="00813749">
              <w:rPr>
                <w:b/>
                <w:i/>
                <w:color w:val="000000" w:themeColor="text1"/>
                <w:sz w:val="22"/>
                <w:szCs w:val="22"/>
                <w:shd w:val="clear" w:color="auto" w:fill="F8F9FA"/>
              </w:rPr>
              <w:t>не менше</w:t>
            </w:r>
            <w:r w:rsidRPr="00813749">
              <w:rPr>
                <w:color w:val="000000" w:themeColor="text1"/>
                <w:sz w:val="22"/>
                <w:szCs w:val="22"/>
                <w:shd w:val="clear" w:color="auto" w:fill="F8F9FA"/>
              </w:rPr>
              <w:t xml:space="preserve"> </w:t>
            </w:r>
            <w:r w:rsidRPr="00813749">
              <w:rPr>
                <w:color w:val="222222"/>
                <w:sz w:val="22"/>
                <w:szCs w:val="22"/>
                <w:shd w:val="clear" w:color="auto" w:fill="F8F9FA"/>
              </w:rPr>
              <w:t xml:space="preserve">500 мл </w:t>
            </w:r>
          </w:p>
          <w:p w:rsidR="00003FC8" w:rsidRPr="00813749" w:rsidRDefault="00003FC8" w:rsidP="00E27669">
            <w:pPr>
              <w:ind w:right="256"/>
              <w:jc w:val="both"/>
              <w:rPr>
                <w:color w:val="222222"/>
                <w:sz w:val="22"/>
                <w:szCs w:val="22"/>
                <w:shd w:val="clear" w:color="auto" w:fill="F8F9FA"/>
              </w:rPr>
            </w:pPr>
            <w:r w:rsidRPr="00593816">
              <w:rPr>
                <w:i/>
                <w:color w:val="2F5496" w:themeColor="accent5" w:themeShade="BF"/>
                <w:sz w:val="22"/>
                <w:szCs w:val="22"/>
              </w:rPr>
              <w:t>(Учасник в Тендерній пропозиції (технічній частині) замість зазначеного зазначає конкретний показник без виразу «не менше»)</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tcPr>
          <w:p w:rsidR="00003FC8" w:rsidRPr="007B1DF3" w:rsidRDefault="00003FC8" w:rsidP="00E27669">
            <w:pPr>
              <w:widowControl w:val="0"/>
              <w:rPr>
                <w:sz w:val="20"/>
                <w:szCs w:val="20"/>
              </w:rPr>
            </w:pPr>
            <w:r>
              <w:rPr>
                <w:sz w:val="20"/>
                <w:szCs w:val="20"/>
              </w:rPr>
              <w:t>2</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sz w:val="22"/>
                <w:szCs w:val="22"/>
              </w:rPr>
              <w:t xml:space="preserve">Поліроль для меблів </w:t>
            </w:r>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t xml:space="preserve">Pronto Classik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t>шт</w:t>
            </w:r>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3</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both"/>
              <w:rPr>
                <w:sz w:val="22"/>
                <w:szCs w:val="22"/>
              </w:rPr>
            </w:pPr>
            <w:r w:rsidRPr="00813749">
              <w:rPr>
                <w:b/>
                <w:sz w:val="22"/>
                <w:szCs w:val="22"/>
              </w:rPr>
              <w:t>Сфера застосування</w:t>
            </w:r>
            <w:r w:rsidRPr="00813749">
              <w:rPr>
                <w:sz w:val="22"/>
                <w:szCs w:val="22"/>
              </w:rPr>
              <w:t xml:space="preserve"> – чищення та полірування поверхонь меблів </w:t>
            </w:r>
          </w:p>
          <w:p w:rsidR="00003FC8" w:rsidRDefault="00003FC8" w:rsidP="00E27669">
            <w:pPr>
              <w:jc w:val="both"/>
              <w:rPr>
                <w:sz w:val="22"/>
                <w:szCs w:val="22"/>
              </w:rPr>
            </w:pPr>
            <w:r w:rsidRPr="00813749">
              <w:rPr>
                <w:b/>
                <w:color w:val="222222"/>
                <w:sz w:val="22"/>
                <w:szCs w:val="22"/>
                <w:shd w:val="clear" w:color="auto" w:fill="F8F9FA"/>
              </w:rPr>
              <w:t>Об’єм</w:t>
            </w:r>
            <w:r w:rsidRPr="00813749">
              <w:rPr>
                <w:color w:val="222222"/>
                <w:sz w:val="22"/>
                <w:szCs w:val="22"/>
                <w:shd w:val="clear" w:color="auto" w:fill="F8F9FA"/>
              </w:rPr>
              <w:t xml:space="preserve"> – </w:t>
            </w:r>
            <w:r w:rsidRPr="007907F2">
              <w:rPr>
                <w:b/>
                <w:i/>
                <w:color w:val="000000" w:themeColor="text1"/>
                <w:sz w:val="22"/>
                <w:szCs w:val="22"/>
                <w:shd w:val="clear" w:color="auto" w:fill="F8F9FA"/>
              </w:rPr>
              <w:t>не менше</w:t>
            </w:r>
            <w:r w:rsidRPr="007907F2">
              <w:rPr>
                <w:color w:val="000000" w:themeColor="text1"/>
                <w:sz w:val="22"/>
                <w:szCs w:val="22"/>
              </w:rPr>
              <w:t xml:space="preserve"> </w:t>
            </w:r>
            <w:r w:rsidRPr="00813749">
              <w:rPr>
                <w:sz w:val="22"/>
                <w:szCs w:val="22"/>
              </w:rPr>
              <w:t>300мл</w:t>
            </w:r>
          </w:p>
          <w:p w:rsidR="00003FC8" w:rsidRPr="00593816" w:rsidRDefault="00003FC8" w:rsidP="00E27669">
            <w:pPr>
              <w:jc w:val="both"/>
              <w:rPr>
                <w:color w:val="2F5496" w:themeColor="accent5" w:themeShade="BF"/>
                <w:sz w:val="22"/>
                <w:szCs w:val="22"/>
              </w:rPr>
            </w:pPr>
            <w:r w:rsidRPr="00593816">
              <w:rPr>
                <w:i/>
                <w:color w:val="2F5496" w:themeColor="accent5" w:themeShade="BF"/>
                <w:sz w:val="22"/>
                <w:szCs w:val="22"/>
              </w:rPr>
              <w:t>(Учасник в Тендерній пропозиції (технічній частині) замість зазначеного зазначає конкретний показник без виразу «не менше»)</w:t>
            </w:r>
          </w:p>
          <w:p w:rsidR="00003FC8" w:rsidRDefault="00003FC8" w:rsidP="00E27669">
            <w:pPr>
              <w:jc w:val="both"/>
              <w:rPr>
                <w:sz w:val="22"/>
                <w:szCs w:val="22"/>
              </w:rPr>
            </w:pPr>
            <w:r w:rsidRPr="00813749">
              <w:rPr>
                <w:b/>
                <w:sz w:val="22"/>
                <w:szCs w:val="22"/>
              </w:rPr>
              <w:t>Вид засобу</w:t>
            </w:r>
            <w:r w:rsidRPr="00813749">
              <w:rPr>
                <w:sz w:val="22"/>
                <w:szCs w:val="22"/>
              </w:rPr>
              <w:t xml:space="preserve"> – рідкий </w:t>
            </w:r>
            <w:r w:rsidRPr="006A7297">
              <w:rPr>
                <w:b/>
                <w:i/>
                <w:color w:val="000000" w:themeColor="text1"/>
                <w:sz w:val="22"/>
                <w:szCs w:val="22"/>
              </w:rPr>
              <w:t>або</w:t>
            </w:r>
            <w:r w:rsidRPr="00813749">
              <w:rPr>
                <w:i/>
                <w:color w:val="FF0000"/>
                <w:sz w:val="22"/>
                <w:szCs w:val="22"/>
              </w:rPr>
              <w:t xml:space="preserve"> </w:t>
            </w:r>
            <w:r w:rsidRPr="00813749">
              <w:rPr>
                <w:sz w:val="22"/>
                <w:szCs w:val="22"/>
              </w:rPr>
              <w:t>крем</w:t>
            </w:r>
          </w:p>
          <w:p w:rsidR="00003FC8" w:rsidRPr="00813749" w:rsidRDefault="00003FC8" w:rsidP="00E27669">
            <w:pPr>
              <w:jc w:val="both"/>
              <w:rPr>
                <w:color w:val="222222"/>
                <w:sz w:val="22"/>
                <w:szCs w:val="22"/>
                <w:shd w:val="clear" w:color="auto" w:fill="F8F9FA"/>
              </w:rPr>
            </w:pPr>
            <w:r w:rsidRPr="00593816">
              <w:rPr>
                <w:i/>
                <w:color w:val="2F5496" w:themeColor="accent5" w:themeShade="BF"/>
                <w:sz w:val="22"/>
                <w:szCs w:val="22"/>
              </w:rPr>
              <w:t>(Учасник в Тендерній пропозиції (технічній частині) замість зазначеного зазначає конкретне значення)</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tcPr>
          <w:p w:rsidR="00003FC8" w:rsidRPr="007B1DF3" w:rsidRDefault="00003FC8" w:rsidP="00E27669">
            <w:pPr>
              <w:widowControl w:val="0"/>
              <w:rPr>
                <w:sz w:val="20"/>
                <w:szCs w:val="20"/>
              </w:rPr>
            </w:pPr>
            <w:r>
              <w:rPr>
                <w:sz w:val="20"/>
                <w:szCs w:val="20"/>
              </w:rPr>
              <w:t>3</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sz w:val="22"/>
                <w:szCs w:val="22"/>
              </w:rPr>
              <w:t xml:space="preserve">Спрей для полірування поверхонь з </w:t>
            </w:r>
            <w:r w:rsidRPr="00813749">
              <w:rPr>
                <w:sz w:val="22"/>
                <w:szCs w:val="22"/>
              </w:rPr>
              <w:lastRenderedPageBreak/>
              <w:t xml:space="preserve">нержавіючої сталі </w:t>
            </w:r>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lastRenderedPageBreak/>
              <w:t xml:space="preserve">Suma Inox D7.1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t>шт</w:t>
            </w:r>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10</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both"/>
              <w:rPr>
                <w:sz w:val="22"/>
                <w:szCs w:val="22"/>
              </w:rPr>
            </w:pPr>
            <w:r w:rsidRPr="00813749">
              <w:rPr>
                <w:b/>
                <w:sz w:val="22"/>
                <w:szCs w:val="22"/>
              </w:rPr>
              <w:t>Сфера застосування</w:t>
            </w:r>
            <w:r w:rsidRPr="00813749">
              <w:rPr>
                <w:sz w:val="22"/>
                <w:szCs w:val="22"/>
              </w:rPr>
              <w:t xml:space="preserve"> – полірування поверхонь з нержавіючої сталі</w:t>
            </w:r>
          </w:p>
          <w:p w:rsidR="00003FC8" w:rsidRPr="00813749" w:rsidRDefault="00003FC8" w:rsidP="00E27669">
            <w:pPr>
              <w:jc w:val="both"/>
              <w:rPr>
                <w:sz w:val="22"/>
                <w:szCs w:val="22"/>
              </w:rPr>
            </w:pPr>
            <w:r w:rsidRPr="00813749">
              <w:rPr>
                <w:b/>
                <w:sz w:val="22"/>
                <w:szCs w:val="22"/>
              </w:rPr>
              <w:t>Зовнішній вигляд</w:t>
            </w:r>
            <w:r w:rsidRPr="00813749">
              <w:rPr>
                <w:sz w:val="22"/>
                <w:szCs w:val="22"/>
              </w:rPr>
              <w:t xml:space="preserve"> – біла кремоподібна рідина</w:t>
            </w:r>
          </w:p>
          <w:p w:rsidR="00003FC8" w:rsidRDefault="00003FC8" w:rsidP="00E27669">
            <w:pPr>
              <w:jc w:val="both"/>
              <w:rPr>
                <w:color w:val="222222"/>
                <w:sz w:val="22"/>
                <w:szCs w:val="22"/>
                <w:shd w:val="clear" w:color="auto" w:fill="F8F9FA"/>
              </w:rPr>
            </w:pPr>
            <w:r w:rsidRPr="00813749">
              <w:rPr>
                <w:b/>
                <w:color w:val="222222"/>
                <w:sz w:val="22"/>
                <w:szCs w:val="22"/>
                <w:shd w:val="clear" w:color="auto" w:fill="F8F9FA"/>
              </w:rPr>
              <w:lastRenderedPageBreak/>
              <w:t>Відносна щільність</w:t>
            </w:r>
            <w:r w:rsidRPr="00813749">
              <w:rPr>
                <w:color w:val="222222"/>
                <w:sz w:val="22"/>
                <w:szCs w:val="22"/>
                <w:shd w:val="clear" w:color="auto" w:fill="F8F9FA"/>
              </w:rPr>
              <w:t xml:space="preserve"> (20 </w:t>
            </w:r>
            <w:r w:rsidRPr="00813749">
              <w:rPr>
                <w:color w:val="222222"/>
                <w:sz w:val="22"/>
                <w:szCs w:val="22"/>
                <w:shd w:val="clear" w:color="auto" w:fill="F8F9FA"/>
                <w:vertAlign w:val="superscript"/>
              </w:rPr>
              <w:t>о</w:t>
            </w:r>
            <w:r w:rsidRPr="00813749">
              <w:rPr>
                <w:color w:val="222222"/>
                <w:sz w:val="22"/>
                <w:szCs w:val="22"/>
                <w:shd w:val="clear" w:color="auto" w:fill="F8F9FA"/>
              </w:rPr>
              <w:t xml:space="preserve">С) – 0,85 </w:t>
            </w:r>
            <w:r w:rsidRPr="00813749">
              <w:rPr>
                <w:i/>
                <w:color w:val="222222"/>
                <w:sz w:val="22"/>
                <w:szCs w:val="22"/>
                <w:shd w:val="clear" w:color="auto" w:fill="F8F9FA"/>
              </w:rPr>
              <w:t>(Допустиме відхилення ±10%)</w:t>
            </w:r>
            <w:r w:rsidRPr="00813749">
              <w:rPr>
                <w:color w:val="222222"/>
                <w:sz w:val="22"/>
                <w:szCs w:val="22"/>
                <w:shd w:val="clear" w:color="auto" w:fill="F8F9FA"/>
              </w:rPr>
              <w:t xml:space="preserve"> </w:t>
            </w:r>
          </w:p>
          <w:p w:rsidR="00003FC8" w:rsidRPr="00593816" w:rsidRDefault="00003FC8" w:rsidP="00E27669">
            <w:pPr>
              <w:jc w:val="both"/>
              <w:rPr>
                <w:color w:val="2F5496" w:themeColor="accent5" w:themeShade="BF"/>
                <w:sz w:val="22"/>
                <w:szCs w:val="22"/>
                <w:shd w:val="clear" w:color="auto" w:fill="F8F9FA"/>
              </w:rPr>
            </w:pPr>
            <w:r w:rsidRPr="00593816">
              <w:rPr>
                <w:i/>
                <w:color w:val="2F5496" w:themeColor="accent5" w:themeShade="BF"/>
                <w:sz w:val="22"/>
                <w:szCs w:val="22"/>
                <w:shd w:val="clear" w:color="auto" w:fill="F8F9FA"/>
              </w:rPr>
              <w:t xml:space="preserve">(Учасник </w:t>
            </w:r>
            <w:r w:rsidRPr="00593816">
              <w:rPr>
                <w:i/>
                <w:color w:val="2F5496" w:themeColor="accent5" w:themeShade="BF"/>
                <w:sz w:val="22"/>
                <w:szCs w:val="22"/>
              </w:rPr>
              <w:t>в Тендерній пропозиції (технічній частині) замість зазначеного</w:t>
            </w:r>
            <w:r w:rsidRPr="00593816">
              <w:rPr>
                <w:i/>
                <w:color w:val="2F5496" w:themeColor="accent5" w:themeShade="BF"/>
                <w:sz w:val="22"/>
                <w:szCs w:val="22"/>
                <w:shd w:val="clear" w:color="auto" w:fill="F8F9FA"/>
              </w:rPr>
              <w:t xml:space="preserve"> зазначає конкретний показник, якщо це доцільно)</w:t>
            </w:r>
          </w:p>
          <w:p w:rsidR="00003FC8" w:rsidRDefault="00003FC8" w:rsidP="00E27669">
            <w:pPr>
              <w:jc w:val="both"/>
              <w:rPr>
                <w:color w:val="222222"/>
                <w:sz w:val="22"/>
                <w:szCs w:val="22"/>
              </w:rPr>
            </w:pPr>
            <w:r w:rsidRPr="00813749">
              <w:rPr>
                <w:b/>
                <w:color w:val="222222"/>
                <w:sz w:val="22"/>
                <w:szCs w:val="22"/>
              </w:rPr>
              <w:t>Об`єм</w:t>
            </w:r>
            <w:r w:rsidRPr="00813749">
              <w:rPr>
                <w:color w:val="222222"/>
                <w:sz w:val="22"/>
                <w:szCs w:val="22"/>
              </w:rPr>
              <w:t xml:space="preserve"> – </w:t>
            </w:r>
            <w:r w:rsidRPr="007907F2">
              <w:rPr>
                <w:b/>
                <w:i/>
                <w:color w:val="000000" w:themeColor="text1"/>
                <w:sz w:val="22"/>
                <w:szCs w:val="22"/>
              </w:rPr>
              <w:t>не менше</w:t>
            </w:r>
            <w:r w:rsidRPr="007907F2">
              <w:rPr>
                <w:color w:val="000000" w:themeColor="text1"/>
                <w:sz w:val="22"/>
                <w:szCs w:val="22"/>
              </w:rPr>
              <w:t xml:space="preserve"> </w:t>
            </w:r>
            <w:r w:rsidRPr="00813749">
              <w:rPr>
                <w:color w:val="222222"/>
                <w:sz w:val="22"/>
                <w:szCs w:val="22"/>
              </w:rPr>
              <w:t xml:space="preserve">750 мл </w:t>
            </w:r>
          </w:p>
          <w:p w:rsidR="00003FC8" w:rsidRPr="00813749" w:rsidRDefault="00003FC8" w:rsidP="00E27669">
            <w:pPr>
              <w:jc w:val="both"/>
              <w:rPr>
                <w:sz w:val="22"/>
                <w:szCs w:val="22"/>
              </w:rPr>
            </w:pPr>
            <w:r w:rsidRPr="00593816">
              <w:rPr>
                <w:color w:val="2F5496" w:themeColor="accent5" w:themeShade="BF"/>
                <w:sz w:val="22"/>
                <w:szCs w:val="22"/>
              </w:rPr>
              <w:t>(</w:t>
            </w:r>
            <w:r w:rsidRPr="00593816">
              <w:rPr>
                <w:i/>
                <w:color w:val="2F5496" w:themeColor="accent5" w:themeShade="BF"/>
                <w:sz w:val="22"/>
                <w:szCs w:val="22"/>
              </w:rPr>
              <w:t>Учасник в Тендерній пропозиції (технічній частині) замість зазначеного зазначає конкретний показник без виразу «не менше»)</w:t>
            </w:r>
          </w:p>
        </w:tc>
      </w:tr>
      <w:tr w:rsidR="00003FC8" w:rsidRPr="007B1DF3" w:rsidTr="00E27669">
        <w:trPr>
          <w:trHeight w:val="335"/>
        </w:trPr>
        <w:tc>
          <w:tcPr>
            <w:tcW w:w="246" w:type="pct"/>
            <w:tcBorders>
              <w:top w:val="single" w:sz="4" w:space="0" w:color="auto"/>
              <w:left w:val="single" w:sz="4" w:space="0" w:color="auto"/>
              <w:bottom w:val="single" w:sz="4" w:space="0" w:color="auto"/>
              <w:right w:val="single" w:sz="4" w:space="0" w:color="auto"/>
            </w:tcBorders>
          </w:tcPr>
          <w:p w:rsidR="00003FC8" w:rsidRPr="007B1DF3" w:rsidRDefault="00003FC8" w:rsidP="00E27669">
            <w:pPr>
              <w:widowControl w:val="0"/>
              <w:rPr>
                <w:sz w:val="20"/>
                <w:szCs w:val="20"/>
              </w:rPr>
            </w:pPr>
            <w:r>
              <w:rPr>
                <w:sz w:val="20"/>
                <w:szCs w:val="20"/>
              </w:rPr>
              <w:lastRenderedPageBreak/>
              <w:t>4</w:t>
            </w:r>
          </w:p>
        </w:tc>
        <w:tc>
          <w:tcPr>
            <w:tcW w:w="770"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sz w:val="22"/>
                <w:szCs w:val="22"/>
              </w:rPr>
              <w:t>Пральний порошок для автоматичного прання</w:t>
            </w:r>
          </w:p>
        </w:tc>
        <w:tc>
          <w:tcPr>
            <w:tcW w:w="808"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lang w:val="en-US"/>
              </w:rPr>
              <w:t>Ariel</w:t>
            </w:r>
            <w:r w:rsidRPr="00813749">
              <w:rPr>
                <w:sz w:val="22"/>
                <w:szCs w:val="22"/>
              </w:rPr>
              <w:t xml:space="preserve"> </w:t>
            </w:r>
          </w:p>
        </w:tc>
        <w:tc>
          <w:tcPr>
            <w:tcW w:w="497"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widowControl w:val="0"/>
              <w:jc w:val="center"/>
              <w:rPr>
                <w:sz w:val="22"/>
                <w:szCs w:val="22"/>
              </w:rPr>
            </w:pPr>
            <w:r w:rsidRPr="00813749">
              <w:rPr>
                <w:sz w:val="22"/>
                <w:szCs w:val="22"/>
              </w:rPr>
              <w:t>шт</w:t>
            </w:r>
          </w:p>
        </w:tc>
        <w:tc>
          <w:tcPr>
            <w:tcW w:w="524"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jc w:val="center"/>
              <w:rPr>
                <w:color w:val="000000"/>
                <w:sz w:val="22"/>
                <w:szCs w:val="22"/>
                <w:lang w:eastAsia="uk-UA"/>
              </w:rPr>
            </w:pPr>
            <w:r w:rsidRPr="00813749">
              <w:rPr>
                <w:color w:val="000000"/>
                <w:sz w:val="22"/>
                <w:szCs w:val="22"/>
                <w:lang w:eastAsia="uk-UA"/>
              </w:rPr>
              <w:t>12</w:t>
            </w:r>
          </w:p>
        </w:tc>
        <w:tc>
          <w:tcPr>
            <w:tcW w:w="2155" w:type="pct"/>
            <w:tcBorders>
              <w:top w:val="single" w:sz="4" w:space="0" w:color="auto"/>
              <w:left w:val="single" w:sz="4" w:space="0" w:color="auto"/>
              <w:bottom w:val="single" w:sz="4" w:space="0" w:color="auto"/>
              <w:right w:val="single" w:sz="4" w:space="0" w:color="auto"/>
            </w:tcBorders>
          </w:tcPr>
          <w:p w:rsidR="00003FC8" w:rsidRPr="00813749" w:rsidRDefault="00003FC8" w:rsidP="00E27669">
            <w:pPr>
              <w:keepLines/>
              <w:jc w:val="both"/>
              <w:rPr>
                <w:sz w:val="22"/>
                <w:szCs w:val="22"/>
              </w:rPr>
            </w:pPr>
            <w:r w:rsidRPr="00813749">
              <w:rPr>
                <w:b/>
                <w:sz w:val="22"/>
                <w:szCs w:val="22"/>
              </w:rPr>
              <w:t>Сфера застосування</w:t>
            </w:r>
            <w:r w:rsidRPr="00813749">
              <w:rPr>
                <w:sz w:val="22"/>
                <w:szCs w:val="22"/>
              </w:rPr>
              <w:t xml:space="preserve"> – автоматичне  прання кольорових речей  всіх типів тканин.</w:t>
            </w:r>
          </w:p>
          <w:p w:rsidR="00003FC8" w:rsidRPr="00813749" w:rsidRDefault="00003FC8" w:rsidP="00E27669">
            <w:pPr>
              <w:keepLines/>
              <w:jc w:val="both"/>
              <w:rPr>
                <w:i/>
                <w:sz w:val="22"/>
                <w:szCs w:val="22"/>
              </w:rPr>
            </w:pPr>
            <w:r w:rsidRPr="00813749">
              <w:rPr>
                <w:b/>
                <w:sz w:val="22"/>
                <w:szCs w:val="22"/>
              </w:rPr>
              <w:t>Показники якості та технічних характеристик</w:t>
            </w:r>
            <w:r w:rsidRPr="00813749">
              <w:rPr>
                <w:sz w:val="22"/>
                <w:szCs w:val="22"/>
              </w:rPr>
              <w:t>:</w:t>
            </w:r>
          </w:p>
          <w:p w:rsidR="00003FC8" w:rsidRPr="005C457B" w:rsidRDefault="00003FC8" w:rsidP="00003FC8">
            <w:pPr>
              <w:pStyle w:val="af5"/>
              <w:keepLines/>
              <w:numPr>
                <w:ilvl w:val="0"/>
                <w:numId w:val="26"/>
              </w:numPr>
              <w:spacing w:after="0" w:line="240" w:lineRule="auto"/>
              <w:ind w:left="86" w:firstLine="4"/>
              <w:jc w:val="both"/>
              <w:rPr>
                <w:rFonts w:ascii="Times New Roman" w:hAnsi="Times New Roman"/>
                <w:color w:val="2F5496" w:themeColor="accent5" w:themeShade="BF"/>
              </w:rPr>
            </w:pPr>
            <w:r w:rsidRPr="00813749">
              <w:rPr>
                <w:rFonts w:ascii="Times New Roman" w:hAnsi="Times New Roman"/>
              </w:rPr>
              <w:t xml:space="preserve">масова частка фосфорнокислих солей (в перерахунку на Р₂О₅)% – </w:t>
            </w:r>
            <w:r w:rsidRPr="007907F2">
              <w:rPr>
                <w:rFonts w:ascii="Times New Roman" w:hAnsi="Times New Roman"/>
                <w:b/>
                <w:i/>
                <w:color w:val="000000" w:themeColor="text1"/>
              </w:rPr>
              <w:t>не більше</w:t>
            </w:r>
            <w:r w:rsidRPr="007907F2">
              <w:rPr>
                <w:rFonts w:ascii="Times New Roman" w:hAnsi="Times New Roman"/>
                <w:color w:val="000000" w:themeColor="text1"/>
              </w:rPr>
              <w:t xml:space="preserve"> </w:t>
            </w:r>
            <w:r w:rsidRPr="00813749">
              <w:rPr>
                <w:rFonts w:ascii="Times New Roman" w:hAnsi="Times New Roman"/>
                <w:color w:val="000000" w:themeColor="text1"/>
              </w:rPr>
              <w:t xml:space="preserve">17,0 </w:t>
            </w:r>
            <w:r w:rsidRPr="005C457B">
              <w:rPr>
                <w:rFonts w:ascii="Times New Roman" w:hAnsi="Times New Roman"/>
                <w:i/>
                <w:color w:val="2F5496" w:themeColor="accent5" w:themeShade="BF"/>
              </w:rPr>
              <w:t>(Учасник в Тендерній пропозиції (технічній частині) замість зазначеного зазначає конкретний показник або показник з виразом «не більше»)</w:t>
            </w:r>
          </w:p>
          <w:p w:rsidR="00003FC8" w:rsidRDefault="00003FC8" w:rsidP="00003FC8">
            <w:pPr>
              <w:pStyle w:val="af5"/>
              <w:keepLines/>
              <w:numPr>
                <w:ilvl w:val="0"/>
                <w:numId w:val="26"/>
              </w:numPr>
              <w:spacing w:after="0" w:line="240" w:lineRule="auto"/>
              <w:ind w:left="86" w:firstLine="4"/>
              <w:jc w:val="both"/>
              <w:rPr>
                <w:rFonts w:ascii="Times New Roman" w:hAnsi="Times New Roman"/>
                <w:color w:val="000000" w:themeColor="text1"/>
              </w:rPr>
            </w:pPr>
            <w:r w:rsidRPr="006A7297">
              <w:rPr>
                <w:rFonts w:ascii="Times New Roman" w:hAnsi="Times New Roman"/>
                <w:color w:val="000000" w:themeColor="text1"/>
              </w:rPr>
              <w:t xml:space="preserve"> показник концентрації водневих іонів, од Рн – 7,5-11,5 </w:t>
            </w:r>
          </w:p>
          <w:p w:rsidR="00003FC8" w:rsidRPr="00593816" w:rsidRDefault="00003FC8" w:rsidP="00E27669">
            <w:pPr>
              <w:pStyle w:val="af5"/>
              <w:keepLines/>
              <w:spacing w:after="0" w:line="240" w:lineRule="auto"/>
              <w:ind w:left="90"/>
              <w:jc w:val="both"/>
              <w:rPr>
                <w:rFonts w:ascii="Times New Roman" w:hAnsi="Times New Roman"/>
                <w:color w:val="2F5496" w:themeColor="accent5" w:themeShade="BF"/>
              </w:rPr>
            </w:pPr>
            <w:r w:rsidRPr="00593816">
              <w:rPr>
                <w:rFonts w:ascii="Times New Roman" w:hAnsi="Times New Roman"/>
                <w:i/>
                <w:color w:val="2F5496" w:themeColor="accent5" w:themeShade="BF"/>
              </w:rPr>
              <w:t>(Учасник в Тендерній пропозиції (технічній частині) замість зазначеного зазначає конкретний показник або показник в межах зазначеного діапазону)</w:t>
            </w:r>
          </w:p>
          <w:p w:rsidR="00003FC8" w:rsidRDefault="00003FC8" w:rsidP="00003FC8">
            <w:pPr>
              <w:pStyle w:val="af5"/>
              <w:keepLines/>
              <w:numPr>
                <w:ilvl w:val="0"/>
                <w:numId w:val="26"/>
              </w:numPr>
              <w:spacing w:after="0" w:line="240" w:lineRule="auto"/>
              <w:ind w:left="86" w:firstLine="4"/>
              <w:jc w:val="both"/>
              <w:rPr>
                <w:rFonts w:ascii="Times New Roman" w:hAnsi="Times New Roman"/>
                <w:color w:val="000000" w:themeColor="text1"/>
              </w:rPr>
            </w:pPr>
            <w:r w:rsidRPr="00813749">
              <w:rPr>
                <w:rFonts w:ascii="Times New Roman" w:hAnsi="Times New Roman"/>
                <w:color w:val="000000" w:themeColor="text1"/>
              </w:rPr>
              <w:t xml:space="preserve"> відбілююча здатність, % - </w:t>
            </w:r>
            <w:r w:rsidRPr="007907F2">
              <w:rPr>
                <w:rFonts w:ascii="Times New Roman" w:hAnsi="Times New Roman"/>
                <w:b/>
                <w:i/>
                <w:color w:val="000000" w:themeColor="text1"/>
              </w:rPr>
              <w:t>не менше</w:t>
            </w:r>
            <w:r w:rsidRPr="00813749">
              <w:rPr>
                <w:rFonts w:ascii="Times New Roman" w:hAnsi="Times New Roman"/>
                <w:color w:val="000000" w:themeColor="text1"/>
              </w:rPr>
              <w:t xml:space="preserve"> 96</w:t>
            </w:r>
          </w:p>
          <w:p w:rsidR="00003FC8" w:rsidRPr="00593816" w:rsidRDefault="00003FC8" w:rsidP="00E27669">
            <w:pPr>
              <w:pStyle w:val="af5"/>
              <w:keepLines/>
              <w:spacing w:after="0" w:line="240" w:lineRule="auto"/>
              <w:ind w:left="90"/>
              <w:jc w:val="both"/>
              <w:rPr>
                <w:rFonts w:ascii="Times New Roman" w:hAnsi="Times New Roman"/>
                <w:color w:val="2F5496" w:themeColor="accent5" w:themeShade="BF"/>
              </w:rPr>
            </w:pPr>
            <w:r w:rsidRPr="00593816">
              <w:rPr>
                <w:rFonts w:ascii="Times New Roman" w:hAnsi="Times New Roman"/>
                <w:i/>
                <w:color w:val="2F5496" w:themeColor="accent5" w:themeShade="BF"/>
              </w:rPr>
              <w:t>(Учасник</w:t>
            </w:r>
            <w:r w:rsidRPr="00593816">
              <w:rPr>
                <w:i/>
                <w:color w:val="2F5496" w:themeColor="accent5" w:themeShade="BF"/>
              </w:rPr>
              <w:t xml:space="preserve"> в Тендерній пропозиції (технічній частині) замість зазначеного</w:t>
            </w:r>
            <w:r w:rsidRPr="00593816">
              <w:rPr>
                <w:rFonts w:ascii="Times New Roman" w:hAnsi="Times New Roman"/>
                <w:i/>
                <w:color w:val="2F5496" w:themeColor="accent5" w:themeShade="BF"/>
              </w:rPr>
              <w:t xml:space="preserve"> зазначає конкретний показник або показник з виразом «не менше»)</w:t>
            </w:r>
          </w:p>
          <w:p w:rsidR="00003FC8" w:rsidRPr="00593816" w:rsidRDefault="00003FC8" w:rsidP="00E27669">
            <w:pPr>
              <w:ind w:left="86" w:right="256" w:firstLine="4"/>
              <w:jc w:val="both"/>
              <w:rPr>
                <w:i/>
                <w:color w:val="2F5496" w:themeColor="accent5" w:themeShade="BF"/>
                <w:sz w:val="22"/>
                <w:szCs w:val="22"/>
              </w:rPr>
            </w:pPr>
            <w:r w:rsidRPr="00813749">
              <w:rPr>
                <w:color w:val="000000" w:themeColor="text1"/>
                <w:sz w:val="22"/>
                <w:szCs w:val="22"/>
              </w:rPr>
              <w:t xml:space="preserve">– мийна здатність, % - </w:t>
            </w:r>
            <w:r w:rsidRPr="00813749">
              <w:rPr>
                <w:b/>
                <w:i/>
                <w:color w:val="000000" w:themeColor="text1"/>
                <w:sz w:val="22"/>
                <w:szCs w:val="22"/>
              </w:rPr>
              <w:t>не менше</w:t>
            </w:r>
            <w:r w:rsidRPr="00813749">
              <w:rPr>
                <w:color w:val="000000" w:themeColor="text1"/>
                <w:sz w:val="22"/>
                <w:szCs w:val="22"/>
              </w:rPr>
              <w:t xml:space="preserve"> </w:t>
            </w:r>
            <w:r w:rsidRPr="00813749">
              <w:rPr>
                <w:sz w:val="22"/>
                <w:szCs w:val="22"/>
              </w:rPr>
              <w:t xml:space="preserve">90%; </w:t>
            </w:r>
            <w:r w:rsidRPr="00593816">
              <w:rPr>
                <w:i/>
                <w:color w:val="2F5496" w:themeColor="accent5" w:themeShade="BF"/>
                <w:sz w:val="22"/>
                <w:szCs w:val="22"/>
              </w:rPr>
              <w:t>(Учасник в Тендерній пропозиції (технічній частині) замість зазначеного зазначає конкретний показник або показник з виразом «не менше»)</w:t>
            </w:r>
          </w:p>
          <w:p w:rsidR="00003FC8" w:rsidRPr="005C457B" w:rsidRDefault="00003FC8" w:rsidP="00E27669">
            <w:pPr>
              <w:ind w:left="86" w:right="256" w:firstLine="4"/>
              <w:jc w:val="both"/>
              <w:rPr>
                <w:b/>
                <w:i/>
                <w:color w:val="000000" w:themeColor="text1"/>
                <w:sz w:val="22"/>
                <w:szCs w:val="22"/>
              </w:rPr>
            </w:pPr>
            <w:r w:rsidRPr="00813749">
              <w:rPr>
                <w:b/>
                <w:color w:val="000000" w:themeColor="text1"/>
                <w:sz w:val="22"/>
                <w:szCs w:val="22"/>
              </w:rPr>
              <w:t>Фасування</w:t>
            </w:r>
            <w:r w:rsidRPr="00813749">
              <w:rPr>
                <w:color w:val="000000" w:themeColor="text1"/>
                <w:sz w:val="22"/>
                <w:szCs w:val="22"/>
              </w:rPr>
              <w:t xml:space="preserve"> – поліетиленові мішки </w:t>
            </w:r>
            <w:r w:rsidRPr="005C457B">
              <w:rPr>
                <w:b/>
                <w:i/>
                <w:color w:val="000000" w:themeColor="text1"/>
                <w:sz w:val="22"/>
                <w:szCs w:val="22"/>
              </w:rPr>
              <w:t>не менше</w:t>
            </w:r>
            <w:r w:rsidRPr="005C457B">
              <w:rPr>
                <w:b/>
                <w:color w:val="000000" w:themeColor="text1"/>
                <w:sz w:val="22"/>
                <w:szCs w:val="22"/>
              </w:rPr>
              <w:t xml:space="preserve"> 10 кг</w:t>
            </w:r>
            <w:r w:rsidRPr="005C457B">
              <w:rPr>
                <w:b/>
                <w:i/>
                <w:color w:val="000000" w:themeColor="text1"/>
                <w:sz w:val="22"/>
                <w:szCs w:val="22"/>
              </w:rPr>
              <w:t xml:space="preserve"> </w:t>
            </w:r>
          </w:p>
          <w:p w:rsidR="00003FC8" w:rsidRPr="00813749" w:rsidRDefault="00003FC8" w:rsidP="00E27669">
            <w:pPr>
              <w:ind w:left="86" w:right="256" w:firstLine="4"/>
              <w:jc w:val="both"/>
              <w:rPr>
                <w:color w:val="222222"/>
                <w:sz w:val="22"/>
                <w:szCs w:val="22"/>
                <w:shd w:val="clear" w:color="auto" w:fill="F8F9FA"/>
              </w:rPr>
            </w:pPr>
            <w:r w:rsidRPr="00593816">
              <w:rPr>
                <w:i/>
                <w:color w:val="2F5496" w:themeColor="accent5" w:themeShade="BF"/>
                <w:sz w:val="22"/>
                <w:szCs w:val="22"/>
              </w:rPr>
              <w:t>(Учасник в Тендерній пропозиції (технічній частині) замість зазначеного зазначає конкретний показник)</w:t>
            </w:r>
          </w:p>
        </w:tc>
      </w:tr>
    </w:tbl>
    <w:p w:rsidR="00003FC8" w:rsidRPr="007B1DF3" w:rsidRDefault="00003FC8" w:rsidP="00003FC8">
      <w:pPr>
        <w:spacing w:line="276" w:lineRule="auto"/>
        <w:rPr>
          <w:sz w:val="22"/>
          <w:szCs w:val="22"/>
          <w:lang w:eastAsia="en-US"/>
        </w:rPr>
      </w:pPr>
    </w:p>
    <w:p w:rsidR="00003FC8" w:rsidRPr="007B1DF3" w:rsidRDefault="00003FC8" w:rsidP="00003FC8">
      <w:pPr>
        <w:jc w:val="both"/>
        <w:rPr>
          <w:b/>
          <w:sz w:val="22"/>
          <w:szCs w:val="22"/>
        </w:rPr>
      </w:pPr>
      <w:r w:rsidRPr="007B1DF3">
        <w:rPr>
          <w:b/>
          <w:sz w:val="22"/>
          <w:szCs w:val="22"/>
        </w:rPr>
        <w:t>Додаткова інформація.</w:t>
      </w:r>
    </w:p>
    <w:p w:rsidR="00003FC8" w:rsidRPr="007B1DF3" w:rsidRDefault="00003FC8" w:rsidP="00003FC8">
      <w:pPr>
        <w:ind w:firstLine="708"/>
        <w:jc w:val="both"/>
        <w:rPr>
          <w:sz w:val="22"/>
          <w:szCs w:val="22"/>
          <w:lang w:eastAsia="en-US"/>
        </w:rPr>
      </w:pPr>
      <w:r w:rsidRPr="007B1DF3">
        <w:rPr>
          <w:b/>
          <w:color w:val="000000"/>
          <w:sz w:val="22"/>
          <w:szCs w:val="22"/>
        </w:rPr>
        <w:t>Обґрунтування необхідності закупівлі даного виду товару:</w:t>
      </w:r>
      <w:r>
        <w:rPr>
          <w:b/>
          <w:color w:val="000000"/>
          <w:sz w:val="22"/>
          <w:szCs w:val="22"/>
        </w:rPr>
        <w:t xml:space="preserve"> </w:t>
      </w:r>
      <w:r w:rsidRPr="007B1DF3">
        <w:rPr>
          <w:color w:val="000000"/>
          <w:sz w:val="22"/>
          <w:szCs w:val="22"/>
        </w:rPr>
        <w:t xml:space="preserve">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r w:rsidRPr="007B1DF3">
        <w:rPr>
          <w:sz w:val="22"/>
          <w:szCs w:val="22"/>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w:t>
      </w:r>
    </w:p>
    <w:p w:rsidR="00A256E7" w:rsidRPr="004E5633" w:rsidRDefault="00A256E7" w:rsidP="00D04854">
      <w:pPr>
        <w:widowControl w:val="0"/>
        <w:autoSpaceDE w:val="0"/>
        <w:autoSpaceDN w:val="0"/>
        <w:adjustRightInd w:val="0"/>
        <w:ind w:firstLine="709"/>
        <w:contextualSpacing/>
        <w:jc w:val="both"/>
        <w:rPr>
          <w:color w:val="000000"/>
          <w:sz w:val="26"/>
          <w:szCs w:val="26"/>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ABB" w:rsidRDefault="00AE6ABB">
      <w:r>
        <w:separator/>
      </w:r>
    </w:p>
  </w:endnote>
  <w:endnote w:type="continuationSeparator" w:id="0">
    <w:p w:rsidR="00AE6ABB" w:rsidRDefault="00AE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010FE"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66E1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606F09">
      <w:rPr>
        <w:sz w:val="20"/>
        <w:szCs w:val="20"/>
        <w:lang w:val="uk-UA"/>
      </w:rPr>
      <w:t>Продукція для чищення та прання, код ДК 021:2015 - 39830000-9 - Продукція для чищення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E75D9">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E75D9">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ABB" w:rsidRDefault="00AE6ABB">
      <w:r>
        <w:separator/>
      </w:r>
    </w:p>
  </w:footnote>
  <w:footnote w:type="continuationSeparator" w:id="0">
    <w:p w:rsidR="00AE6ABB" w:rsidRDefault="00AE6A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010FE"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35FA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165"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23813E6"/>
    <w:multiLevelType w:val="hybridMultilevel"/>
    <w:tmpl w:val="451217CC"/>
    <w:lvl w:ilvl="0" w:tplc="4DE60A8E">
      <w:numFmt w:val="bullet"/>
      <w:lvlText w:val="-"/>
      <w:lvlJc w:val="left"/>
      <w:pPr>
        <w:ind w:left="450" w:hanging="360"/>
      </w:pPr>
      <w:rPr>
        <w:rFonts w:ascii="Times New Roman" w:eastAsia="Times New Roman" w:hAnsi="Times New Roman" w:hint="default"/>
        <w:color w:val="auto"/>
      </w:rPr>
    </w:lvl>
    <w:lvl w:ilvl="1" w:tplc="04220003">
      <w:start w:val="1"/>
      <w:numFmt w:val="bullet"/>
      <w:lvlText w:val="o"/>
      <w:lvlJc w:val="left"/>
      <w:pPr>
        <w:ind w:left="1485" w:hanging="360"/>
      </w:pPr>
      <w:rPr>
        <w:rFonts w:ascii="Courier New" w:hAnsi="Courier New" w:hint="default"/>
      </w:rPr>
    </w:lvl>
    <w:lvl w:ilvl="2" w:tplc="04220005">
      <w:start w:val="1"/>
      <w:numFmt w:val="bullet"/>
      <w:lvlText w:val=""/>
      <w:lvlJc w:val="left"/>
      <w:pPr>
        <w:ind w:left="2205" w:hanging="360"/>
      </w:pPr>
      <w:rPr>
        <w:rFonts w:ascii="Wingdings" w:hAnsi="Wingdings" w:hint="default"/>
      </w:rPr>
    </w:lvl>
    <w:lvl w:ilvl="3" w:tplc="04220001">
      <w:start w:val="1"/>
      <w:numFmt w:val="bullet"/>
      <w:lvlText w:val=""/>
      <w:lvlJc w:val="left"/>
      <w:pPr>
        <w:ind w:left="2925" w:hanging="360"/>
      </w:pPr>
      <w:rPr>
        <w:rFonts w:ascii="Symbol" w:hAnsi="Symbol" w:hint="default"/>
      </w:rPr>
    </w:lvl>
    <w:lvl w:ilvl="4" w:tplc="04220003">
      <w:start w:val="1"/>
      <w:numFmt w:val="bullet"/>
      <w:lvlText w:val="o"/>
      <w:lvlJc w:val="left"/>
      <w:pPr>
        <w:ind w:left="3645" w:hanging="360"/>
      </w:pPr>
      <w:rPr>
        <w:rFonts w:ascii="Courier New" w:hAnsi="Courier New" w:hint="default"/>
      </w:rPr>
    </w:lvl>
    <w:lvl w:ilvl="5" w:tplc="04220005">
      <w:start w:val="1"/>
      <w:numFmt w:val="bullet"/>
      <w:lvlText w:val=""/>
      <w:lvlJc w:val="left"/>
      <w:pPr>
        <w:ind w:left="4365" w:hanging="360"/>
      </w:pPr>
      <w:rPr>
        <w:rFonts w:ascii="Wingdings" w:hAnsi="Wingdings" w:hint="default"/>
      </w:rPr>
    </w:lvl>
    <w:lvl w:ilvl="6" w:tplc="04220001">
      <w:start w:val="1"/>
      <w:numFmt w:val="bullet"/>
      <w:lvlText w:val=""/>
      <w:lvlJc w:val="left"/>
      <w:pPr>
        <w:ind w:left="5085" w:hanging="360"/>
      </w:pPr>
      <w:rPr>
        <w:rFonts w:ascii="Symbol" w:hAnsi="Symbol" w:hint="default"/>
      </w:rPr>
    </w:lvl>
    <w:lvl w:ilvl="7" w:tplc="04220003">
      <w:start w:val="1"/>
      <w:numFmt w:val="bullet"/>
      <w:lvlText w:val="o"/>
      <w:lvlJc w:val="left"/>
      <w:pPr>
        <w:ind w:left="5805" w:hanging="360"/>
      </w:pPr>
      <w:rPr>
        <w:rFonts w:ascii="Courier New" w:hAnsi="Courier New" w:hint="default"/>
      </w:rPr>
    </w:lvl>
    <w:lvl w:ilvl="8" w:tplc="04220005">
      <w:start w:val="1"/>
      <w:numFmt w:val="bullet"/>
      <w:lvlText w:val=""/>
      <w:lvlJc w:val="left"/>
      <w:pPr>
        <w:ind w:left="6525"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3FC8"/>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E75D9"/>
    <w:rsid w:val="000F0C81"/>
    <w:rsid w:val="000F14B6"/>
    <w:rsid w:val="000F2F0F"/>
    <w:rsid w:val="000F3267"/>
    <w:rsid w:val="000F3B08"/>
    <w:rsid w:val="000F3B25"/>
    <w:rsid w:val="001001BA"/>
    <w:rsid w:val="00100497"/>
    <w:rsid w:val="0010096F"/>
    <w:rsid w:val="001010FE"/>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2E5E"/>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5633"/>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06F09"/>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44E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E6ABB"/>
    <w:rsid w:val="00AF0B1C"/>
    <w:rsid w:val="00AF4DA1"/>
    <w:rsid w:val="00AF71D9"/>
    <w:rsid w:val="00AF7270"/>
    <w:rsid w:val="00AF7437"/>
    <w:rsid w:val="00B00128"/>
    <w:rsid w:val="00B016FE"/>
    <w:rsid w:val="00B021F6"/>
    <w:rsid w:val="00B02714"/>
    <w:rsid w:val="00B044B3"/>
    <w:rsid w:val="00B072C8"/>
    <w:rsid w:val="00B07C36"/>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E917D"/>
  <w15:chartTrackingRefBased/>
  <w15:docId w15:val="{A2661B53-4C83-4EDB-9A5F-42D9AAE7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m.ua/u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een-sky.com.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picentrk.u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oreca-service.net/u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7BCD-FFD5-4FB1-B931-5A833222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2023-05-23T09:47:00Z</dcterms:created>
  <dcterms:modified xsi:type="dcterms:W3CDTF">2023-05-23T09:47:00Z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