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540C0" w:rsidP="006926A0">
            <w:pPr>
              <w:pStyle w:val="a3"/>
              <w:widowControl w:val="0"/>
              <w:rPr>
                <w:szCs w:val="17"/>
                <w:lang w:val="uk-UA"/>
              </w:rPr>
            </w:pPr>
            <w:r>
              <w:rPr>
                <w:noProof/>
                <w:lang w:val="uk-UA" w:eastAsia="uk-UA"/>
              </w:rPr>
              <w:drawing>
                <wp:inline distT="0" distB="0" distL="0" distR="0">
                  <wp:extent cx="1447165" cy="2863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2"/>
        <w:gridCol w:w="3042"/>
        <w:gridCol w:w="1887"/>
        <w:gridCol w:w="2195"/>
        <w:gridCol w:w="1865"/>
      </w:tblGrid>
      <w:tr w:rsidR="00A76484" w:rsidRPr="007101A5" w:rsidTr="00D540C0">
        <w:tc>
          <w:tcPr>
            <w:tcW w:w="488"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D540C0">
        <w:tc>
          <w:tcPr>
            <w:tcW w:w="488" w:type="pct"/>
          </w:tcPr>
          <w:p w:rsidR="00A76484" w:rsidRPr="00D540C0" w:rsidRDefault="004072F7" w:rsidP="00D540C0">
            <w:pPr>
              <w:widowControl w:val="0"/>
              <w:ind w:right="-11"/>
              <w:jc w:val="center"/>
              <w:rPr>
                <w:sz w:val="22"/>
                <w:szCs w:val="22"/>
                <w:lang w:val="uk-UA" w:eastAsia="uk-UA"/>
              </w:rPr>
            </w:pPr>
            <w:r w:rsidRPr="00D540C0">
              <w:rPr>
                <w:sz w:val="22"/>
                <w:szCs w:val="22"/>
                <w:lang w:val="uk-UA"/>
              </w:rPr>
              <w:t>п.</w:t>
            </w:r>
            <w:r w:rsidR="00A76484" w:rsidRPr="00D540C0">
              <w:rPr>
                <w:sz w:val="22"/>
                <w:szCs w:val="22"/>
                <w:lang w:val="uk-UA"/>
              </w:rPr>
              <w:t xml:space="preserve"> </w:t>
            </w:r>
            <w:r w:rsidR="00040B9A" w:rsidRPr="00D540C0">
              <w:rPr>
                <w:sz w:val="22"/>
                <w:szCs w:val="22"/>
                <w:lang w:val="uk-UA"/>
              </w:rPr>
              <w:t xml:space="preserve">24.59  </w:t>
            </w:r>
            <w:r w:rsidR="00BD6E95" w:rsidRPr="00D540C0">
              <w:rPr>
                <w:sz w:val="22"/>
                <w:szCs w:val="22"/>
                <w:lang w:val="uk-UA" w:eastAsia="uk-UA"/>
              </w:rPr>
              <w:t>(202</w:t>
            </w:r>
            <w:r w:rsidR="004E76E1" w:rsidRPr="00D540C0">
              <w:rPr>
                <w:sz w:val="22"/>
                <w:szCs w:val="22"/>
                <w:lang w:val="uk-UA" w:eastAsia="uk-UA"/>
              </w:rPr>
              <w:t>3</w:t>
            </w:r>
            <w:r w:rsidR="00A76484" w:rsidRPr="00D540C0">
              <w:rPr>
                <w:sz w:val="22"/>
                <w:szCs w:val="22"/>
                <w:lang w:val="uk-UA" w:eastAsia="uk-UA"/>
              </w:rPr>
              <w:t>)</w:t>
            </w:r>
          </w:p>
        </w:tc>
        <w:tc>
          <w:tcPr>
            <w:tcW w:w="1527" w:type="pct"/>
          </w:tcPr>
          <w:p w:rsidR="00A76484" w:rsidRPr="00D540C0" w:rsidRDefault="00040B9A" w:rsidP="00A12478">
            <w:pPr>
              <w:widowControl w:val="0"/>
              <w:rPr>
                <w:bCs/>
                <w:sz w:val="22"/>
                <w:szCs w:val="22"/>
                <w:lang w:val="uk-UA"/>
              </w:rPr>
            </w:pPr>
            <w:r w:rsidRPr="00D540C0">
              <w:rPr>
                <w:b/>
                <w:sz w:val="22"/>
                <w:szCs w:val="22"/>
                <w:lang w:val="uk-UA"/>
              </w:rPr>
              <w:t xml:space="preserve">«Основи роботи в </w:t>
            </w:r>
            <w:proofErr w:type="spellStart"/>
            <w:r w:rsidRPr="00D540C0">
              <w:rPr>
                <w:b/>
                <w:sz w:val="22"/>
                <w:szCs w:val="22"/>
                <w:lang w:val="uk-UA"/>
              </w:rPr>
              <w:t>Power</w:t>
            </w:r>
            <w:proofErr w:type="spellEnd"/>
            <w:r w:rsidRPr="00D540C0">
              <w:rPr>
                <w:b/>
                <w:sz w:val="22"/>
                <w:szCs w:val="22"/>
                <w:lang w:val="uk-UA"/>
              </w:rPr>
              <w:t xml:space="preserve"> BI» та «</w:t>
            </w:r>
            <w:proofErr w:type="spellStart"/>
            <w:r w:rsidRPr="00D540C0">
              <w:rPr>
                <w:b/>
                <w:sz w:val="22"/>
                <w:szCs w:val="22"/>
                <w:lang w:val="uk-UA"/>
              </w:rPr>
              <w:t>Advance</w:t>
            </w:r>
            <w:proofErr w:type="spellEnd"/>
            <w:r w:rsidRPr="00D540C0">
              <w:rPr>
                <w:b/>
                <w:sz w:val="22"/>
                <w:szCs w:val="22"/>
                <w:lang w:val="uk-UA"/>
              </w:rPr>
              <w:t xml:space="preserve"> </w:t>
            </w:r>
            <w:proofErr w:type="spellStart"/>
            <w:r w:rsidRPr="00D540C0">
              <w:rPr>
                <w:b/>
                <w:sz w:val="22"/>
                <w:szCs w:val="22"/>
                <w:lang w:val="uk-UA"/>
              </w:rPr>
              <w:t>Power</w:t>
            </w:r>
            <w:proofErr w:type="spellEnd"/>
            <w:r w:rsidRPr="00D540C0">
              <w:rPr>
                <w:b/>
                <w:sz w:val="22"/>
                <w:szCs w:val="22"/>
                <w:lang w:val="uk-UA"/>
              </w:rPr>
              <w:t xml:space="preserve"> BI»,  </w:t>
            </w:r>
            <w:r w:rsidRPr="00D540C0">
              <w:rPr>
                <w:sz w:val="22"/>
                <w:szCs w:val="22"/>
                <w:lang w:val="uk-UA"/>
              </w:rPr>
              <w:t>код ДК 021:2015 - 80570000-0 - Послуги з професійної підготовки у сфері підвищення кваліфікації</w:t>
            </w:r>
            <w:r w:rsidRPr="00D540C0">
              <w:rPr>
                <w:b/>
                <w:sz w:val="22"/>
                <w:szCs w:val="22"/>
                <w:lang w:val="uk-UA"/>
              </w:rPr>
              <w:t xml:space="preserve"> </w:t>
            </w:r>
          </w:p>
        </w:tc>
        <w:tc>
          <w:tcPr>
            <w:tcW w:w="947" w:type="pct"/>
          </w:tcPr>
          <w:p w:rsidR="00A76484" w:rsidRPr="00D540C0" w:rsidRDefault="00D540C0" w:rsidP="002D4D30">
            <w:pPr>
              <w:widowControl w:val="0"/>
              <w:jc w:val="center"/>
              <w:rPr>
                <w:sz w:val="22"/>
                <w:szCs w:val="22"/>
                <w:lang w:val="uk-UA"/>
              </w:rPr>
            </w:pPr>
            <w:r w:rsidRPr="00D540C0">
              <w:rPr>
                <w:sz w:val="22"/>
                <w:szCs w:val="22"/>
                <w:lang w:val="uk-UA"/>
              </w:rPr>
              <w:t>50 000,00</w:t>
            </w:r>
          </w:p>
          <w:p w:rsidR="00A76484" w:rsidRPr="00D540C0" w:rsidRDefault="00A76484" w:rsidP="002D4D30">
            <w:pPr>
              <w:widowControl w:val="0"/>
              <w:jc w:val="center"/>
              <w:rPr>
                <w:sz w:val="22"/>
                <w:szCs w:val="22"/>
                <w:lang w:val="uk-UA"/>
              </w:rPr>
            </w:pPr>
            <w:r w:rsidRPr="00D540C0">
              <w:rPr>
                <w:sz w:val="22"/>
                <w:szCs w:val="22"/>
                <w:lang w:val="uk-UA"/>
              </w:rPr>
              <w:t>грн. з ПДВ</w:t>
            </w:r>
          </w:p>
        </w:tc>
        <w:tc>
          <w:tcPr>
            <w:tcW w:w="1102" w:type="pct"/>
          </w:tcPr>
          <w:p w:rsidR="00A76484" w:rsidRPr="00D540C0" w:rsidRDefault="00040B9A" w:rsidP="002D4D30">
            <w:pPr>
              <w:widowControl w:val="0"/>
              <w:jc w:val="center"/>
              <w:rPr>
                <w:sz w:val="22"/>
                <w:szCs w:val="22"/>
                <w:lang w:val="uk-UA"/>
              </w:rPr>
            </w:pPr>
            <w:r w:rsidRPr="00D540C0">
              <w:rPr>
                <w:sz w:val="22"/>
                <w:szCs w:val="22"/>
                <w:lang w:val="uk-UA"/>
              </w:rPr>
              <w:t>41 666,67</w:t>
            </w:r>
          </w:p>
          <w:p w:rsidR="00A76484" w:rsidRPr="00D540C0" w:rsidRDefault="00A76484" w:rsidP="002D4D30">
            <w:pPr>
              <w:widowControl w:val="0"/>
              <w:jc w:val="center"/>
              <w:rPr>
                <w:sz w:val="22"/>
                <w:szCs w:val="22"/>
                <w:lang w:val="uk-UA"/>
              </w:rPr>
            </w:pPr>
            <w:r w:rsidRPr="00D540C0">
              <w:rPr>
                <w:sz w:val="22"/>
                <w:szCs w:val="22"/>
                <w:lang w:val="uk-UA"/>
              </w:rPr>
              <w:t xml:space="preserve">грн. без ПДВ </w:t>
            </w:r>
          </w:p>
        </w:tc>
        <w:tc>
          <w:tcPr>
            <w:tcW w:w="936" w:type="pct"/>
          </w:tcPr>
          <w:p w:rsidR="00A76484" w:rsidRPr="007101A5" w:rsidRDefault="00A254FA" w:rsidP="002D4D30">
            <w:pPr>
              <w:widowControl w:val="0"/>
              <w:jc w:val="center"/>
              <w:rPr>
                <w:color w:val="0000FF"/>
                <w:sz w:val="22"/>
                <w:szCs w:val="22"/>
                <w:lang w:val="uk-UA"/>
              </w:rPr>
            </w:pPr>
            <w:r w:rsidRPr="00A254FA">
              <w:rPr>
                <w:b/>
                <w:sz w:val="22"/>
                <w:szCs w:val="22"/>
                <w:lang w:val="uk-UA"/>
              </w:rPr>
              <w:t>UA-2023-06-29-004997-a</w:t>
            </w:r>
          </w:p>
        </w:tc>
      </w:tr>
    </w:tbl>
    <w:p w:rsidR="00A12478" w:rsidRPr="00D540C0" w:rsidRDefault="00A12478" w:rsidP="0063471D">
      <w:pPr>
        <w:pStyle w:val="a3"/>
        <w:widowControl w:val="0"/>
        <w:jc w:val="both"/>
        <w:rPr>
          <w:sz w:val="22"/>
          <w:szCs w:val="22"/>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Borders>
          <w:top w:val="thickThinLargeGap" w:sz="6" w:space="0" w:color="000000"/>
          <w:left w:val="thickThinLargeGap" w:sz="6" w:space="0" w:color="000000"/>
          <w:bottom w:val="thickThinLargeGap" w:sz="6" w:space="0" w:color="000000"/>
          <w:right w:val="thickThinLargeGap" w:sz="6" w:space="0" w:color="000000"/>
          <w:insideH w:val="thickThinLargeGap" w:sz="6" w:space="0" w:color="000000"/>
          <w:insideV w:val="thickThinLargeGap" w:sz="6" w:space="0" w:color="000000"/>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D540C0" w:rsidRPr="00D540C0" w:rsidTr="00D540C0">
        <w:tc>
          <w:tcPr>
            <w:tcW w:w="426" w:type="dxa"/>
            <w:shd w:val="clear" w:color="auto" w:fill="auto"/>
          </w:tcPr>
          <w:p w:rsidR="00D540C0" w:rsidRPr="00D540C0" w:rsidRDefault="00D540C0" w:rsidP="00D540C0">
            <w:pPr>
              <w:rPr>
                <w:lang w:val="uk-UA"/>
              </w:rPr>
            </w:pPr>
            <w:r w:rsidRPr="00D540C0">
              <w:rPr>
                <w:lang w:val="uk-UA"/>
              </w:rPr>
              <w:t>1</w:t>
            </w:r>
          </w:p>
        </w:tc>
        <w:tc>
          <w:tcPr>
            <w:tcW w:w="2693" w:type="dxa"/>
            <w:shd w:val="clear" w:color="auto" w:fill="auto"/>
          </w:tcPr>
          <w:p w:rsidR="00D540C0" w:rsidRPr="00D540C0" w:rsidRDefault="00D540C0" w:rsidP="00D540C0">
            <w:pPr>
              <w:rPr>
                <w:lang w:val="uk-UA"/>
              </w:rPr>
            </w:pPr>
            <w:r w:rsidRPr="00D540C0">
              <w:rPr>
                <w:lang w:val="uk-UA"/>
              </w:rPr>
              <w:t>Обґрунтування технічних та якісних характеристик предмета закупівлі</w:t>
            </w:r>
          </w:p>
        </w:tc>
        <w:tc>
          <w:tcPr>
            <w:tcW w:w="7087" w:type="dxa"/>
            <w:shd w:val="clear" w:color="auto" w:fill="F2F2F2"/>
          </w:tcPr>
          <w:p w:rsidR="00D540C0" w:rsidRPr="00D540C0" w:rsidRDefault="00D540C0" w:rsidP="00D540C0">
            <w:pPr>
              <w:widowControl w:val="0"/>
              <w:autoSpaceDE w:val="0"/>
              <w:autoSpaceDN w:val="0"/>
              <w:adjustRightInd w:val="0"/>
              <w:ind w:right="-6"/>
              <w:jc w:val="both"/>
              <w:rPr>
                <w:i/>
                <w:iCs/>
                <w:color w:val="FF0000"/>
                <w:sz w:val="22"/>
                <w:szCs w:val="22"/>
                <w:lang w:val="uk-UA"/>
              </w:rPr>
            </w:pPr>
            <w:r w:rsidRPr="00D540C0">
              <w:rPr>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r w:rsidRPr="00D540C0">
              <w:rPr>
                <w:i/>
                <w:iCs/>
                <w:color w:val="FF0000"/>
                <w:sz w:val="22"/>
                <w:szCs w:val="22"/>
                <w:lang w:val="uk-UA"/>
              </w:rPr>
              <w:t xml:space="preserve"> </w:t>
            </w:r>
          </w:p>
        </w:tc>
      </w:tr>
      <w:tr w:rsidR="00D540C0" w:rsidRPr="00D540C0" w:rsidTr="00D540C0">
        <w:tc>
          <w:tcPr>
            <w:tcW w:w="426" w:type="dxa"/>
            <w:shd w:val="clear" w:color="auto" w:fill="auto"/>
          </w:tcPr>
          <w:p w:rsidR="00D540C0" w:rsidRPr="00D540C0" w:rsidRDefault="00D540C0" w:rsidP="00D540C0">
            <w:pPr>
              <w:rPr>
                <w:bCs/>
                <w:lang w:val="uk-UA"/>
              </w:rPr>
            </w:pPr>
            <w:r w:rsidRPr="00D540C0">
              <w:rPr>
                <w:bCs/>
                <w:lang w:val="uk-UA"/>
              </w:rPr>
              <w:t>2</w:t>
            </w:r>
          </w:p>
        </w:tc>
        <w:tc>
          <w:tcPr>
            <w:tcW w:w="2693" w:type="dxa"/>
            <w:shd w:val="clear" w:color="auto" w:fill="auto"/>
          </w:tcPr>
          <w:p w:rsidR="00D540C0" w:rsidRPr="00D540C0" w:rsidRDefault="00D540C0" w:rsidP="00D540C0">
            <w:pPr>
              <w:rPr>
                <w:lang w:val="uk-UA"/>
              </w:rPr>
            </w:pPr>
            <w:r w:rsidRPr="00D540C0">
              <w:rPr>
                <w:lang w:val="uk-UA"/>
              </w:rPr>
              <w:t>Обґрунтування очікуваної вартості предмета закупівлі</w:t>
            </w:r>
          </w:p>
        </w:tc>
        <w:tc>
          <w:tcPr>
            <w:tcW w:w="7087" w:type="dxa"/>
            <w:shd w:val="clear" w:color="auto" w:fill="F2F2F2"/>
          </w:tcPr>
          <w:p w:rsidR="00D540C0" w:rsidRPr="00D540C0" w:rsidRDefault="00D540C0" w:rsidP="00D540C0">
            <w:pPr>
              <w:widowControl w:val="0"/>
              <w:autoSpaceDE w:val="0"/>
              <w:autoSpaceDN w:val="0"/>
              <w:adjustRightInd w:val="0"/>
              <w:ind w:right="-6"/>
              <w:jc w:val="both"/>
              <w:rPr>
                <w:lang w:val="uk-UA"/>
              </w:rPr>
            </w:pPr>
            <w:r w:rsidRPr="00D540C0">
              <w:rPr>
                <w:lang w:val="uk-UA"/>
              </w:rPr>
              <w:t xml:space="preserve">Очікувана вартість предмета закупівлі розрахована згідно з вимогами </w:t>
            </w:r>
            <w:r w:rsidRPr="00D540C0">
              <w:rPr>
                <w:i/>
                <w:iCs/>
                <w:lang w:val="uk-UA"/>
              </w:rPr>
              <w:t>«Положенням про порядок визначення очікуваної вартості предмета закупівлі»</w:t>
            </w:r>
            <w:r w:rsidRPr="00D540C0">
              <w:rPr>
                <w:lang w:val="uk-UA"/>
              </w:rPr>
              <w:t xml:space="preserve"> від 17.05.2022 №50-06-1.</w:t>
            </w:r>
          </w:p>
          <w:p w:rsidR="00D540C0" w:rsidRPr="00D540C0" w:rsidRDefault="00D540C0" w:rsidP="00D540C0">
            <w:pPr>
              <w:widowControl w:val="0"/>
              <w:autoSpaceDE w:val="0"/>
              <w:autoSpaceDN w:val="0"/>
              <w:adjustRightInd w:val="0"/>
              <w:ind w:right="-6"/>
              <w:jc w:val="both"/>
              <w:rPr>
                <w:i/>
                <w:iCs/>
                <w:color w:val="FF0000"/>
                <w:sz w:val="22"/>
                <w:szCs w:val="22"/>
                <w:lang w:val="uk-UA"/>
              </w:rPr>
            </w:pPr>
            <w:r w:rsidRPr="00D540C0">
              <w:rPr>
                <w:lang w:val="uk-UA"/>
              </w:rPr>
              <w:t>Очікувана вартість предмета закупівлі визначена методом порівняння цін в комерційних пропозиціях, отриманих відповідно до запитів, та розрахована як середньоарифметична.</w:t>
            </w:r>
          </w:p>
        </w:tc>
      </w:tr>
      <w:tr w:rsidR="00D540C0" w:rsidRPr="007101A5" w:rsidTr="00D540C0">
        <w:tc>
          <w:tcPr>
            <w:tcW w:w="426" w:type="dxa"/>
            <w:shd w:val="clear" w:color="auto" w:fill="auto"/>
          </w:tcPr>
          <w:p w:rsidR="00D540C0" w:rsidRPr="007101A5" w:rsidRDefault="00D540C0" w:rsidP="00D540C0">
            <w:pPr>
              <w:rPr>
                <w:bCs/>
                <w:lang w:val="uk-UA"/>
              </w:rPr>
            </w:pPr>
            <w:r w:rsidRPr="007101A5">
              <w:rPr>
                <w:bCs/>
                <w:lang w:val="uk-UA"/>
              </w:rPr>
              <w:t>3</w:t>
            </w:r>
          </w:p>
        </w:tc>
        <w:tc>
          <w:tcPr>
            <w:tcW w:w="2693" w:type="dxa"/>
            <w:shd w:val="clear" w:color="auto" w:fill="auto"/>
          </w:tcPr>
          <w:p w:rsidR="00D540C0" w:rsidRPr="007101A5" w:rsidRDefault="00D540C0" w:rsidP="00D540C0">
            <w:pPr>
              <w:rPr>
                <w:lang w:val="uk-UA"/>
              </w:rPr>
            </w:pPr>
            <w:r w:rsidRPr="007101A5">
              <w:rPr>
                <w:lang w:val="uk-UA"/>
              </w:rPr>
              <w:t>Інша інформація</w:t>
            </w:r>
          </w:p>
        </w:tc>
        <w:tc>
          <w:tcPr>
            <w:tcW w:w="7087" w:type="dxa"/>
            <w:shd w:val="clear" w:color="auto" w:fill="auto"/>
          </w:tcPr>
          <w:p w:rsidR="00D540C0" w:rsidRPr="007101A5" w:rsidRDefault="00D540C0" w:rsidP="00D540C0">
            <w:pPr>
              <w:rPr>
                <w:i/>
                <w:lang w:val="uk-UA"/>
              </w:rPr>
            </w:pPr>
            <w:r>
              <w:rPr>
                <w:i/>
                <w:lang w:val="uk-UA"/>
              </w:rPr>
              <w:t>–</w:t>
            </w:r>
          </w:p>
        </w:tc>
      </w:tr>
    </w:tbl>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895"/>
        <w:gridCol w:w="1190"/>
        <w:gridCol w:w="992"/>
        <w:gridCol w:w="5812"/>
      </w:tblGrid>
      <w:tr w:rsidR="00D540C0" w:rsidRPr="00D540C0" w:rsidTr="00D540C0">
        <w:tc>
          <w:tcPr>
            <w:tcW w:w="567" w:type="dxa"/>
            <w:shd w:val="clear" w:color="auto" w:fill="E7E6E6"/>
            <w:tcMar>
              <w:top w:w="100" w:type="nil"/>
              <w:right w:w="100" w:type="nil"/>
            </w:tcMar>
          </w:tcPr>
          <w:p w:rsidR="00D540C0" w:rsidRPr="00D540C0" w:rsidRDefault="00D540C0" w:rsidP="00F01727">
            <w:pPr>
              <w:widowControl w:val="0"/>
              <w:autoSpaceDE w:val="0"/>
              <w:autoSpaceDN w:val="0"/>
              <w:adjustRightInd w:val="0"/>
              <w:ind w:right="-6"/>
              <w:rPr>
                <w:rFonts w:eastAsia="Calibri"/>
                <w:b/>
                <w:lang w:eastAsia="en-US"/>
              </w:rPr>
            </w:pPr>
            <w:r w:rsidRPr="00D540C0">
              <w:rPr>
                <w:rFonts w:eastAsia="Calibri"/>
                <w:b/>
                <w:lang w:eastAsia="en-US"/>
              </w:rPr>
              <w:t>№ п/п</w:t>
            </w:r>
          </w:p>
        </w:tc>
        <w:tc>
          <w:tcPr>
            <w:tcW w:w="1895" w:type="dxa"/>
            <w:shd w:val="clear" w:color="auto" w:fill="E7E6E6"/>
            <w:tcMar>
              <w:top w:w="100" w:type="nil"/>
              <w:right w:w="100" w:type="nil"/>
            </w:tcMar>
          </w:tcPr>
          <w:p w:rsidR="00D540C0" w:rsidRPr="00D540C0" w:rsidRDefault="00D540C0" w:rsidP="00F01727">
            <w:pPr>
              <w:widowControl w:val="0"/>
              <w:autoSpaceDE w:val="0"/>
              <w:autoSpaceDN w:val="0"/>
              <w:adjustRightInd w:val="0"/>
              <w:ind w:right="-6"/>
              <w:jc w:val="center"/>
              <w:rPr>
                <w:rFonts w:eastAsia="Calibri"/>
                <w:b/>
                <w:bCs/>
                <w:lang w:eastAsia="en-US"/>
              </w:rPr>
            </w:pPr>
            <w:proofErr w:type="spellStart"/>
            <w:r w:rsidRPr="00D540C0">
              <w:rPr>
                <w:rFonts w:eastAsia="Calibri"/>
                <w:b/>
                <w:bCs/>
                <w:lang w:eastAsia="en-US"/>
              </w:rPr>
              <w:t>Найменування</w:t>
            </w:r>
            <w:proofErr w:type="spellEnd"/>
            <w:r w:rsidRPr="00D540C0">
              <w:rPr>
                <w:rFonts w:eastAsia="Calibri"/>
                <w:b/>
                <w:bCs/>
                <w:lang w:eastAsia="en-US"/>
              </w:rPr>
              <w:t xml:space="preserve"> </w:t>
            </w:r>
          </w:p>
          <w:p w:rsidR="00D540C0" w:rsidRPr="00D540C0" w:rsidRDefault="00D540C0" w:rsidP="00F01727">
            <w:pPr>
              <w:widowControl w:val="0"/>
              <w:autoSpaceDE w:val="0"/>
              <w:autoSpaceDN w:val="0"/>
              <w:adjustRightInd w:val="0"/>
              <w:ind w:right="-6"/>
              <w:jc w:val="center"/>
              <w:rPr>
                <w:rFonts w:eastAsia="Calibri"/>
                <w:b/>
                <w:bCs/>
                <w:lang w:val="uk-UA" w:eastAsia="en-US"/>
              </w:rPr>
            </w:pPr>
            <w:r w:rsidRPr="00D540C0">
              <w:rPr>
                <w:rFonts w:eastAsia="Calibri"/>
                <w:b/>
                <w:bCs/>
                <w:lang w:val="uk-UA" w:eastAsia="en-US"/>
              </w:rPr>
              <w:t>Послуги</w:t>
            </w:r>
          </w:p>
        </w:tc>
        <w:tc>
          <w:tcPr>
            <w:tcW w:w="1190" w:type="dxa"/>
            <w:shd w:val="clear" w:color="auto" w:fill="E7E6E6"/>
            <w:tcMar>
              <w:top w:w="100" w:type="nil"/>
              <w:right w:w="100" w:type="nil"/>
            </w:tcMar>
          </w:tcPr>
          <w:p w:rsidR="00D540C0" w:rsidRPr="00D540C0" w:rsidRDefault="00D540C0" w:rsidP="00F01727">
            <w:pPr>
              <w:widowControl w:val="0"/>
              <w:autoSpaceDE w:val="0"/>
              <w:autoSpaceDN w:val="0"/>
              <w:adjustRightInd w:val="0"/>
              <w:ind w:right="-6"/>
              <w:jc w:val="center"/>
              <w:rPr>
                <w:rFonts w:eastAsia="Calibri"/>
                <w:b/>
                <w:bCs/>
                <w:lang w:eastAsia="en-US"/>
              </w:rPr>
            </w:pPr>
            <w:proofErr w:type="spellStart"/>
            <w:r w:rsidRPr="00D540C0">
              <w:rPr>
                <w:rFonts w:eastAsia="Calibri"/>
                <w:b/>
                <w:bCs/>
                <w:lang w:eastAsia="en-US"/>
              </w:rPr>
              <w:t>Одиниця</w:t>
            </w:r>
            <w:proofErr w:type="spellEnd"/>
          </w:p>
          <w:p w:rsidR="00D540C0" w:rsidRPr="00D540C0" w:rsidRDefault="00D540C0" w:rsidP="00F01727">
            <w:pPr>
              <w:widowControl w:val="0"/>
              <w:autoSpaceDE w:val="0"/>
              <w:autoSpaceDN w:val="0"/>
              <w:adjustRightInd w:val="0"/>
              <w:ind w:right="-6"/>
              <w:jc w:val="center"/>
              <w:rPr>
                <w:rFonts w:eastAsia="Calibri"/>
                <w:b/>
                <w:bCs/>
                <w:lang w:eastAsia="en-US"/>
              </w:rPr>
            </w:pPr>
            <w:proofErr w:type="spellStart"/>
            <w:r w:rsidRPr="00D540C0">
              <w:rPr>
                <w:rFonts w:eastAsia="Calibri"/>
                <w:b/>
                <w:bCs/>
                <w:lang w:eastAsia="en-US"/>
              </w:rPr>
              <w:t>виміру</w:t>
            </w:r>
            <w:proofErr w:type="spellEnd"/>
          </w:p>
        </w:tc>
        <w:tc>
          <w:tcPr>
            <w:tcW w:w="992" w:type="dxa"/>
            <w:shd w:val="clear" w:color="auto" w:fill="E7E6E6"/>
            <w:tcMar>
              <w:top w:w="100" w:type="nil"/>
              <w:right w:w="100" w:type="nil"/>
            </w:tcMar>
          </w:tcPr>
          <w:p w:rsidR="00D540C0" w:rsidRPr="00D540C0" w:rsidRDefault="00D540C0" w:rsidP="00F01727">
            <w:pPr>
              <w:widowControl w:val="0"/>
              <w:autoSpaceDE w:val="0"/>
              <w:autoSpaceDN w:val="0"/>
              <w:adjustRightInd w:val="0"/>
              <w:ind w:right="-6"/>
              <w:jc w:val="center"/>
              <w:rPr>
                <w:rFonts w:eastAsia="Calibri"/>
                <w:b/>
                <w:bCs/>
                <w:lang w:eastAsia="en-US"/>
              </w:rPr>
            </w:pPr>
            <w:proofErr w:type="spellStart"/>
            <w:r w:rsidRPr="00D540C0">
              <w:rPr>
                <w:rFonts w:eastAsia="Calibri"/>
                <w:b/>
                <w:bCs/>
                <w:lang w:eastAsia="en-US"/>
              </w:rPr>
              <w:t>Кількість</w:t>
            </w:r>
            <w:proofErr w:type="spellEnd"/>
          </w:p>
        </w:tc>
        <w:tc>
          <w:tcPr>
            <w:tcW w:w="5812" w:type="dxa"/>
            <w:shd w:val="clear" w:color="auto" w:fill="E7E6E6"/>
            <w:tcMar>
              <w:top w:w="100" w:type="nil"/>
              <w:right w:w="100" w:type="nil"/>
            </w:tcMar>
          </w:tcPr>
          <w:p w:rsidR="00D540C0" w:rsidRPr="00D540C0" w:rsidRDefault="00D540C0" w:rsidP="00F01727">
            <w:pPr>
              <w:widowControl w:val="0"/>
              <w:autoSpaceDE w:val="0"/>
              <w:autoSpaceDN w:val="0"/>
              <w:adjustRightInd w:val="0"/>
              <w:ind w:right="-6"/>
              <w:jc w:val="center"/>
              <w:rPr>
                <w:rFonts w:eastAsia="Calibri"/>
                <w:b/>
                <w:bCs/>
                <w:lang w:eastAsia="en-US"/>
              </w:rPr>
            </w:pPr>
            <w:proofErr w:type="spellStart"/>
            <w:r w:rsidRPr="00D540C0">
              <w:rPr>
                <w:rFonts w:eastAsia="Calibri"/>
                <w:b/>
                <w:bCs/>
                <w:lang w:eastAsia="en-US"/>
              </w:rPr>
              <w:t>Технічні</w:t>
            </w:r>
            <w:proofErr w:type="spellEnd"/>
            <w:r w:rsidRPr="00D540C0">
              <w:rPr>
                <w:rFonts w:eastAsia="Calibri"/>
                <w:b/>
                <w:bCs/>
                <w:lang w:eastAsia="en-US"/>
              </w:rPr>
              <w:t xml:space="preserve"> та </w:t>
            </w:r>
            <w:proofErr w:type="spellStart"/>
            <w:r w:rsidRPr="00D540C0">
              <w:rPr>
                <w:rFonts w:eastAsia="Calibri"/>
                <w:b/>
                <w:bCs/>
                <w:lang w:eastAsia="en-US"/>
              </w:rPr>
              <w:t>інші</w:t>
            </w:r>
            <w:proofErr w:type="spellEnd"/>
            <w:r w:rsidRPr="00D540C0">
              <w:rPr>
                <w:rFonts w:eastAsia="Calibri"/>
                <w:b/>
                <w:bCs/>
                <w:lang w:eastAsia="en-US"/>
              </w:rPr>
              <w:t xml:space="preserve"> характеристики</w:t>
            </w:r>
          </w:p>
          <w:p w:rsidR="00D540C0" w:rsidRPr="00D540C0" w:rsidRDefault="00D540C0" w:rsidP="00F01727">
            <w:pPr>
              <w:widowControl w:val="0"/>
              <w:autoSpaceDE w:val="0"/>
              <w:autoSpaceDN w:val="0"/>
              <w:adjustRightInd w:val="0"/>
              <w:ind w:right="-6"/>
              <w:jc w:val="center"/>
              <w:rPr>
                <w:rFonts w:eastAsia="Calibri"/>
                <w:b/>
                <w:bCs/>
                <w:lang w:eastAsia="en-US"/>
              </w:rPr>
            </w:pPr>
            <w:r w:rsidRPr="00D540C0">
              <w:rPr>
                <w:rFonts w:eastAsia="Calibri"/>
                <w:b/>
                <w:bCs/>
                <w:lang w:eastAsia="en-US"/>
              </w:rPr>
              <w:t>(</w:t>
            </w:r>
            <w:proofErr w:type="spellStart"/>
            <w:r w:rsidRPr="00D540C0">
              <w:rPr>
                <w:rFonts w:eastAsia="Calibri"/>
                <w:b/>
                <w:bCs/>
                <w:lang w:eastAsia="en-US"/>
              </w:rPr>
              <w:t>технічна</w:t>
            </w:r>
            <w:proofErr w:type="spellEnd"/>
            <w:r w:rsidRPr="00D540C0">
              <w:rPr>
                <w:rFonts w:eastAsia="Calibri"/>
                <w:b/>
                <w:bCs/>
                <w:lang w:eastAsia="en-US"/>
              </w:rPr>
              <w:t xml:space="preserve"> </w:t>
            </w:r>
            <w:proofErr w:type="spellStart"/>
            <w:r w:rsidRPr="00D540C0">
              <w:rPr>
                <w:rFonts w:eastAsia="Calibri"/>
                <w:b/>
                <w:bCs/>
                <w:lang w:eastAsia="en-US"/>
              </w:rPr>
              <w:t>специфікація</w:t>
            </w:r>
            <w:proofErr w:type="spellEnd"/>
            <w:r w:rsidRPr="00D540C0">
              <w:rPr>
                <w:rFonts w:eastAsia="Calibri"/>
                <w:b/>
                <w:bCs/>
                <w:lang w:eastAsia="en-US"/>
              </w:rPr>
              <w:t>)</w:t>
            </w:r>
          </w:p>
          <w:p w:rsidR="00D540C0" w:rsidRPr="00D540C0" w:rsidRDefault="00D540C0" w:rsidP="00F01727">
            <w:pPr>
              <w:widowControl w:val="0"/>
              <w:autoSpaceDE w:val="0"/>
              <w:autoSpaceDN w:val="0"/>
              <w:adjustRightInd w:val="0"/>
              <w:ind w:right="-6"/>
              <w:jc w:val="center"/>
              <w:rPr>
                <w:rFonts w:eastAsia="Calibri"/>
                <w:b/>
                <w:bCs/>
                <w:lang w:eastAsia="en-US"/>
              </w:rPr>
            </w:pPr>
          </w:p>
        </w:tc>
      </w:tr>
      <w:tr w:rsidR="00D540C0" w:rsidRPr="00D540C0" w:rsidTr="00D540C0">
        <w:trPr>
          <w:trHeight w:val="2173"/>
        </w:trPr>
        <w:tc>
          <w:tcPr>
            <w:tcW w:w="567" w:type="dxa"/>
            <w:tcMar>
              <w:top w:w="100" w:type="nil"/>
              <w:right w:w="100" w:type="nil"/>
            </w:tcMar>
          </w:tcPr>
          <w:p w:rsidR="00D540C0" w:rsidRPr="00D540C0" w:rsidRDefault="00D540C0" w:rsidP="00F01727">
            <w:pPr>
              <w:widowControl w:val="0"/>
              <w:autoSpaceDE w:val="0"/>
              <w:autoSpaceDN w:val="0"/>
              <w:adjustRightInd w:val="0"/>
              <w:spacing w:after="160" w:line="259" w:lineRule="auto"/>
              <w:ind w:right="-6"/>
              <w:rPr>
                <w:rFonts w:eastAsia="Calibri"/>
                <w:bCs/>
                <w:lang w:val="uk-UA" w:eastAsia="en-US"/>
              </w:rPr>
            </w:pPr>
            <w:r w:rsidRPr="00D540C0">
              <w:rPr>
                <w:rFonts w:eastAsia="Calibri"/>
                <w:lang w:val="uk-UA" w:eastAsia="en-US"/>
              </w:rPr>
              <w:t>1</w:t>
            </w:r>
          </w:p>
        </w:tc>
        <w:tc>
          <w:tcPr>
            <w:tcW w:w="1895" w:type="dxa"/>
            <w:tcMar>
              <w:top w:w="100" w:type="nil"/>
              <w:right w:w="100" w:type="nil"/>
            </w:tcMar>
          </w:tcPr>
          <w:p w:rsidR="00D540C0" w:rsidRPr="00D540C0" w:rsidRDefault="00D540C0" w:rsidP="00F01727">
            <w:pPr>
              <w:widowControl w:val="0"/>
              <w:autoSpaceDE w:val="0"/>
              <w:autoSpaceDN w:val="0"/>
              <w:adjustRightInd w:val="0"/>
              <w:spacing w:after="160" w:line="259" w:lineRule="auto"/>
              <w:ind w:right="-6"/>
              <w:rPr>
                <w:rFonts w:eastAsia="Calibri"/>
                <w:lang w:val="uk-UA" w:eastAsia="en-US"/>
              </w:rPr>
            </w:pPr>
            <w:r w:rsidRPr="00D540C0">
              <w:rPr>
                <w:rFonts w:eastAsia="Calibri"/>
                <w:lang w:val="uk-UA" w:eastAsia="en-US"/>
              </w:rPr>
              <w:t xml:space="preserve">Інформаційно-консультаційні послуги за програмами: «Основи роботи в </w:t>
            </w:r>
            <w:proofErr w:type="spellStart"/>
            <w:r w:rsidRPr="00D540C0">
              <w:rPr>
                <w:rFonts w:eastAsia="Calibri"/>
                <w:lang w:val="uk-UA" w:eastAsia="en-US"/>
              </w:rPr>
              <w:t>Power</w:t>
            </w:r>
            <w:proofErr w:type="spellEnd"/>
            <w:r w:rsidRPr="00D540C0">
              <w:rPr>
                <w:rFonts w:eastAsia="Calibri"/>
                <w:lang w:val="uk-UA" w:eastAsia="en-US"/>
              </w:rPr>
              <w:t xml:space="preserve"> BI»; «</w:t>
            </w:r>
            <w:proofErr w:type="spellStart"/>
            <w:r w:rsidRPr="00D540C0">
              <w:rPr>
                <w:rFonts w:eastAsia="Calibri"/>
                <w:lang w:val="uk-UA" w:eastAsia="en-US"/>
              </w:rPr>
              <w:t>Advance</w:t>
            </w:r>
            <w:proofErr w:type="spellEnd"/>
            <w:r w:rsidRPr="00D540C0">
              <w:rPr>
                <w:rFonts w:eastAsia="Calibri"/>
                <w:lang w:val="uk-UA" w:eastAsia="en-US"/>
              </w:rPr>
              <w:t xml:space="preserve"> </w:t>
            </w:r>
            <w:proofErr w:type="spellStart"/>
            <w:r w:rsidRPr="00D540C0">
              <w:rPr>
                <w:rFonts w:eastAsia="Calibri"/>
                <w:lang w:val="uk-UA" w:eastAsia="en-US"/>
              </w:rPr>
              <w:t>Power</w:t>
            </w:r>
            <w:proofErr w:type="spellEnd"/>
            <w:r w:rsidRPr="00D540C0">
              <w:rPr>
                <w:rFonts w:eastAsia="Calibri"/>
                <w:lang w:val="uk-UA" w:eastAsia="en-US"/>
              </w:rPr>
              <w:t xml:space="preserve"> BI»</w:t>
            </w:r>
          </w:p>
        </w:tc>
        <w:tc>
          <w:tcPr>
            <w:tcW w:w="1190" w:type="dxa"/>
            <w:tcMar>
              <w:top w:w="100" w:type="nil"/>
              <w:right w:w="100" w:type="nil"/>
            </w:tcMar>
          </w:tcPr>
          <w:p w:rsidR="00D540C0" w:rsidRPr="00D540C0" w:rsidRDefault="00D540C0" w:rsidP="00F01727">
            <w:pPr>
              <w:widowControl w:val="0"/>
              <w:autoSpaceDE w:val="0"/>
              <w:autoSpaceDN w:val="0"/>
              <w:adjustRightInd w:val="0"/>
              <w:spacing w:after="160" w:line="259" w:lineRule="auto"/>
              <w:ind w:right="-6"/>
              <w:jc w:val="center"/>
              <w:rPr>
                <w:rFonts w:eastAsia="Calibri"/>
                <w:lang w:val="uk-UA" w:eastAsia="en-US"/>
              </w:rPr>
            </w:pPr>
            <w:r w:rsidRPr="00D540C0">
              <w:rPr>
                <w:rFonts w:eastAsia="Calibri"/>
                <w:lang w:val="uk-UA" w:eastAsia="en-US"/>
              </w:rPr>
              <w:t>Послуга</w:t>
            </w:r>
          </w:p>
          <w:p w:rsidR="00D540C0" w:rsidRPr="00D540C0" w:rsidRDefault="00D540C0" w:rsidP="00F01727">
            <w:pPr>
              <w:widowControl w:val="0"/>
              <w:autoSpaceDE w:val="0"/>
              <w:autoSpaceDN w:val="0"/>
              <w:adjustRightInd w:val="0"/>
              <w:spacing w:after="160" w:line="259" w:lineRule="auto"/>
              <w:ind w:right="-6"/>
              <w:jc w:val="center"/>
              <w:rPr>
                <w:rFonts w:eastAsia="Calibri"/>
                <w:lang w:val="uk-UA" w:eastAsia="en-US"/>
              </w:rPr>
            </w:pPr>
          </w:p>
        </w:tc>
        <w:tc>
          <w:tcPr>
            <w:tcW w:w="992" w:type="dxa"/>
            <w:tcMar>
              <w:top w:w="100" w:type="nil"/>
              <w:right w:w="100" w:type="nil"/>
            </w:tcMar>
          </w:tcPr>
          <w:p w:rsidR="00D540C0" w:rsidRPr="00D540C0" w:rsidRDefault="00D540C0" w:rsidP="00F01727">
            <w:pPr>
              <w:widowControl w:val="0"/>
              <w:autoSpaceDE w:val="0"/>
              <w:autoSpaceDN w:val="0"/>
              <w:adjustRightInd w:val="0"/>
              <w:spacing w:after="160" w:line="259" w:lineRule="auto"/>
              <w:ind w:right="-6"/>
              <w:jc w:val="center"/>
              <w:rPr>
                <w:rFonts w:eastAsia="Calibri"/>
                <w:lang w:val="uk-UA" w:eastAsia="en-US"/>
              </w:rPr>
            </w:pPr>
            <w:r w:rsidRPr="00D540C0">
              <w:rPr>
                <w:rFonts w:eastAsia="Calibri"/>
                <w:lang w:val="uk-UA" w:eastAsia="en-US"/>
              </w:rPr>
              <w:t>1</w:t>
            </w:r>
          </w:p>
        </w:tc>
        <w:tc>
          <w:tcPr>
            <w:tcW w:w="5812" w:type="dxa"/>
            <w:tcMar>
              <w:top w:w="100" w:type="nil"/>
              <w:right w:w="100" w:type="nil"/>
            </w:tcMar>
          </w:tcPr>
          <w:p w:rsidR="00D540C0" w:rsidRPr="00D540C0" w:rsidRDefault="00D540C0" w:rsidP="00F01727">
            <w:pPr>
              <w:widowControl w:val="0"/>
              <w:autoSpaceDE w:val="0"/>
              <w:autoSpaceDN w:val="0"/>
              <w:adjustRightInd w:val="0"/>
              <w:ind w:right="-6"/>
              <w:rPr>
                <w:rFonts w:eastAsia="Calibri"/>
                <w:lang w:val="uk-UA" w:eastAsia="en-US"/>
              </w:rPr>
            </w:pPr>
            <w:r w:rsidRPr="00D540C0">
              <w:rPr>
                <w:rFonts w:eastAsia="Calibri"/>
                <w:lang w:val="uk-UA" w:eastAsia="en-US"/>
              </w:rPr>
              <w:t xml:space="preserve">Надання інформаційно-консультаційних послуг за програмами: «Основи роботи в </w:t>
            </w:r>
            <w:proofErr w:type="spellStart"/>
            <w:r w:rsidRPr="00D540C0">
              <w:rPr>
                <w:rFonts w:eastAsia="Calibri"/>
                <w:lang w:val="uk-UA" w:eastAsia="en-US"/>
              </w:rPr>
              <w:t>Power</w:t>
            </w:r>
            <w:proofErr w:type="spellEnd"/>
            <w:r w:rsidRPr="00D540C0">
              <w:rPr>
                <w:rFonts w:eastAsia="Calibri"/>
                <w:lang w:val="uk-UA" w:eastAsia="en-US"/>
              </w:rPr>
              <w:t xml:space="preserve"> BI» та «</w:t>
            </w:r>
            <w:proofErr w:type="spellStart"/>
            <w:r w:rsidRPr="00D540C0">
              <w:rPr>
                <w:rFonts w:eastAsia="Calibri"/>
                <w:lang w:val="uk-UA" w:eastAsia="en-US"/>
              </w:rPr>
              <w:t>Advance</w:t>
            </w:r>
            <w:proofErr w:type="spellEnd"/>
            <w:r w:rsidRPr="00D540C0">
              <w:rPr>
                <w:rFonts w:eastAsia="Calibri"/>
                <w:lang w:val="uk-UA" w:eastAsia="en-US"/>
              </w:rPr>
              <w:t xml:space="preserve"> </w:t>
            </w:r>
            <w:proofErr w:type="spellStart"/>
            <w:r w:rsidRPr="00D540C0">
              <w:rPr>
                <w:rFonts w:eastAsia="Calibri"/>
                <w:lang w:val="uk-UA" w:eastAsia="en-US"/>
              </w:rPr>
              <w:t>Power</w:t>
            </w:r>
            <w:proofErr w:type="spellEnd"/>
            <w:r w:rsidRPr="00D540C0">
              <w:rPr>
                <w:rFonts w:eastAsia="Calibri"/>
                <w:lang w:val="uk-UA" w:eastAsia="en-US"/>
              </w:rPr>
              <w:t xml:space="preserve"> BI» для </w:t>
            </w:r>
            <w:r w:rsidRPr="00D540C0">
              <w:rPr>
                <w:rFonts w:eastAsia="Calibri"/>
                <w:b/>
                <w:lang w:val="uk-UA" w:eastAsia="en-US"/>
              </w:rPr>
              <w:t>7 слухачів</w:t>
            </w:r>
            <w:r w:rsidRPr="00D540C0">
              <w:rPr>
                <w:rFonts w:eastAsia="Calibri"/>
                <w:lang w:val="uk-UA" w:eastAsia="en-US"/>
              </w:rPr>
              <w:t>.</w:t>
            </w:r>
          </w:p>
          <w:p w:rsidR="00D540C0" w:rsidRPr="00D540C0" w:rsidRDefault="00D540C0" w:rsidP="00F01727">
            <w:pPr>
              <w:widowControl w:val="0"/>
              <w:autoSpaceDE w:val="0"/>
              <w:autoSpaceDN w:val="0"/>
              <w:adjustRightInd w:val="0"/>
              <w:ind w:right="-6"/>
              <w:rPr>
                <w:rFonts w:eastAsia="Calibri"/>
                <w:i/>
                <w:lang w:val="uk-UA" w:eastAsia="en-US"/>
              </w:rPr>
            </w:pPr>
          </w:p>
          <w:p w:rsidR="00D540C0" w:rsidRPr="00D540C0" w:rsidRDefault="00D540C0" w:rsidP="00F01727">
            <w:pPr>
              <w:widowControl w:val="0"/>
              <w:autoSpaceDE w:val="0"/>
              <w:autoSpaceDN w:val="0"/>
              <w:adjustRightInd w:val="0"/>
              <w:ind w:right="-6"/>
              <w:rPr>
                <w:rFonts w:eastAsia="Calibri"/>
                <w:bCs/>
                <w:i/>
                <w:lang w:val="uk-UA" w:eastAsia="en-US"/>
              </w:rPr>
            </w:pPr>
            <w:r w:rsidRPr="00D540C0">
              <w:rPr>
                <w:rFonts w:eastAsia="Calibri"/>
                <w:i/>
                <w:lang w:val="uk-UA" w:eastAsia="en-US"/>
              </w:rPr>
              <w:t xml:space="preserve">В Тендерній пропозиції (Технічній частині) Учасник повинен вказати опис інформаційно-консультаційних послуг за програмами: «Основи роботи в </w:t>
            </w:r>
            <w:proofErr w:type="spellStart"/>
            <w:r w:rsidRPr="00D540C0">
              <w:rPr>
                <w:rFonts w:eastAsia="Calibri"/>
                <w:i/>
                <w:lang w:val="uk-UA" w:eastAsia="en-US"/>
              </w:rPr>
              <w:t>Power</w:t>
            </w:r>
            <w:proofErr w:type="spellEnd"/>
            <w:r w:rsidRPr="00D540C0">
              <w:rPr>
                <w:rFonts w:eastAsia="Calibri"/>
                <w:i/>
                <w:lang w:val="uk-UA" w:eastAsia="en-US"/>
              </w:rPr>
              <w:t xml:space="preserve"> BI» та «</w:t>
            </w:r>
            <w:proofErr w:type="spellStart"/>
            <w:r w:rsidRPr="00D540C0">
              <w:rPr>
                <w:rFonts w:eastAsia="Calibri"/>
                <w:i/>
                <w:lang w:val="uk-UA" w:eastAsia="en-US"/>
              </w:rPr>
              <w:t>Advance</w:t>
            </w:r>
            <w:proofErr w:type="spellEnd"/>
            <w:r w:rsidRPr="00D540C0">
              <w:rPr>
                <w:rFonts w:eastAsia="Calibri"/>
                <w:i/>
                <w:lang w:val="uk-UA" w:eastAsia="en-US"/>
              </w:rPr>
              <w:t xml:space="preserve"> </w:t>
            </w:r>
            <w:proofErr w:type="spellStart"/>
            <w:r w:rsidRPr="00D540C0">
              <w:rPr>
                <w:rFonts w:eastAsia="Calibri"/>
                <w:i/>
                <w:lang w:val="uk-UA" w:eastAsia="en-US"/>
              </w:rPr>
              <w:t>Power</w:t>
            </w:r>
            <w:proofErr w:type="spellEnd"/>
            <w:r w:rsidRPr="00D540C0">
              <w:rPr>
                <w:rFonts w:eastAsia="Calibri"/>
                <w:i/>
                <w:lang w:val="uk-UA" w:eastAsia="en-US"/>
              </w:rPr>
              <w:t xml:space="preserve"> BI»</w:t>
            </w:r>
          </w:p>
        </w:tc>
      </w:tr>
    </w:tbl>
    <w:p w:rsidR="00A256E7" w:rsidRDefault="00A256E7" w:rsidP="00D540C0">
      <w:pPr>
        <w:widowControl w:val="0"/>
        <w:autoSpaceDE w:val="0"/>
        <w:autoSpaceDN w:val="0"/>
        <w:adjustRightInd w:val="0"/>
        <w:ind w:firstLine="709"/>
        <w:contextualSpacing/>
        <w:jc w:val="both"/>
        <w:rPr>
          <w:color w:val="000000"/>
          <w:sz w:val="20"/>
          <w:szCs w:val="20"/>
          <w:lang w:val="uk-UA"/>
        </w:rPr>
      </w:pPr>
    </w:p>
    <w:p w:rsidR="00A254FA" w:rsidRDefault="00A254FA" w:rsidP="00D540C0">
      <w:pPr>
        <w:widowControl w:val="0"/>
        <w:autoSpaceDE w:val="0"/>
        <w:autoSpaceDN w:val="0"/>
        <w:adjustRightInd w:val="0"/>
        <w:ind w:firstLine="709"/>
        <w:contextualSpacing/>
        <w:jc w:val="both"/>
        <w:rPr>
          <w:color w:val="000000"/>
          <w:sz w:val="20"/>
          <w:szCs w:val="20"/>
          <w:lang w:val="uk-UA"/>
        </w:rPr>
      </w:pPr>
    </w:p>
    <w:p w:rsidR="00A254FA" w:rsidRPr="005F37AD" w:rsidRDefault="00A254FA" w:rsidP="00A254FA">
      <w:pPr>
        <w:jc w:val="both"/>
        <w:rPr>
          <w:b/>
          <w:bCs/>
          <w:sz w:val="22"/>
          <w:szCs w:val="22"/>
          <w:lang w:val="uk-UA" w:eastAsia="uk-UA"/>
        </w:rPr>
      </w:pPr>
      <w:r w:rsidRPr="005F37AD">
        <w:rPr>
          <w:b/>
          <w:bCs/>
          <w:sz w:val="22"/>
          <w:szCs w:val="22"/>
          <w:lang w:val="uk-UA"/>
        </w:rPr>
        <w:t>Додаткова інформація.</w:t>
      </w:r>
    </w:p>
    <w:p w:rsidR="00A254FA" w:rsidRPr="005F37AD" w:rsidRDefault="00A254FA" w:rsidP="00A254FA">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A254FA" w:rsidRPr="005F37AD" w:rsidRDefault="00A254FA" w:rsidP="00A254FA">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A254FA" w:rsidRPr="006724CA" w:rsidRDefault="00A254FA" w:rsidP="00A254FA">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4FA" w:rsidRPr="00D540C0" w:rsidRDefault="00A254FA" w:rsidP="00D540C0">
      <w:pPr>
        <w:widowControl w:val="0"/>
        <w:autoSpaceDE w:val="0"/>
        <w:autoSpaceDN w:val="0"/>
        <w:adjustRightInd w:val="0"/>
        <w:ind w:firstLine="709"/>
        <w:contextualSpacing/>
        <w:jc w:val="both"/>
        <w:rPr>
          <w:color w:val="000000"/>
          <w:sz w:val="20"/>
          <w:szCs w:val="20"/>
          <w:lang w:val="uk-UA"/>
        </w:rPr>
      </w:pPr>
      <w:bookmarkStart w:id="0" w:name="_GoBack"/>
      <w:bookmarkEnd w:id="0"/>
    </w:p>
    <w:sectPr w:rsidR="00A254FA" w:rsidRPr="00D540C0" w:rsidSect="00D540C0">
      <w:headerReference w:type="even" r:id="rId9"/>
      <w:headerReference w:type="default" r:id="rId10"/>
      <w:footerReference w:type="default" r:id="rId11"/>
      <w:pgSz w:w="11906" w:h="16838"/>
      <w:pgMar w:top="567" w:right="567" w:bottom="567" w:left="1134"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79" w:rsidRDefault="00940D79">
      <w:r>
        <w:separator/>
      </w:r>
    </w:p>
  </w:endnote>
  <w:endnote w:type="continuationSeparator" w:id="0">
    <w:p w:rsidR="00940D79" w:rsidRDefault="0094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540C0"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54BC2"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40B9A">
      <w:rPr>
        <w:sz w:val="20"/>
        <w:szCs w:val="20"/>
        <w:lang w:val="uk-UA"/>
      </w:rPr>
      <w:t xml:space="preserve">«Основи роботи в </w:t>
    </w:r>
    <w:proofErr w:type="spellStart"/>
    <w:r w:rsidR="00040B9A">
      <w:rPr>
        <w:sz w:val="20"/>
        <w:szCs w:val="20"/>
        <w:lang w:val="uk-UA"/>
      </w:rPr>
      <w:t>Power</w:t>
    </w:r>
    <w:proofErr w:type="spellEnd"/>
    <w:r w:rsidR="00040B9A">
      <w:rPr>
        <w:sz w:val="20"/>
        <w:szCs w:val="20"/>
        <w:lang w:val="uk-UA"/>
      </w:rPr>
      <w:t xml:space="preserve"> BI» та «</w:t>
    </w:r>
    <w:proofErr w:type="spellStart"/>
    <w:r w:rsidR="00040B9A">
      <w:rPr>
        <w:sz w:val="20"/>
        <w:szCs w:val="20"/>
        <w:lang w:val="uk-UA"/>
      </w:rPr>
      <w:t>Advance</w:t>
    </w:r>
    <w:proofErr w:type="spellEnd"/>
    <w:r w:rsidR="00040B9A">
      <w:rPr>
        <w:sz w:val="20"/>
        <w:szCs w:val="20"/>
        <w:lang w:val="uk-UA"/>
      </w:rPr>
      <w:t xml:space="preserve"> </w:t>
    </w:r>
    <w:proofErr w:type="spellStart"/>
    <w:r w:rsidR="00040B9A">
      <w:rPr>
        <w:sz w:val="20"/>
        <w:szCs w:val="20"/>
        <w:lang w:val="uk-UA"/>
      </w:rPr>
      <w:t>Power</w:t>
    </w:r>
    <w:proofErr w:type="spellEnd"/>
    <w:r w:rsidR="00040B9A">
      <w:rPr>
        <w:sz w:val="20"/>
        <w:szCs w:val="20"/>
        <w:lang w:val="uk-UA"/>
      </w:rPr>
      <w:t xml:space="preserve"> BI»,  код ДК 021:2015 - 80570000-0 - Послуги з професійної підготовки у сфері підвищення кваліфікації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254F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254FA">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79" w:rsidRDefault="00940D79">
      <w:r>
        <w:separator/>
      </w:r>
    </w:p>
  </w:footnote>
  <w:footnote w:type="continuationSeparator" w:id="0">
    <w:p w:rsidR="00940D79" w:rsidRDefault="00940D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540C0"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817F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DrJAIAAD8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ON5UOs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B9A"/>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6E90"/>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0D79"/>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4FA"/>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40C0"/>
    <w:rsid w:val="00D54D66"/>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F779A"/>
  <w15:chartTrackingRefBased/>
  <w15:docId w15:val="{B0FAD12C-CFCA-4270-A6E8-76F1FC79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3EEB-3242-44E0-B5FC-878C6A1B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2511</Words>
  <Characters>1432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2023-06-29T10:14:00Z</dcterms:created>
  <dcterms:modified xsi:type="dcterms:W3CDTF">2023-06-29T10:17:00Z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