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E74C08" w:rsidTr="001021AF">
        <w:tc>
          <w:tcPr>
            <w:tcW w:w="4683" w:type="dxa"/>
          </w:tcPr>
          <w:p w:rsidR="00825A6B" w:rsidRPr="00E74C08" w:rsidRDefault="00A36A8B" w:rsidP="006926A0">
            <w:pPr>
              <w:pStyle w:val="a3"/>
              <w:widowControl w:val="0"/>
              <w:rPr>
                <w:szCs w:val="17"/>
                <w:lang w:val="uk-UA"/>
              </w:rPr>
            </w:pPr>
            <w:r w:rsidRPr="00E74C08">
              <w:rPr>
                <w:noProof/>
                <w:lang w:val="uk-UA" w:eastAsia="uk-UA"/>
              </w:rPr>
              <w:drawing>
                <wp:inline distT="0" distB="0" distL="0" distR="0">
                  <wp:extent cx="144907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p>
        </w:tc>
        <w:tc>
          <w:tcPr>
            <w:tcW w:w="5171" w:type="dxa"/>
          </w:tcPr>
          <w:p w:rsidR="006926A0" w:rsidRPr="00E74C08" w:rsidRDefault="006926A0" w:rsidP="006926A0">
            <w:pPr>
              <w:widowControl w:val="0"/>
              <w:autoSpaceDE w:val="0"/>
              <w:autoSpaceDN w:val="0"/>
              <w:adjustRightInd w:val="0"/>
              <w:rPr>
                <w:rFonts w:ascii="Times New Roman CYR" w:hAnsi="Times New Roman CYR"/>
                <w:b/>
              </w:rPr>
            </w:pPr>
            <w:r w:rsidRPr="00E74C08">
              <w:rPr>
                <w:rFonts w:ascii="Times New Roman CYR" w:hAnsi="Times New Roman CYR"/>
                <w:b/>
              </w:rPr>
              <w:t>ДЕРЖАВНЕ ПІДПРИЄМСТВО</w:t>
            </w:r>
          </w:p>
          <w:p w:rsidR="00DD71E4" w:rsidRPr="00E74C08" w:rsidRDefault="006926A0" w:rsidP="006926A0">
            <w:pPr>
              <w:widowControl w:val="0"/>
              <w:autoSpaceDE w:val="0"/>
              <w:autoSpaceDN w:val="0"/>
              <w:adjustRightInd w:val="0"/>
            </w:pPr>
            <w:r w:rsidRPr="00E74C08">
              <w:rPr>
                <w:rFonts w:ascii="Times New Roman CYR" w:hAnsi="Times New Roman CYR"/>
                <w:b/>
              </w:rPr>
              <w:t>«</w:t>
            </w:r>
            <w:r w:rsidRPr="00E74C08">
              <w:rPr>
                <w:b/>
              </w:rPr>
              <w:t>МІЖНАРОДНИЙ АЕРОПОРТ «БОРИСПІЛЬ»</w:t>
            </w:r>
            <w:r w:rsidRPr="00E74C08">
              <w:t xml:space="preserve"> </w:t>
            </w:r>
          </w:p>
          <w:p w:rsidR="006926A0" w:rsidRPr="00E74C08" w:rsidRDefault="006926A0" w:rsidP="006926A0">
            <w:pPr>
              <w:widowControl w:val="0"/>
              <w:autoSpaceDE w:val="0"/>
              <w:autoSpaceDN w:val="0"/>
              <w:adjustRightInd w:val="0"/>
            </w:pPr>
            <w:r w:rsidRPr="00E74C08">
              <w:t>08300, Україна, Київська обл., Бориспільський рай</w:t>
            </w:r>
            <w:r w:rsidR="00583378" w:rsidRPr="00E74C08">
              <w:t>он, село Гора, вулиця Бориспіль</w:t>
            </w:r>
            <w:r w:rsidRPr="00E74C08">
              <w:t xml:space="preserve">-7, код 20572069, </w:t>
            </w:r>
          </w:p>
          <w:p w:rsidR="00825A6B" w:rsidRPr="00E74C08" w:rsidRDefault="006926A0" w:rsidP="006926A0">
            <w:pPr>
              <w:pStyle w:val="4"/>
              <w:keepNext w:val="0"/>
              <w:widowControl w:val="0"/>
              <w:ind w:left="0"/>
              <w:jc w:val="left"/>
            </w:pPr>
            <w:r w:rsidRPr="00E74C08">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E74C08">
              <w:rPr>
                <w:color w:val="000000"/>
              </w:rPr>
              <w:t>»</w:t>
            </w:r>
          </w:p>
        </w:tc>
      </w:tr>
      <w:tr w:rsidR="001021AF" w:rsidRPr="00E74C08" w:rsidTr="00C62708">
        <w:tc>
          <w:tcPr>
            <w:tcW w:w="9854" w:type="dxa"/>
            <w:gridSpan w:val="2"/>
          </w:tcPr>
          <w:p w:rsidR="003C4B6B" w:rsidRPr="00E74C08" w:rsidRDefault="003C4B6B" w:rsidP="007D7B6F">
            <w:pPr>
              <w:pStyle w:val="1"/>
              <w:keepNext w:val="0"/>
              <w:widowControl w:val="0"/>
              <w:rPr>
                <w:sz w:val="28"/>
                <w:szCs w:val="28"/>
              </w:rPr>
            </w:pPr>
          </w:p>
          <w:p w:rsidR="001021AF" w:rsidRPr="00E74C08" w:rsidRDefault="007D7B6F" w:rsidP="007D7B6F">
            <w:pPr>
              <w:pStyle w:val="1"/>
              <w:keepNext w:val="0"/>
              <w:widowControl w:val="0"/>
            </w:pPr>
            <w:r w:rsidRPr="00E74C08">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E74C08" w:rsidRDefault="005F3529" w:rsidP="0063471D">
      <w:pPr>
        <w:pStyle w:val="a3"/>
        <w:widowControl w:val="0"/>
        <w:jc w:val="both"/>
        <w:rPr>
          <w:sz w:val="24"/>
          <w:szCs w:val="24"/>
          <w:lang w:val="uk-UA"/>
        </w:rPr>
      </w:pPr>
    </w:p>
    <w:p w:rsidR="007D7B6F" w:rsidRPr="00E74C08" w:rsidRDefault="003C4B6B" w:rsidP="0063471D">
      <w:pPr>
        <w:pStyle w:val="a3"/>
        <w:widowControl w:val="0"/>
        <w:jc w:val="both"/>
        <w:rPr>
          <w:sz w:val="24"/>
          <w:szCs w:val="24"/>
          <w:lang w:val="uk-UA"/>
        </w:rPr>
      </w:pPr>
      <w:r w:rsidRPr="00E74C08">
        <w:rPr>
          <w:sz w:val="24"/>
          <w:szCs w:val="24"/>
          <w:lang w:val="uk-UA"/>
        </w:rPr>
        <w:t xml:space="preserve">Підстава: </w:t>
      </w:r>
      <w:r w:rsidR="007D7B6F" w:rsidRPr="00E74C08">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E74C08"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E74C08" w:rsidTr="003F18CC">
        <w:tc>
          <w:tcPr>
            <w:tcW w:w="487" w:type="pct"/>
            <w:shd w:val="clear" w:color="auto" w:fill="DEEAF6"/>
          </w:tcPr>
          <w:p w:rsidR="00A76484" w:rsidRPr="00E74C08" w:rsidRDefault="00A76484" w:rsidP="002D4D30">
            <w:pPr>
              <w:widowControl w:val="0"/>
              <w:contextualSpacing/>
              <w:jc w:val="center"/>
              <w:rPr>
                <w:b/>
                <w:sz w:val="22"/>
                <w:szCs w:val="22"/>
              </w:rPr>
            </w:pPr>
            <w:r w:rsidRPr="00E74C08">
              <w:rPr>
                <w:b/>
                <w:sz w:val="22"/>
                <w:szCs w:val="22"/>
              </w:rPr>
              <w:t>Пункт Кошторису</w:t>
            </w:r>
          </w:p>
        </w:tc>
        <w:tc>
          <w:tcPr>
            <w:tcW w:w="1527" w:type="pct"/>
            <w:shd w:val="clear" w:color="auto" w:fill="DEEAF6"/>
          </w:tcPr>
          <w:p w:rsidR="00A76484" w:rsidRPr="00E74C08" w:rsidRDefault="00A76484" w:rsidP="002D4D30">
            <w:pPr>
              <w:widowControl w:val="0"/>
              <w:contextualSpacing/>
              <w:jc w:val="center"/>
              <w:rPr>
                <w:b/>
                <w:sz w:val="22"/>
                <w:szCs w:val="22"/>
              </w:rPr>
            </w:pPr>
            <w:r w:rsidRPr="00E74C08">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E74C08" w:rsidRDefault="00A76484" w:rsidP="00DB2D70">
            <w:pPr>
              <w:widowControl w:val="0"/>
              <w:contextualSpacing/>
              <w:jc w:val="center"/>
              <w:rPr>
                <w:b/>
                <w:sz w:val="22"/>
                <w:szCs w:val="22"/>
              </w:rPr>
            </w:pPr>
            <w:r w:rsidRPr="00E74C08">
              <w:rPr>
                <w:b/>
                <w:sz w:val="22"/>
                <w:szCs w:val="22"/>
              </w:rPr>
              <w:t>Очікувана варт</w:t>
            </w:r>
            <w:r w:rsidR="00DB2D70" w:rsidRPr="00E74C08">
              <w:rPr>
                <w:b/>
                <w:sz w:val="22"/>
                <w:szCs w:val="22"/>
              </w:rPr>
              <w:t>ість предмета закупівлі згідно р</w:t>
            </w:r>
            <w:r w:rsidRPr="00E74C08">
              <w:rPr>
                <w:b/>
                <w:sz w:val="22"/>
                <w:szCs w:val="22"/>
              </w:rPr>
              <w:t xml:space="preserve">ічного плану </w:t>
            </w:r>
            <w:proofErr w:type="spellStart"/>
            <w:r w:rsidRPr="00E74C08">
              <w:rPr>
                <w:b/>
                <w:sz w:val="22"/>
                <w:szCs w:val="22"/>
              </w:rPr>
              <w:t>закупівель</w:t>
            </w:r>
            <w:proofErr w:type="spellEnd"/>
          </w:p>
        </w:tc>
        <w:tc>
          <w:tcPr>
            <w:tcW w:w="1102" w:type="pct"/>
            <w:shd w:val="clear" w:color="auto" w:fill="DEEAF6"/>
          </w:tcPr>
          <w:p w:rsidR="00A76484" w:rsidRPr="00E74C08" w:rsidRDefault="00A76484" w:rsidP="002D4D30">
            <w:pPr>
              <w:widowControl w:val="0"/>
              <w:contextualSpacing/>
              <w:jc w:val="center"/>
              <w:rPr>
                <w:b/>
                <w:sz w:val="22"/>
                <w:szCs w:val="22"/>
              </w:rPr>
            </w:pPr>
            <w:r w:rsidRPr="00E74C08">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E74C08" w:rsidRDefault="00A355EA" w:rsidP="002D4D30">
            <w:pPr>
              <w:widowControl w:val="0"/>
              <w:contextualSpacing/>
              <w:jc w:val="center"/>
              <w:rPr>
                <w:b/>
                <w:sz w:val="22"/>
                <w:szCs w:val="22"/>
              </w:rPr>
            </w:pPr>
            <w:r w:rsidRPr="00E74C08">
              <w:rPr>
                <w:b/>
                <w:sz w:val="22"/>
                <w:szCs w:val="22"/>
              </w:rPr>
              <w:t>Ідентифікатор процедури закупівлі</w:t>
            </w:r>
          </w:p>
        </w:tc>
      </w:tr>
      <w:tr w:rsidR="004C0EF5" w:rsidRPr="00E74C08" w:rsidTr="003F18CC">
        <w:tc>
          <w:tcPr>
            <w:tcW w:w="487" w:type="pct"/>
          </w:tcPr>
          <w:p w:rsidR="004C0EF5" w:rsidRPr="00E74C08" w:rsidRDefault="004C0EF5" w:rsidP="004C0EF5">
            <w:pPr>
              <w:widowControl w:val="0"/>
              <w:ind w:right="-11"/>
              <w:jc w:val="center"/>
              <w:rPr>
                <w:sz w:val="22"/>
                <w:szCs w:val="22"/>
                <w:lang w:eastAsia="uk-UA"/>
              </w:rPr>
            </w:pPr>
            <w:r w:rsidRPr="00E74C08">
              <w:rPr>
                <w:sz w:val="22"/>
                <w:szCs w:val="22"/>
              </w:rPr>
              <w:t xml:space="preserve">17.27.2 </w:t>
            </w:r>
            <w:r w:rsidRPr="00E74C08">
              <w:rPr>
                <w:sz w:val="22"/>
                <w:szCs w:val="22"/>
                <w:lang w:eastAsia="uk-UA"/>
              </w:rPr>
              <w:t>(2023)</w:t>
            </w:r>
          </w:p>
        </w:tc>
        <w:tc>
          <w:tcPr>
            <w:tcW w:w="1527" w:type="pct"/>
          </w:tcPr>
          <w:p w:rsidR="004C0EF5" w:rsidRPr="00E74C08" w:rsidRDefault="004C0EF5" w:rsidP="004C0EF5">
            <w:pPr>
              <w:widowControl w:val="0"/>
              <w:rPr>
                <w:bCs/>
                <w:sz w:val="22"/>
                <w:szCs w:val="22"/>
              </w:rPr>
            </w:pPr>
            <w:r w:rsidRPr="00E74C08">
              <w:rPr>
                <w:b/>
                <w:sz w:val="22"/>
                <w:szCs w:val="22"/>
              </w:rPr>
              <w:t xml:space="preserve">Інструменти для дорожніх робіт, </w:t>
            </w:r>
            <w:r w:rsidRPr="00E74C08">
              <w:rPr>
                <w:sz w:val="22"/>
                <w:szCs w:val="22"/>
              </w:rPr>
              <w:t>код ДК 021:2015 - 44510000-8 - Знаряддя</w:t>
            </w:r>
          </w:p>
        </w:tc>
        <w:tc>
          <w:tcPr>
            <w:tcW w:w="947" w:type="pct"/>
          </w:tcPr>
          <w:p w:rsidR="004C0EF5" w:rsidRPr="00E74C08" w:rsidRDefault="004C0EF5" w:rsidP="004C0EF5">
            <w:pPr>
              <w:widowControl w:val="0"/>
              <w:jc w:val="center"/>
              <w:rPr>
                <w:sz w:val="22"/>
                <w:szCs w:val="22"/>
              </w:rPr>
            </w:pPr>
            <w:r w:rsidRPr="00E74C08">
              <w:rPr>
                <w:sz w:val="22"/>
                <w:szCs w:val="22"/>
              </w:rPr>
              <w:t xml:space="preserve">10 325,00 </w:t>
            </w:r>
          </w:p>
          <w:p w:rsidR="004C0EF5" w:rsidRPr="00E74C08" w:rsidRDefault="004C0EF5" w:rsidP="004C0EF5">
            <w:pPr>
              <w:widowControl w:val="0"/>
              <w:jc w:val="center"/>
              <w:rPr>
                <w:sz w:val="22"/>
                <w:szCs w:val="22"/>
              </w:rPr>
            </w:pPr>
            <w:r w:rsidRPr="00E74C08">
              <w:rPr>
                <w:sz w:val="22"/>
                <w:szCs w:val="22"/>
              </w:rPr>
              <w:t>грн. з ПДВ</w:t>
            </w:r>
          </w:p>
        </w:tc>
        <w:tc>
          <w:tcPr>
            <w:tcW w:w="1102" w:type="pct"/>
          </w:tcPr>
          <w:p w:rsidR="004C0EF5" w:rsidRPr="00E74C08" w:rsidRDefault="004C0EF5" w:rsidP="004C0EF5">
            <w:pPr>
              <w:widowControl w:val="0"/>
              <w:jc w:val="center"/>
              <w:rPr>
                <w:sz w:val="22"/>
                <w:szCs w:val="22"/>
              </w:rPr>
            </w:pPr>
            <w:r w:rsidRPr="00E74C08">
              <w:rPr>
                <w:sz w:val="22"/>
                <w:szCs w:val="22"/>
              </w:rPr>
              <w:t xml:space="preserve">8 604,17 </w:t>
            </w:r>
          </w:p>
          <w:p w:rsidR="004C0EF5" w:rsidRPr="00E74C08" w:rsidRDefault="004C0EF5" w:rsidP="004C0EF5">
            <w:pPr>
              <w:widowControl w:val="0"/>
              <w:jc w:val="center"/>
              <w:rPr>
                <w:sz w:val="22"/>
                <w:szCs w:val="22"/>
              </w:rPr>
            </w:pPr>
            <w:r w:rsidRPr="00E74C08">
              <w:rPr>
                <w:sz w:val="22"/>
                <w:szCs w:val="22"/>
              </w:rPr>
              <w:t xml:space="preserve">грн. без ПДВ </w:t>
            </w:r>
          </w:p>
        </w:tc>
        <w:tc>
          <w:tcPr>
            <w:tcW w:w="936" w:type="pct"/>
          </w:tcPr>
          <w:p w:rsidR="004C0EF5" w:rsidRPr="00E74C08" w:rsidRDefault="00D90DE3" w:rsidP="004C0EF5">
            <w:pPr>
              <w:widowControl w:val="0"/>
              <w:jc w:val="center"/>
              <w:rPr>
                <w:color w:val="0000FF"/>
                <w:sz w:val="22"/>
                <w:szCs w:val="22"/>
              </w:rPr>
            </w:pPr>
            <w:r w:rsidRPr="00D90DE3">
              <w:rPr>
                <w:color w:val="0000FF"/>
                <w:sz w:val="22"/>
                <w:szCs w:val="22"/>
              </w:rPr>
              <w:t>UA-2023-06-20-013626-a</w:t>
            </w:r>
            <w:bookmarkStart w:id="0" w:name="_GoBack"/>
            <w:bookmarkEnd w:id="0"/>
          </w:p>
        </w:tc>
      </w:tr>
    </w:tbl>
    <w:p w:rsidR="00A12478" w:rsidRPr="00E74C08" w:rsidRDefault="00A12478" w:rsidP="0063471D">
      <w:pPr>
        <w:pStyle w:val="a3"/>
        <w:widowControl w:val="0"/>
        <w:jc w:val="both"/>
        <w:rPr>
          <w:sz w:val="24"/>
          <w:szCs w:val="24"/>
          <w:lang w:val="uk-UA"/>
        </w:rPr>
      </w:pPr>
    </w:p>
    <w:p w:rsidR="00A355EA" w:rsidRPr="00E74C08" w:rsidRDefault="00A355EA" w:rsidP="00C62708">
      <w:pPr>
        <w:widowControl w:val="0"/>
        <w:shd w:val="clear" w:color="auto" w:fill="DEEAF6"/>
        <w:jc w:val="center"/>
      </w:pPr>
      <w:r w:rsidRPr="00E74C08">
        <w:rPr>
          <w:b/>
        </w:rPr>
        <w:t>Обґрунтування на виконання вимог Постанови КМУ від 11.10.2016 № 710:</w:t>
      </w:r>
    </w:p>
    <w:p w:rsidR="006F428D" w:rsidRPr="00E74C08"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ind w:right="120" w:firstLine="368"/>
              <w:jc w:val="both"/>
            </w:pPr>
            <w:r w:rsidRPr="00E74C08">
              <w:rPr>
                <w:b/>
                <w:i/>
              </w:rPr>
              <w:t>Визначення потреби в закупівлі:</w:t>
            </w:r>
            <w:r w:rsidRPr="00E74C08">
              <w:t xml:space="preserve"> Закупівля товару зумовлена необхідністю експлуатаційного утримання штучних покриттів аеродрому, а саме проведення ремонту аварійних ділянок аеродрому Київ (Бориспіль) асфальтобетонною сумішшю.</w:t>
            </w:r>
          </w:p>
          <w:p w:rsidR="003470C8" w:rsidRPr="00E74C08" w:rsidRDefault="003470C8" w:rsidP="002A1822">
            <w:pPr>
              <w:widowControl w:val="0"/>
              <w:ind w:right="120" w:firstLine="368"/>
              <w:jc w:val="both"/>
            </w:pPr>
            <w:r w:rsidRPr="00E74C08">
              <w:rPr>
                <w:b/>
                <w:i/>
              </w:rPr>
              <w:t>Обґрунтування технічних та якісних характеристик предмета закупівлі:</w:t>
            </w:r>
            <w:r w:rsidRPr="00E74C08">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470C8" w:rsidRPr="00E74C08" w:rsidRDefault="003470C8" w:rsidP="002A1822">
            <w:pPr>
              <w:widowControl w:val="0"/>
              <w:ind w:right="162" w:firstLine="368"/>
              <w:jc w:val="both"/>
              <w:rPr>
                <w:i/>
              </w:rPr>
            </w:pPr>
            <w:r w:rsidRPr="00E74C08">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pPr>
              <w:rPr>
                <w:bCs/>
              </w:rPr>
            </w:pPr>
            <w:r w:rsidRPr="00E74C08">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tabs>
                <w:tab w:val="left" w:pos="6882"/>
              </w:tabs>
              <w:ind w:right="114" w:firstLine="368"/>
              <w:jc w:val="both"/>
            </w:pPr>
            <w:r w:rsidRPr="00E74C08">
              <w:rPr>
                <w:b/>
                <w:i/>
              </w:rPr>
              <w:t>Обґрунтування очікуваної вартості предмета закупівлі:</w:t>
            </w:r>
            <w:r w:rsidRPr="00E74C08">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74C08">
              <w:t>закупівель</w:t>
            </w:r>
            <w:proofErr w:type="spellEnd"/>
            <w:r w:rsidRPr="00E74C08">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470C8" w:rsidRPr="00E74C08" w:rsidRDefault="003470C8" w:rsidP="002A1822">
            <w:pPr>
              <w:widowControl w:val="0"/>
              <w:tabs>
                <w:tab w:val="left" w:pos="6882"/>
              </w:tabs>
              <w:ind w:right="114" w:firstLine="368"/>
              <w:jc w:val="both"/>
            </w:pPr>
            <w:r w:rsidRPr="00E74C08">
              <w:t xml:space="preserve">Розрахунок очікуваної вартості предмета закупівлі здійснено відповідно до Положення «Про порядок визначення очікуваної </w:t>
            </w:r>
            <w:r w:rsidRPr="00E74C08">
              <w:lastRenderedPageBreak/>
              <w:t>вартості предмета закупівлі» від 17.05.2022 №50-06-1.</w:t>
            </w:r>
          </w:p>
          <w:p w:rsidR="003470C8" w:rsidRPr="00E74C08" w:rsidRDefault="003470C8" w:rsidP="002A1822">
            <w:pPr>
              <w:widowControl w:val="0"/>
              <w:tabs>
                <w:tab w:val="left" w:pos="6882"/>
              </w:tabs>
              <w:ind w:right="114" w:firstLine="368"/>
              <w:jc w:val="both"/>
              <w:rPr>
                <w:highlight w:val="yellow"/>
              </w:rPr>
            </w:pPr>
            <w:r w:rsidRPr="00E74C08">
              <w:rPr>
                <w:b/>
                <w:i/>
              </w:rPr>
              <w:t>Обґрунтування обсягів закупівлі:</w:t>
            </w:r>
            <w:r w:rsidRPr="00E74C08">
              <w:rPr>
                <w:b/>
              </w:rPr>
              <w:t xml:space="preserve"> </w:t>
            </w:r>
            <w:r w:rsidRPr="00E74C08">
              <w:t>Обсяги визначено відповідно до очікуваної потреби.</w:t>
            </w:r>
          </w:p>
        </w:tc>
      </w:tr>
      <w:tr w:rsidR="003470C8" w:rsidRPr="00E74C08" w:rsidTr="003470C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pPr>
              <w:rPr>
                <w:bCs/>
              </w:rPr>
            </w:pPr>
            <w:r w:rsidRPr="00E74C08">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470C8" w:rsidRPr="00E74C08" w:rsidRDefault="003470C8" w:rsidP="002A1822">
            <w:r w:rsidRPr="00E74C08">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470C8" w:rsidRPr="00E74C08" w:rsidRDefault="003470C8" w:rsidP="002A1822">
            <w:pPr>
              <w:widowControl w:val="0"/>
              <w:ind w:right="114" w:firstLine="220"/>
              <w:jc w:val="both"/>
              <w:rPr>
                <w:b/>
              </w:rPr>
            </w:pPr>
            <w:r w:rsidRPr="00E74C08">
              <w:rPr>
                <w:b/>
              </w:rPr>
              <w:t>Спосіб проведення моніторингу ринку</w:t>
            </w:r>
          </w:p>
          <w:p w:rsidR="003470C8" w:rsidRPr="00E74C08" w:rsidRDefault="003470C8" w:rsidP="002A1822">
            <w:pPr>
              <w:widowControl w:val="0"/>
              <w:ind w:right="114"/>
              <w:jc w:val="both"/>
            </w:pPr>
            <w:r w:rsidRPr="00E74C08">
              <w:t>Було проведено моніторинг ринку, направлено низку запитів підприємствам, що постачають відповідну продукцію на наступні електронні пошти:</w:t>
            </w:r>
          </w:p>
          <w:p w:rsidR="003470C8" w:rsidRPr="00E74C08" w:rsidRDefault="00F601DD" w:rsidP="002A1822">
            <w:pPr>
              <w:widowControl w:val="0"/>
              <w:ind w:right="114"/>
              <w:jc w:val="both"/>
            </w:pPr>
            <w:hyperlink r:id="rId9" w:history="1">
              <w:r w:rsidR="003470C8" w:rsidRPr="00E74C08">
                <w:rPr>
                  <w:rStyle w:val="ae"/>
                </w:rPr>
                <w:t>grafipro@grafipro.fi</w:t>
              </w:r>
            </w:hyperlink>
            <w:r w:rsidR="003470C8" w:rsidRPr="00E74C08">
              <w:t xml:space="preserve"> Виробник </w:t>
            </w:r>
            <w:proofErr w:type="spellStart"/>
            <w:r w:rsidR="003470C8" w:rsidRPr="00E74C08">
              <w:rPr>
                <w:bCs/>
                <w:shd w:val="clear" w:color="auto" w:fill="FFFFFF"/>
              </w:rPr>
              <w:t>Grafipro</w:t>
            </w:r>
            <w:proofErr w:type="spellEnd"/>
            <w:r w:rsidR="003470C8" w:rsidRPr="00E74C08">
              <w:rPr>
                <w:bCs/>
                <w:shd w:val="clear" w:color="auto" w:fill="FFFFFF"/>
              </w:rPr>
              <w:t xml:space="preserve"> </w:t>
            </w:r>
            <w:proofErr w:type="spellStart"/>
            <w:r w:rsidR="003470C8" w:rsidRPr="00E74C08">
              <w:rPr>
                <w:bCs/>
                <w:shd w:val="clear" w:color="auto" w:fill="FFFFFF"/>
              </w:rPr>
              <w:t>Oy</w:t>
            </w:r>
            <w:proofErr w:type="spellEnd"/>
            <w:r w:rsidR="003470C8" w:rsidRPr="00E74C08">
              <w:rPr>
                <w:bCs/>
                <w:shd w:val="clear" w:color="auto" w:fill="FFFFFF"/>
              </w:rPr>
              <w:t>;</w:t>
            </w:r>
          </w:p>
          <w:p w:rsidR="003470C8" w:rsidRPr="00E74C08" w:rsidRDefault="00F601DD" w:rsidP="002A1822">
            <w:pPr>
              <w:widowControl w:val="0"/>
              <w:ind w:right="114"/>
              <w:jc w:val="both"/>
            </w:pPr>
            <w:hyperlink r:id="rId10" w:history="1">
              <w:r w:rsidR="003470C8" w:rsidRPr="00E74C08">
                <w:rPr>
                  <w:rStyle w:val="ae"/>
                </w:rPr>
                <w:t>info@rodri.com.ua</w:t>
              </w:r>
            </w:hyperlink>
            <w:r w:rsidR="003470C8" w:rsidRPr="00E74C08">
              <w:t xml:space="preserve"> ФОП </w:t>
            </w:r>
            <w:proofErr w:type="spellStart"/>
            <w:r w:rsidR="003470C8" w:rsidRPr="00E74C08">
              <w:t>Соломенко</w:t>
            </w:r>
            <w:proofErr w:type="spellEnd"/>
            <w:r w:rsidR="003470C8" w:rsidRPr="00E74C08">
              <w:t xml:space="preserve"> Євгеній Олександрович (Інтернет-магазин </w:t>
            </w:r>
            <w:proofErr w:type="spellStart"/>
            <w:r w:rsidR="003470C8" w:rsidRPr="00E74C08">
              <w:t>rodri</w:t>
            </w:r>
            <w:proofErr w:type="spellEnd"/>
            <w:r w:rsidR="003470C8" w:rsidRPr="00E74C08">
              <w:t>);</w:t>
            </w:r>
          </w:p>
          <w:p w:rsidR="003470C8" w:rsidRPr="00E74C08" w:rsidRDefault="00F601DD" w:rsidP="002A1822">
            <w:pPr>
              <w:widowControl w:val="0"/>
              <w:ind w:right="114"/>
              <w:jc w:val="both"/>
            </w:pPr>
            <w:hyperlink r:id="rId11" w:history="1">
              <w:r w:rsidR="003470C8" w:rsidRPr="00E74C08">
                <w:rPr>
                  <w:rStyle w:val="ae"/>
                </w:rPr>
                <w:t>gladilka.com.ua@gmail.com</w:t>
              </w:r>
            </w:hyperlink>
            <w:r w:rsidR="003470C8" w:rsidRPr="00E74C08">
              <w:t xml:space="preserve"> Інтернет-магазин </w:t>
            </w:r>
            <w:r w:rsidR="003470C8" w:rsidRPr="00E74C08">
              <w:rPr>
                <w:bCs/>
              </w:rPr>
              <w:t>Gladilka.com.ua;</w:t>
            </w:r>
          </w:p>
          <w:p w:rsidR="003470C8" w:rsidRPr="00E74C08" w:rsidRDefault="003470C8" w:rsidP="002A1822">
            <w:pPr>
              <w:widowControl w:val="0"/>
              <w:ind w:right="114"/>
              <w:jc w:val="both"/>
            </w:pPr>
            <w:r w:rsidRPr="00E74C08">
              <w:t xml:space="preserve">'office@valeon.com.ua' Інтернет-магазин </w:t>
            </w:r>
            <w:r w:rsidRPr="00E74C08">
              <w:rPr>
                <w:shd w:val="clear" w:color="auto" w:fill="FFFFFF"/>
              </w:rPr>
              <w:t>"</w:t>
            </w:r>
            <w:proofErr w:type="spellStart"/>
            <w:r w:rsidRPr="00E74C08">
              <w:rPr>
                <w:shd w:val="clear" w:color="auto" w:fill="FFFFFF"/>
              </w:rPr>
              <w:t>Валеон</w:t>
            </w:r>
            <w:proofErr w:type="spellEnd"/>
            <w:r w:rsidRPr="00E74C08">
              <w:rPr>
                <w:shd w:val="clear" w:color="auto" w:fill="FFFFFF"/>
              </w:rPr>
              <w:t>"</w:t>
            </w:r>
          </w:p>
          <w:p w:rsidR="003470C8" w:rsidRPr="00E74C08" w:rsidRDefault="00F601DD" w:rsidP="002A1822">
            <w:pPr>
              <w:widowControl w:val="0"/>
              <w:ind w:right="114"/>
              <w:jc w:val="both"/>
            </w:pPr>
            <w:hyperlink r:id="rId12" w:history="1">
              <w:r w:rsidR="003470C8" w:rsidRPr="00E74C08">
                <w:rPr>
                  <w:rStyle w:val="ae"/>
                </w:rPr>
                <w:t>titova@atlant.kharkov.com</w:t>
              </w:r>
            </w:hyperlink>
            <w:r w:rsidR="003470C8" w:rsidRPr="00E74C08">
              <w:t xml:space="preserve">, </w:t>
            </w:r>
            <w:hyperlink r:id="rId13" w:history="1">
              <w:r w:rsidR="003470C8" w:rsidRPr="00E74C08">
                <w:rPr>
                  <w:rStyle w:val="ae"/>
                </w:rPr>
                <w:t>Masliukova@atlant.kharkov.com</w:t>
              </w:r>
            </w:hyperlink>
            <w:r w:rsidR="003470C8" w:rsidRPr="00E74C08">
              <w:t xml:space="preserve"> ТОВ «Атлант Буд Схід»;</w:t>
            </w:r>
          </w:p>
          <w:p w:rsidR="003470C8" w:rsidRPr="00E74C08" w:rsidRDefault="003470C8" w:rsidP="002A1822">
            <w:pPr>
              <w:spacing w:line="252" w:lineRule="auto"/>
              <w:ind w:right="114"/>
              <w:jc w:val="both"/>
            </w:pPr>
            <w:r w:rsidRPr="00E74C08">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3470C8" w:rsidRPr="00E74C08" w:rsidRDefault="003470C8" w:rsidP="002A1822">
            <w:pPr>
              <w:ind w:right="114"/>
              <w:jc w:val="both"/>
              <w:rPr>
                <w:bCs/>
                <w:color w:val="000000"/>
              </w:rPr>
            </w:pPr>
            <w:r w:rsidRPr="00E74C08">
              <w:t xml:space="preserve">Інтернет-магазин </w:t>
            </w:r>
            <w:r w:rsidRPr="00E74C08">
              <w:rPr>
                <w:bCs/>
              </w:rPr>
              <w:t>Gladilka.com.ua</w:t>
            </w:r>
            <w:r w:rsidRPr="00E74C08">
              <w:rPr>
                <w:bCs/>
                <w:color w:val="000000"/>
              </w:rPr>
              <w:t xml:space="preserve"> </w:t>
            </w:r>
          </w:p>
          <w:p w:rsidR="003470C8" w:rsidRPr="00E74C08" w:rsidRDefault="003470C8" w:rsidP="002A1822">
            <w:pPr>
              <w:ind w:right="114"/>
              <w:jc w:val="both"/>
            </w:pPr>
            <w:r w:rsidRPr="00E74C08">
              <w:t xml:space="preserve">Також було враховано досвід аналогічних </w:t>
            </w:r>
            <w:proofErr w:type="spellStart"/>
            <w:r w:rsidRPr="00E74C08">
              <w:t>закупівель</w:t>
            </w:r>
            <w:proofErr w:type="spellEnd"/>
            <w:r w:rsidRPr="00E74C08">
              <w:t xml:space="preserve"> інших Замовників (</w:t>
            </w:r>
            <w:r w:rsidRPr="00E74C08">
              <w:rPr>
                <w:bCs/>
                <w:color w:val="000000"/>
              </w:rPr>
              <w:t xml:space="preserve">КП "Шляхово-експлуатаційне управління по ремонту та утриманню автомобільних шляхів та споруд на них шевченківського району" м. Києва (Договір №17-21 від 10.03.2021), КП "Шляхово-експлуатаційне управління по ремонту та утриманню автомобільних шляхів та споруд на них шевченківського району" м. Києва (Договір №28-22С від 25.03.2022), </w:t>
            </w:r>
            <w:r w:rsidRPr="00E74C08">
              <w:rPr>
                <w:color w:val="000000"/>
              </w:rPr>
              <w:t xml:space="preserve">КП "Управління контролю за </w:t>
            </w:r>
            <w:proofErr w:type="spellStart"/>
            <w:r w:rsidRPr="00E74C08">
              <w:rPr>
                <w:color w:val="000000"/>
              </w:rPr>
              <w:t>благоустроєм</w:t>
            </w:r>
            <w:proofErr w:type="spellEnd"/>
            <w:r w:rsidRPr="00E74C08">
              <w:rPr>
                <w:color w:val="000000"/>
              </w:rPr>
              <w:t xml:space="preserve"> міста" Дніпровської міської ради (</w:t>
            </w:r>
            <w:r w:rsidRPr="00E74C08">
              <w:rPr>
                <w:bCs/>
                <w:color w:val="000000"/>
              </w:rPr>
              <w:t>Договір №11/12 від 11.12.2018)</w:t>
            </w:r>
            <w:r w:rsidRPr="00E74C08">
              <w:t>, інформація про які міститься в «</w:t>
            </w:r>
            <w:proofErr w:type="spellStart"/>
            <w:r w:rsidRPr="00E74C08">
              <w:t>Prozorro</w:t>
            </w:r>
            <w:proofErr w:type="spellEnd"/>
            <w:r w:rsidRPr="00E74C08">
              <w:t>».</w:t>
            </w:r>
          </w:p>
        </w:tc>
      </w:tr>
    </w:tbl>
    <w:p w:rsidR="006F428D" w:rsidRPr="00E74C08" w:rsidRDefault="006F428D" w:rsidP="00A12478">
      <w:pPr>
        <w:rPr>
          <w:b/>
        </w:rPr>
      </w:pPr>
    </w:p>
    <w:p w:rsidR="006926A0" w:rsidRPr="00E74C08" w:rsidRDefault="006926A0" w:rsidP="006926A0">
      <w:pPr>
        <w:ind w:firstLine="567"/>
        <w:jc w:val="both"/>
      </w:pPr>
      <w:r w:rsidRPr="00E74C08">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74C08"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988"/>
        <w:gridCol w:w="1664"/>
        <w:gridCol w:w="1158"/>
        <w:gridCol w:w="1164"/>
        <w:gridCol w:w="3342"/>
      </w:tblGrid>
      <w:tr w:rsidR="00AF35E2" w:rsidRPr="00464EDE" w:rsidTr="001E1F33">
        <w:tc>
          <w:tcPr>
            <w:tcW w:w="431"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rPr>
                <w:b/>
                <w:sz w:val="20"/>
                <w:szCs w:val="20"/>
              </w:rPr>
            </w:pPr>
            <w:r w:rsidRPr="00464EDE">
              <w:rPr>
                <w:b/>
                <w:sz w:val="20"/>
                <w:szCs w:val="20"/>
              </w:rPr>
              <w:t>№ п/п</w:t>
            </w:r>
          </w:p>
        </w:tc>
        <w:tc>
          <w:tcPr>
            <w:tcW w:w="975"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Найменування Товару</w:t>
            </w:r>
          </w:p>
        </w:tc>
        <w:tc>
          <w:tcPr>
            <w:tcW w:w="816" w:type="pct"/>
            <w:tcBorders>
              <w:top w:val="single" w:sz="4" w:space="0" w:color="auto"/>
              <w:left w:val="single" w:sz="4" w:space="0" w:color="auto"/>
              <w:bottom w:val="single" w:sz="4" w:space="0" w:color="auto"/>
              <w:right w:val="single" w:sz="4" w:space="0" w:color="auto"/>
            </w:tcBorders>
            <w:shd w:val="clear" w:color="auto" w:fill="D9E2F3"/>
            <w:hideMark/>
          </w:tcPr>
          <w:p w:rsidR="00AF35E2" w:rsidRPr="00464EDE" w:rsidRDefault="00AF35E2" w:rsidP="001E1F33">
            <w:pPr>
              <w:widowControl w:val="0"/>
              <w:jc w:val="center"/>
              <w:rPr>
                <w:b/>
                <w:sz w:val="20"/>
                <w:szCs w:val="20"/>
              </w:rPr>
            </w:pPr>
            <w:r w:rsidRPr="006404B8">
              <w:rPr>
                <w:b/>
                <w:sz w:val="20"/>
                <w:szCs w:val="20"/>
              </w:rPr>
              <w:t>Марка або модель, або артикул, або каталожний номер, або інші параметри для ідентифікації Товару</w:t>
            </w:r>
          </w:p>
        </w:tc>
        <w:tc>
          <w:tcPr>
            <w:tcW w:w="568"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Одиниця</w:t>
            </w:r>
          </w:p>
          <w:p w:rsidR="00AF35E2" w:rsidRPr="00464EDE" w:rsidRDefault="00AF35E2" w:rsidP="001E1F33">
            <w:pPr>
              <w:widowControl w:val="0"/>
              <w:jc w:val="center"/>
              <w:rPr>
                <w:b/>
                <w:sz w:val="20"/>
                <w:szCs w:val="20"/>
              </w:rPr>
            </w:pPr>
            <w:r w:rsidRPr="00464EDE">
              <w:rPr>
                <w:b/>
                <w:sz w:val="20"/>
                <w:szCs w:val="20"/>
              </w:rPr>
              <w:t>виміру</w:t>
            </w:r>
          </w:p>
        </w:tc>
        <w:tc>
          <w:tcPr>
            <w:tcW w:w="571" w:type="pct"/>
            <w:tcBorders>
              <w:top w:val="single" w:sz="4" w:space="0" w:color="auto"/>
              <w:left w:val="single" w:sz="4" w:space="0" w:color="auto"/>
              <w:bottom w:val="single" w:sz="4" w:space="0" w:color="auto"/>
              <w:right w:val="single" w:sz="4" w:space="0" w:color="auto"/>
            </w:tcBorders>
            <w:shd w:val="clear" w:color="auto" w:fill="D9E2F3"/>
          </w:tcPr>
          <w:p w:rsidR="00AF35E2" w:rsidRPr="00464EDE" w:rsidRDefault="00AF35E2" w:rsidP="001E1F33">
            <w:pPr>
              <w:widowControl w:val="0"/>
              <w:jc w:val="center"/>
              <w:rPr>
                <w:b/>
                <w:sz w:val="20"/>
                <w:szCs w:val="20"/>
              </w:rPr>
            </w:pPr>
            <w:r w:rsidRPr="00464EDE">
              <w:rPr>
                <w:b/>
                <w:sz w:val="20"/>
                <w:szCs w:val="20"/>
              </w:rPr>
              <w:t>Кількість</w:t>
            </w:r>
          </w:p>
          <w:p w:rsidR="00AF35E2" w:rsidRPr="00464EDE" w:rsidRDefault="00AF35E2" w:rsidP="001E1F33">
            <w:pPr>
              <w:widowControl w:val="0"/>
              <w:jc w:val="center"/>
              <w:rPr>
                <w:b/>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auto" w:fill="D9E2F3"/>
            <w:hideMark/>
          </w:tcPr>
          <w:p w:rsidR="00AF35E2" w:rsidRPr="00464EDE" w:rsidRDefault="00AF35E2" w:rsidP="001E1F33">
            <w:pPr>
              <w:widowControl w:val="0"/>
              <w:jc w:val="center"/>
              <w:rPr>
                <w:b/>
                <w:sz w:val="20"/>
                <w:szCs w:val="20"/>
              </w:rPr>
            </w:pPr>
            <w:r w:rsidRPr="00464EDE">
              <w:rPr>
                <w:b/>
                <w:sz w:val="20"/>
                <w:szCs w:val="20"/>
              </w:rPr>
              <w:t>Технічні та якісні характеристики предмета закупівлі</w:t>
            </w:r>
          </w:p>
          <w:p w:rsidR="00AF35E2" w:rsidRPr="00464EDE" w:rsidRDefault="00AF35E2" w:rsidP="001E1F33">
            <w:pPr>
              <w:widowControl w:val="0"/>
              <w:jc w:val="center"/>
              <w:rPr>
                <w:b/>
                <w:sz w:val="20"/>
                <w:szCs w:val="20"/>
              </w:rPr>
            </w:pPr>
            <w:r w:rsidRPr="00464EDE">
              <w:rPr>
                <w:b/>
                <w:sz w:val="20"/>
                <w:szCs w:val="20"/>
              </w:rPr>
              <w:t>(Технічна специфікація)</w:t>
            </w:r>
          </w:p>
        </w:tc>
      </w:tr>
      <w:tr w:rsidR="00AF35E2" w:rsidRPr="00464EDE" w:rsidTr="001E1F33">
        <w:trPr>
          <w:trHeight w:val="335"/>
        </w:trPr>
        <w:tc>
          <w:tcPr>
            <w:tcW w:w="431" w:type="pct"/>
            <w:tcBorders>
              <w:top w:val="single" w:sz="4" w:space="0" w:color="auto"/>
              <w:left w:val="single" w:sz="4" w:space="0" w:color="auto"/>
              <w:bottom w:val="single" w:sz="4" w:space="0" w:color="auto"/>
              <w:right w:val="single" w:sz="4" w:space="0" w:color="auto"/>
            </w:tcBorders>
            <w:hideMark/>
          </w:tcPr>
          <w:p w:rsidR="00AF35E2" w:rsidRPr="00464EDE" w:rsidRDefault="00AF35E2" w:rsidP="001E1F33">
            <w:pPr>
              <w:widowControl w:val="0"/>
              <w:rPr>
                <w:sz w:val="20"/>
                <w:szCs w:val="20"/>
              </w:rPr>
            </w:pPr>
            <w:r w:rsidRPr="00464EDE">
              <w:rPr>
                <w:sz w:val="20"/>
                <w:szCs w:val="20"/>
              </w:rPr>
              <w:t>1</w:t>
            </w:r>
          </w:p>
        </w:tc>
        <w:tc>
          <w:tcPr>
            <w:tcW w:w="975" w:type="pct"/>
            <w:tcBorders>
              <w:top w:val="single" w:sz="4" w:space="0" w:color="auto"/>
              <w:left w:val="nil"/>
              <w:bottom w:val="single" w:sz="4" w:space="0" w:color="auto"/>
              <w:right w:val="single" w:sz="4" w:space="0" w:color="auto"/>
            </w:tcBorders>
            <w:hideMark/>
          </w:tcPr>
          <w:p w:rsidR="00AF35E2" w:rsidRPr="00464EDE" w:rsidRDefault="00AF35E2" w:rsidP="001E1F33">
            <w:pPr>
              <w:rPr>
                <w:color w:val="000000"/>
                <w:sz w:val="20"/>
                <w:szCs w:val="20"/>
                <w:lang w:eastAsia="uk-UA"/>
              </w:rPr>
            </w:pPr>
            <w:r w:rsidRPr="00464EDE">
              <w:rPr>
                <w:sz w:val="20"/>
                <w:szCs w:val="20"/>
              </w:rPr>
              <w:t>Гладилка для асфальту</w:t>
            </w:r>
          </w:p>
        </w:tc>
        <w:tc>
          <w:tcPr>
            <w:tcW w:w="816"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color w:val="000000"/>
                <w:sz w:val="20"/>
                <w:szCs w:val="20"/>
                <w:lang w:eastAsia="uk-UA"/>
              </w:rPr>
            </w:pPr>
            <w:r w:rsidRPr="00464EDE">
              <w:rPr>
                <w:color w:val="000000"/>
                <w:sz w:val="20"/>
                <w:szCs w:val="20"/>
              </w:rPr>
              <w:t>КА-560</w:t>
            </w:r>
          </w:p>
        </w:tc>
        <w:tc>
          <w:tcPr>
            <w:tcW w:w="568"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sz w:val="20"/>
                <w:szCs w:val="20"/>
              </w:rPr>
            </w:pPr>
            <w:r w:rsidRPr="00464EDE">
              <w:rPr>
                <w:sz w:val="20"/>
                <w:szCs w:val="20"/>
              </w:rPr>
              <w:t>шт.</w:t>
            </w:r>
          </w:p>
        </w:tc>
        <w:tc>
          <w:tcPr>
            <w:tcW w:w="571"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jc w:val="center"/>
              <w:rPr>
                <w:sz w:val="20"/>
                <w:szCs w:val="20"/>
              </w:rPr>
            </w:pPr>
            <w:r w:rsidRPr="00464EDE">
              <w:rPr>
                <w:sz w:val="20"/>
                <w:szCs w:val="20"/>
              </w:rPr>
              <w:t>4</w:t>
            </w:r>
          </w:p>
        </w:tc>
        <w:tc>
          <w:tcPr>
            <w:tcW w:w="1639" w:type="pct"/>
            <w:tcBorders>
              <w:top w:val="single" w:sz="4" w:space="0" w:color="auto"/>
              <w:left w:val="single" w:sz="4" w:space="0" w:color="auto"/>
              <w:bottom w:val="single" w:sz="4" w:space="0" w:color="auto"/>
              <w:right w:val="single" w:sz="4" w:space="0" w:color="auto"/>
            </w:tcBorders>
          </w:tcPr>
          <w:p w:rsidR="00AF35E2" w:rsidRPr="00464EDE" w:rsidRDefault="00AF35E2" w:rsidP="001E1F33">
            <w:pPr>
              <w:keepNext/>
              <w:keepLines/>
              <w:jc w:val="both"/>
              <w:rPr>
                <w:sz w:val="20"/>
                <w:szCs w:val="20"/>
              </w:rPr>
            </w:pPr>
            <w:r w:rsidRPr="00464EDE">
              <w:rPr>
                <w:sz w:val="20"/>
                <w:szCs w:val="20"/>
              </w:rPr>
              <w:t>Матеріал – алюмінієво-магнієвий сплав;</w:t>
            </w:r>
          </w:p>
          <w:p w:rsidR="00AF35E2" w:rsidRPr="00464EDE" w:rsidRDefault="00AF35E2" w:rsidP="001E1F33">
            <w:pPr>
              <w:keepNext/>
              <w:keepLines/>
              <w:jc w:val="both"/>
              <w:rPr>
                <w:sz w:val="20"/>
                <w:szCs w:val="20"/>
              </w:rPr>
            </w:pPr>
            <w:r w:rsidRPr="00464EDE">
              <w:rPr>
                <w:sz w:val="20"/>
                <w:szCs w:val="20"/>
              </w:rPr>
              <w:t xml:space="preserve">Довжина рукоятки – 2 м; </w:t>
            </w:r>
          </w:p>
          <w:p w:rsidR="00AF35E2" w:rsidRPr="00464EDE" w:rsidRDefault="00AF35E2" w:rsidP="001E1F33">
            <w:pPr>
              <w:keepNext/>
              <w:keepLines/>
              <w:jc w:val="both"/>
              <w:rPr>
                <w:sz w:val="20"/>
                <w:szCs w:val="20"/>
              </w:rPr>
            </w:pPr>
            <w:r w:rsidRPr="00464EDE">
              <w:rPr>
                <w:sz w:val="20"/>
                <w:szCs w:val="20"/>
              </w:rPr>
              <w:t xml:space="preserve">Ширина полотна – 560 мм; </w:t>
            </w:r>
          </w:p>
          <w:p w:rsidR="00AF35E2" w:rsidRPr="00464EDE" w:rsidRDefault="00AF35E2" w:rsidP="001E1F33">
            <w:pPr>
              <w:keepNext/>
              <w:keepLines/>
              <w:jc w:val="both"/>
              <w:rPr>
                <w:sz w:val="20"/>
                <w:szCs w:val="20"/>
              </w:rPr>
            </w:pPr>
            <w:r w:rsidRPr="00464EDE">
              <w:rPr>
                <w:sz w:val="20"/>
                <w:szCs w:val="20"/>
              </w:rPr>
              <w:t xml:space="preserve">Товщина полотна – 3 мм; </w:t>
            </w:r>
          </w:p>
          <w:p w:rsidR="00AF35E2" w:rsidRPr="00464EDE" w:rsidRDefault="00AF35E2" w:rsidP="001E1F33">
            <w:pPr>
              <w:keepNext/>
              <w:keepLines/>
              <w:jc w:val="both"/>
              <w:rPr>
                <w:sz w:val="20"/>
                <w:szCs w:val="20"/>
              </w:rPr>
            </w:pPr>
            <w:r w:rsidRPr="00464EDE">
              <w:rPr>
                <w:sz w:val="20"/>
                <w:szCs w:val="20"/>
              </w:rPr>
              <w:t>Діаметр рукоятки – 30 мм</w:t>
            </w:r>
            <w:r>
              <w:rPr>
                <w:sz w:val="20"/>
                <w:szCs w:val="20"/>
              </w:rPr>
              <w:t>.</w:t>
            </w:r>
          </w:p>
        </w:tc>
      </w:tr>
    </w:tbl>
    <w:p w:rsidR="00AF35E2" w:rsidRPr="00464EDE" w:rsidRDefault="00AF35E2" w:rsidP="00AF35E2">
      <w:pPr>
        <w:rPr>
          <w:b/>
          <w:bCs/>
          <w:sz w:val="22"/>
          <w:szCs w:val="22"/>
        </w:rPr>
      </w:pPr>
    </w:p>
    <w:tbl>
      <w:tblPr>
        <w:tblStyle w:val="af"/>
        <w:tblW w:w="5000" w:type="pct"/>
        <w:tblLook w:val="04A0" w:firstRow="1" w:lastRow="0" w:firstColumn="1" w:lastColumn="0" w:noHBand="0" w:noVBand="1"/>
      </w:tblPr>
      <w:tblGrid>
        <w:gridCol w:w="10195"/>
      </w:tblGrid>
      <w:tr w:rsidR="00AF35E2" w:rsidRPr="00464EDE" w:rsidTr="00130650">
        <w:tc>
          <w:tcPr>
            <w:tcW w:w="5000" w:type="pct"/>
          </w:tcPr>
          <w:p w:rsidR="00AF35E2" w:rsidRPr="00464EDE" w:rsidRDefault="00AF35E2" w:rsidP="001E1F33">
            <w:pPr>
              <w:jc w:val="both"/>
              <w:rPr>
                <w:sz w:val="22"/>
                <w:szCs w:val="22"/>
                <w:lang w:eastAsia="en-US"/>
              </w:rPr>
            </w:pPr>
            <w:r w:rsidRPr="00464EDE">
              <w:rPr>
                <w:b/>
                <w:sz w:val="22"/>
                <w:szCs w:val="22"/>
              </w:rPr>
              <w:t>Опис:</w:t>
            </w:r>
            <w:r w:rsidRPr="00464EDE">
              <w:rPr>
                <w:sz w:val="22"/>
                <w:szCs w:val="22"/>
              </w:rPr>
              <w:t xml:space="preserve"> застосовується при роботі з крупнозернистою та дрібнозернистою асфальтобетонною сумішшю. Одна сторона полотна виконана у формі дрібних зубів, друга сторона (плоска). Використовується при роботі із </w:t>
            </w:r>
            <w:proofErr w:type="spellStart"/>
            <w:r w:rsidRPr="00464EDE">
              <w:rPr>
                <w:sz w:val="22"/>
                <w:szCs w:val="22"/>
              </w:rPr>
              <w:t>щебенем</w:t>
            </w:r>
            <w:proofErr w:type="spellEnd"/>
            <w:r w:rsidRPr="00464EDE">
              <w:rPr>
                <w:sz w:val="22"/>
                <w:szCs w:val="22"/>
              </w:rPr>
              <w:t>, піском та формуванні ґрунту.</w:t>
            </w:r>
          </w:p>
        </w:tc>
      </w:tr>
    </w:tbl>
    <w:p w:rsidR="00A256E7" w:rsidRPr="00E74C08" w:rsidRDefault="00A256E7" w:rsidP="009615B5">
      <w:pPr>
        <w:widowControl w:val="0"/>
        <w:autoSpaceDE w:val="0"/>
        <w:autoSpaceDN w:val="0"/>
        <w:adjustRightInd w:val="0"/>
        <w:contextualSpacing/>
        <w:jc w:val="both"/>
        <w:rPr>
          <w:color w:val="000000"/>
          <w:sz w:val="26"/>
          <w:szCs w:val="26"/>
        </w:rPr>
      </w:pPr>
    </w:p>
    <w:p w:rsidR="009165D1" w:rsidRPr="00E74C08" w:rsidRDefault="009165D1" w:rsidP="009165D1">
      <w:pPr>
        <w:jc w:val="both"/>
        <w:rPr>
          <w:b/>
          <w:bCs/>
          <w:sz w:val="22"/>
          <w:szCs w:val="22"/>
          <w:lang w:eastAsia="uk-UA"/>
        </w:rPr>
      </w:pPr>
      <w:r w:rsidRPr="00E74C08">
        <w:rPr>
          <w:b/>
          <w:bCs/>
          <w:sz w:val="22"/>
          <w:szCs w:val="22"/>
        </w:rPr>
        <w:t>Додаткова інформація.</w:t>
      </w:r>
    </w:p>
    <w:p w:rsidR="009165D1" w:rsidRPr="00E74C08" w:rsidRDefault="009165D1" w:rsidP="009165D1">
      <w:pPr>
        <w:jc w:val="both"/>
        <w:rPr>
          <w:sz w:val="22"/>
          <w:szCs w:val="22"/>
        </w:rPr>
      </w:pPr>
      <w:r w:rsidRPr="00E74C08">
        <w:rPr>
          <w:b/>
          <w:bCs/>
          <w:sz w:val="22"/>
          <w:szCs w:val="22"/>
        </w:rPr>
        <w:lastRenderedPageBreak/>
        <w:t>1.</w:t>
      </w:r>
      <w:r w:rsidRPr="00E74C08">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74C08">
        <w:rPr>
          <w:b/>
          <w:bCs/>
          <w:sz w:val="22"/>
          <w:szCs w:val="22"/>
        </w:rPr>
        <w:t>біля кожного такого посилання вважати вираз «або еквівалент»</w:t>
      </w:r>
      <w:r w:rsidRPr="00E74C08">
        <w:rPr>
          <w:sz w:val="22"/>
          <w:szCs w:val="22"/>
        </w:rPr>
        <w:t xml:space="preserve">. Таким чином вважається, що до кожного посилання додається вираз </w:t>
      </w:r>
      <w:r w:rsidRPr="00E74C08">
        <w:rPr>
          <w:b/>
          <w:bCs/>
          <w:sz w:val="22"/>
          <w:szCs w:val="22"/>
        </w:rPr>
        <w:t>«або еквівалент»</w:t>
      </w:r>
      <w:r w:rsidRPr="00E74C08">
        <w:rPr>
          <w:sz w:val="22"/>
          <w:szCs w:val="22"/>
        </w:rPr>
        <w:t xml:space="preserve">. </w:t>
      </w:r>
    </w:p>
    <w:p w:rsidR="009165D1" w:rsidRPr="00E74C08" w:rsidRDefault="009165D1" w:rsidP="009165D1">
      <w:pPr>
        <w:jc w:val="both"/>
        <w:rPr>
          <w:sz w:val="22"/>
          <w:szCs w:val="22"/>
        </w:rPr>
      </w:pPr>
      <w:r w:rsidRPr="00E74C08">
        <w:rPr>
          <w:sz w:val="22"/>
          <w:szCs w:val="22"/>
        </w:rPr>
        <w:t xml:space="preserve">У місцях, де технічна специфікація містить посилання </w:t>
      </w:r>
      <w:r w:rsidRPr="00E74C08">
        <w:rPr>
          <w:sz w:val="22"/>
          <w:szCs w:val="22"/>
          <w:vertAlign w:val="superscript"/>
        </w:rPr>
        <w:t>1)</w:t>
      </w:r>
      <w:r w:rsidRPr="00E74C08">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74C08">
        <w:rPr>
          <w:b/>
          <w:bCs/>
          <w:sz w:val="22"/>
          <w:szCs w:val="22"/>
        </w:rPr>
        <w:t>вважати наявним вираз «або еквівалент»</w:t>
      </w:r>
      <w:r w:rsidRPr="00E74C08">
        <w:rPr>
          <w:sz w:val="22"/>
          <w:szCs w:val="22"/>
        </w:rPr>
        <w:t xml:space="preserve">. Таким чином вважається, що до кожного посилання додається вираз «або еквівалент» </w:t>
      </w:r>
      <w:r w:rsidRPr="00E74C08">
        <w:rPr>
          <w:b/>
          <w:bCs/>
          <w:i/>
          <w:iCs/>
          <w:sz w:val="22"/>
          <w:szCs w:val="22"/>
        </w:rPr>
        <w:t>(</w:t>
      </w:r>
      <w:r w:rsidRPr="00E74C08">
        <w:rPr>
          <w:b/>
          <w:bCs/>
          <w:i/>
          <w:iCs/>
          <w:sz w:val="22"/>
          <w:szCs w:val="22"/>
          <w:vertAlign w:val="superscript"/>
        </w:rPr>
        <w:t>1)</w:t>
      </w:r>
      <w:r w:rsidRPr="00E74C08">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E74C08">
        <w:rPr>
          <w:sz w:val="22"/>
          <w:szCs w:val="22"/>
        </w:rPr>
        <w:t xml:space="preserve">. </w:t>
      </w:r>
    </w:p>
    <w:p w:rsidR="009165D1" w:rsidRPr="00E74C08" w:rsidRDefault="009165D1" w:rsidP="009165D1">
      <w:pPr>
        <w:autoSpaceDE w:val="0"/>
        <w:autoSpaceDN w:val="0"/>
        <w:ind w:firstLine="709"/>
        <w:jc w:val="both"/>
        <w:rPr>
          <w:color w:val="000000"/>
          <w:sz w:val="26"/>
          <w:szCs w:val="26"/>
        </w:rPr>
      </w:pPr>
      <w:r w:rsidRPr="00E74C08">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E74C08">
        <w:rPr>
          <w:b/>
          <w:bCs/>
          <w:sz w:val="22"/>
          <w:szCs w:val="22"/>
        </w:rPr>
        <w:t>Додатку 1</w:t>
      </w:r>
      <w:r w:rsidRPr="00E74C08">
        <w:rPr>
          <w:sz w:val="22"/>
          <w:szCs w:val="22"/>
        </w:rPr>
        <w:t xml:space="preserve"> технічним та якісним характеристикам предмета закупівлі).</w:t>
      </w:r>
    </w:p>
    <w:p w:rsidR="00A256E7" w:rsidRPr="00E74C08" w:rsidRDefault="00A256E7" w:rsidP="00D04854">
      <w:pPr>
        <w:widowControl w:val="0"/>
        <w:autoSpaceDE w:val="0"/>
        <w:autoSpaceDN w:val="0"/>
        <w:adjustRightInd w:val="0"/>
        <w:ind w:firstLine="709"/>
        <w:contextualSpacing/>
        <w:jc w:val="both"/>
        <w:rPr>
          <w:color w:val="000000"/>
          <w:sz w:val="26"/>
          <w:szCs w:val="26"/>
        </w:rPr>
      </w:pPr>
    </w:p>
    <w:sectPr w:rsidR="00A256E7" w:rsidRPr="00E74C08"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68" w:rsidRDefault="00D64168">
      <w:r>
        <w:separator/>
      </w:r>
    </w:p>
  </w:endnote>
  <w:endnote w:type="continuationSeparator" w:id="0">
    <w:p w:rsidR="00D64168" w:rsidRDefault="00D6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36A8B"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9640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64168">
      <w:rPr>
        <w:sz w:val="20"/>
        <w:szCs w:val="20"/>
      </w:rPr>
      <w:t xml:space="preserve">Інструменти для дорожніх робіт, код ДК 021:2015 - 44510000-8 - Знаряддя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601D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601D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68" w:rsidRDefault="00D64168">
      <w:r>
        <w:separator/>
      </w:r>
    </w:p>
  </w:footnote>
  <w:footnote w:type="continuationSeparator" w:id="0">
    <w:p w:rsidR="00D64168" w:rsidRDefault="00D6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36A8B"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FAC8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07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0650"/>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6DA"/>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07"/>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1822"/>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762"/>
    <w:rsid w:val="00342EB1"/>
    <w:rsid w:val="0034391A"/>
    <w:rsid w:val="003441FF"/>
    <w:rsid w:val="003464A2"/>
    <w:rsid w:val="003468D4"/>
    <w:rsid w:val="003470C8"/>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18CC"/>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0EF5"/>
    <w:rsid w:val="004C36A0"/>
    <w:rsid w:val="004C41CA"/>
    <w:rsid w:val="004C5D3E"/>
    <w:rsid w:val="004C645C"/>
    <w:rsid w:val="004C7340"/>
    <w:rsid w:val="004D180A"/>
    <w:rsid w:val="004D4397"/>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245"/>
    <w:rsid w:val="00573C3C"/>
    <w:rsid w:val="00574C65"/>
    <w:rsid w:val="00577483"/>
    <w:rsid w:val="00582F99"/>
    <w:rsid w:val="00583378"/>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5B5"/>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640A"/>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6A8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1BF2"/>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35E2"/>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168"/>
    <w:rsid w:val="00D6434D"/>
    <w:rsid w:val="00D66424"/>
    <w:rsid w:val="00D66CCA"/>
    <w:rsid w:val="00D7298A"/>
    <w:rsid w:val="00D76609"/>
    <w:rsid w:val="00D80ED6"/>
    <w:rsid w:val="00D84740"/>
    <w:rsid w:val="00D87760"/>
    <w:rsid w:val="00D90DE3"/>
    <w:rsid w:val="00D91628"/>
    <w:rsid w:val="00D9231A"/>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C08"/>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5915"/>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01DD"/>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FA1A4E"/>
  <w15:chartTrackingRefBased/>
  <w15:docId w15:val="{E2690442-0BCA-4EFD-ACA3-2CB3E73C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615B5"/>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liukova@atlant.kharkov.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dilka.com.u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odri.com.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afipro@grafipro.f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88A4-DE8E-4326-A238-2A8B6D7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719</Words>
  <Characters>5640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26</cp:revision>
  <cp:lastPrinted>2021-11-17T09:02:00Z</cp:lastPrinted>
  <dcterms:created xsi:type="dcterms:W3CDTF">2023-06-19T14:39:00Z</dcterms:created>
  <dcterms:modified xsi:type="dcterms:W3CDTF">2023-06-20T13:16:00Z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