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F40"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6348E" w:rsidRDefault="004072F7" w:rsidP="0036348E">
            <w:pPr>
              <w:widowControl w:val="0"/>
              <w:ind w:right="-11"/>
              <w:jc w:val="center"/>
              <w:rPr>
                <w:sz w:val="22"/>
                <w:szCs w:val="22"/>
                <w:lang w:val="uk-UA" w:eastAsia="uk-UA"/>
              </w:rPr>
            </w:pPr>
            <w:r w:rsidRPr="0036348E">
              <w:rPr>
                <w:sz w:val="22"/>
                <w:szCs w:val="22"/>
                <w:lang w:val="uk-UA"/>
              </w:rPr>
              <w:t>п.</w:t>
            </w:r>
            <w:r w:rsidR="00A76484" w:rsidRPr="0036348E">
              <w:rPr>
                <w:sz w:val="22"/>
                <w:szCs w:val="22"/>
                <w:lang w:val="uk-UA"/>
              </w:rPr>
              <w:t xml:space="preserve"> </w:t>
            </w:r>
            <w:r w:rsidR="009255EE" w:rsidRPr="0036348E">
              <w:rPr>
                <w:sz w:val="22"/>
                <w:szCs w:val="22"/>
                <w:lang w:val="uk-UA"/>
              </w:rPr>
              <w:t xml:space="preserve">43.42 </w:t>
            </w:r>
            <w:r w:rsidR="00BD6E95" w:rsidRPr="0036348E">
              <w:rPr>
                <w:sz w:val="22"/>
                <w:szCs w:val="22"/>
                <w:lang w:val="uk-UA" w:eastAsia="uk-UA"/>
              </w:rPr>
              <w:t>(202</w:t>
            </w:r>
            <w:r w:rsidR="004E76E1" w:rsidRPr="0036348E">
              <w:rPr>
                <w:sz w:val="22"/>
                <w:szCs w:val="22"/>
                <w:lang w:val="uk-UA" w:eastAsia="uk-UA"/>
              </w:rPr>
              <w:t>3</w:t>
            </w:r>
            <w:r w:rsidR="00A76484" w:rsidRPr="0036348E">
              <w:rPr>
                <w:sz w:val="22"/>
                <w:szCs w:val="22"/>
                <w:lang w:val="uk-UA" w:eastAsia="uk-UA"/>
              </w:rPr>
              <w:t>)</w:t>
            </w:r>
          </w:p>
        </w:tc>
        <w:tc>
          <w:tcPr>
            <w:tcW w:w="1527" w:type="pct"/>
          </w:tcPr>
          <w:p w:rsidR="00A76484" w:rsidRPr="0036348E" w:rsidRDefault="009255EE" w:rsidP="00A12478">
            <w:pPr>
              <w:widowControl w:val="0"/>
              <w:rPr>
                <w:bCs/>
                <w:sz w:val="22"/>
                <w:szCs w:val="22"/>
                <w:lang w:val="uk-UA"/>
              </w:rPr>
            </w:pPr>
            <w:r w:rsidRPr="0036348E">
              <w:rPr>
                <w:b/>
                <w:sz w:val="22"/>
                <w:szCs w:val="22"/>
                <w:lang w:val="uk-UA"/>
              </w:rPr>
              <w:t xml:space="preserve">Послуги з підбору фарби для транспортних засобів, </w:t>
            </w:r>
            <w:r w:rsidRPr="0036348E">
              <w:rPr>
                <w:sz w:val="22"/>
                <w:szCs w:val="22"/>
                <w:lang w:val="uk-UA"/>
              </w:rPr>
              <w:t>код ДК 021:2015 - 98390000-3 - Інші послуги</w:t>
            </w:r>
            <w:r w:rsidRPr="0036348E">
              <w:rPr>
                <w:b/>
                <w:sz w:val="22"/>
                <w:szCs w:val="22"/>
                <w:lang w:val="uk-UA"/>
              </w:rPr>
              <w:t xml:space="preserve"> </w:t>
            </w:r>
          </w:p>
        </w:tc>
        <w:tc>
          <w:tcPr>
            <w:tcW w:w="947" w:type="pct"/>
          </w:tcPr>
          <w:p w:rsidR="00A76484" w:rsidRPr="0036348E" w:rsidRDefault="0036348E" w:rsidP="002D4D30">
            <w:pPr>
              <w:widowControl w:val="0"/>
              <w:jc w:val="center"/>
              <w:rPr>
                <w:sz w:val="22"/>
                <w:szCs w:val="22"/>
                <w:lang w:val="uk-UA"/>
              </w:rPr>
            </w:pPr>
            <w:r w:rsidRPr="0036348E">
              <w:rPr>
                <w:sz w:val="22"/>
                <w:szCs w:val="22"/>
                <w:lang w:val="uk-UA"/>
              </w:rPr>
              <w:t>210 000,00</w:t>
            </w:r>
          </w:p>
          <w:p w:rsidR="00A76484" w:rsidRPr="0036348E" w:rsidRDefault="00A76484" w:rsidP="002D4D30">
            <w:pPr>
              <w:widowControl w:val="0"/>
              <w:jc w:val="center"/>
              <w:rPr>
                <w:sz w:val="22"/>
                <w:szCs w:val="22"/>
                <w:lang w:val="uk-UA"/>
              </w:rPr>
            </w:pPr>
            <w:r w:rsidRPr="0036348E">
              <w:rPr>
                <w:sz w:val="22"/>
                <w:szCs w:val="22"/>
                <w:lang w:val="uk-UA"/>
              </w:rPr>
              <w:t>грн. з ПДВ</w:t>
            </w:r>
          </w:p>
        </w:tc>
        <w:tc>
          <w:tcPr>
            <w:tcW w:w="1102" w:type="pct"/>
          </w:tcPr>
          <w:p w:rsidR="00A76484" w:rsidRPr="0036348E" w:rsidRDefault="009255EE" w:rsidP="002D4D30">
            <w:pPr>
              <w:widowControl w:val="0"/>
              <w:jc w:val="center"/>
              <w:rPr>
                <w:sz w:val="22"/>
                <w:szCs w:val="22"/>
                <w:lang w:val="uk-UA"/>
              </w:rPr>
            </w:pPr>
            <w:r w:rsidRPr="0036348E">
              <w:rPr>
                <w:sz w:val="22"/>
                <w:szCs w:val="22"/>
                <w:lang w:val="uk-UA"/>
              </w:rPr>
              <w:t>175 000,00</w:t>
            </w:r>
          </w:p>
          <w:p w:rsidR="00A76484" w:rsidRPr="0036348E" w:rsidRDefault="00A76484" w:rsidP="002D4D30">
            <w:pPr>
              <w:widowControl w:val="0"/>
              <w:jc w:val="center"/>
              <w:rPr>
                <w:sz w:val="22"/>
                <w:szCs w:val="22"/>
                <w:lang w:val="uk-UA"/>
              </w:rPr>
            </w:pPr>
            <w:r w:rsidRPr="0036348E">
              <w:rPr>
                <w:sz w:val="22"/>
                <w:szCs w:val="22"/>
                <w:lang w:val="uk-UA"/>
              </w:rPr>
              <w:t xml:space="preserve">грн. без ПДВ </w:t>
            </w:r>
          </w:p>
        </w:tc>
        <w:tc>
          <w:tcPr>
            <w:tcW w:w="936" w:type="pct"/>
          </w:tcPr>
          <w:p w:rsidR="00A76484" w:rsidRPr="007101A5" w:rsidRDefault="009255EE" w:rsidP="002D4D30">
            <w:pPr>
              <w:widowControl w:val="0"/>
              <w:jc w:val="center"/>
              <w:rPr>
                <w:color w:val="0000FF"/>
                <w:sz w:val="22"/>
                <w:szCs w:val="22"/>
                <w:lang w:val="uk-UA"/>
              </w:rPr>
            </w:pPr>
            <w:r w:rsidRPr="0036348E">
              <w:rPr>
                <w:b/>
                <w:sz w:val="22"/>
                <w:szCs w:val="22"/>
                <w:lang w:val="uk-UA"/>
              </w:rPr>
              <w:t>UA-2023-06-08-015299-a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6348E" w:rsidRPr="0036348E" w:rsidTr="0036348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lang w:val="uk-UA"/>
              </w:rPr>
            </w:pPr>
            <w:bookmarkStart w:id="0" w:name="_GoBack"/>
            <w:bookmarkEnd w:id="0"/>
            <w:r w:rsidRPr="0036348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lang w:val="uk-UA"/>
              </w:rPr>
            </w:pPr>
            <w:r w:rsidRPr="0036348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6348E" w:rsidRPr="0036348E" w:rsidRDefault="0036348E" w:rsidP="0036348E">
            <w:pPr>
              <w:widowControl w:val="0"/>
              <w:tabs>
                <w:tab w:val="left" w:pos="263"/>
              </w:tabs>
              <w:jc w:val="both"/>
              <w:rPr>
                <w:lang w:val="uk-UA"/>
              </w:rPr>
            </w:pPr>
            <w:r w:rsidRPr="0036348E">
              <w:rPr>
                <w:lang w:val="uk-UA"/>
              </w:rPr>
              <w:t>Технічний стан транспортного засобу повинен відповідати вимогам низки нормативних документів:</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Закону України "Про дорожній рух" (ст. 12, 16, 29, 32, 33, 36, 37, 53);</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«Правилам дорожнього руху України»;</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№615 від 28.11.2014р.;</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«Положенню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30.03.1998р.;</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Інструкціям по експлуатації автомобілів;</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sz w:val="24"/>
                <w:szCs w:val="24"/>
                <w:lang w:val="uk-UA"/>
              </w:rPr>
            </w:pPr>
            <w:r w:rsidRPr="0036348E">
              <w:rPr>
                <w:rFonts w:ascii="Times New Roman" w:hAnsi="Times New Roman"/>
                <w:sz w:val="24"/>
                <w:szCs w:val="24"/>
                <w:lang w:val="uk-UA"/>
              </w:rPr>
              <w:t xml:space="preserve">Ремонтної, технологічної та сервісної літератури виробника; </w:t>
            </w:r>
          </w:p>
          <w:p w:rsidR="0036348E" w:rsidRPr="0036348E" w:rsidRDefault="0036348E" w:rsidP="0036348E">
            <w:pPr>
              <w:pStyle w:val="af5"/>
              <w:widowControl w:val="0"/>
              <w:numPr>
                <w:ilvl w:val="0"/>
                <w:numId w:val="26"/>
              </w:numPr>
              <w:tabs>
                <w:tab w:val="left" w:pos="263"/>
                <w:tab w:val="left" w:pos="413"/>
              </w:tabs>
              <w:spacing w:after="0" w:line="240" w:lineRule="auto"/>
              <w:ind w:left="0" w:firstLine="225"/>
              <w:contextualSpacing w:val="0"/>
              <w:jc w:val="both"/>
              <w:rPr>
                <w:rFonts w:ascii="Times New Roman" w:hAnsi="Times New Roman"/>
                <w:color w:val="FF0000"/>
                <w:sz w:val="24"/>
                <w:szCs w:val="24"/>
                <w:lang w:val="uk-UA"/>
              </w:rPr>
            </w:pPr>
            <w:r w:rsidRPr="0036348E">
              <w:rPr>
                <w:rFonts w:ascii="Times New Roman" w:hAnsi="Times New Roman"/>
                <w:sz w:val="24"/>
                <w:szCs w:val="24"/>
                <w:lang w:val="uk-UA"/>
              </w:rPr>
              <w:t>та ін.</w:t>
            </w:r>
          </w:p>
        </w:tc>
      </w:tr>
      <w:tr w:rsidR="0036348E" w:rsidRPr="0036348E" w:rsidTr="0036348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bCs/>
                <w:lang w:val="uk-UA"/>
              </w:rPr>
            </w:pPr>
            <w:r w:rsidRPr="0036348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lang w:val="uk-UA"/>
              </w:rPr>
            </w:pPr>
            <w:r w:rsidRPr="0036348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6348E" w:rsidRPr="0036348E" w:rsidRDefault="0036348E" w:rsidP="0036348E">
            <w:pPr>
              <w:widowControl w:val="0"/>
              <w:spacing w:after="80"/>
              <w:jc w:val="both"/>
              <w:rPr>
                <w:bCs/>
                <w:lang w:val="uk-UA"/>
              </w:rPr>
            </w:pPr>
            <w:r w:rsidRPr="0036348E">
              <w:rPr>
                <w:bCs/>
                <w:lang w:val="uk-UA"/>
              </w:rPr>
              <w:t xml:space="preserve">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Проведені консультації з учасниками ринку, та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за кожну одиницю послуг та очікувану вартість в цілому. </w:t>
            </w:r>
          </w:p>
        </w:tc>
      </w:tr>
      <w:tr w:rsidR="0036348E" w:rsidRPr="0036348E" w:rsidTr="0036348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bCs/>
                <w:lang w:val="uk-UA"/>
              </w:rPr>
            </w:pPr>
            <w:r w:rsidRPr="0036348E">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6348E" w:rsidRDefault="0036348E" w:rsidP="0036348E">
            <w:pPr>
              <w:rPr>
                <w:lang w:val="uk-UA"/>
              </w:rPr>
            </w:pPr>
            <w:r w:rsidRPr="0036348E">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6348E" w:rsidRPr="0036348E" w:rsidRDefault="0036348E" w:rsidP="0036348E">
            <w:pPr>
              <w:widowControl w:val="0"/>
              <w:spacing w:after="80"/>
              <w:jc w:val="both"/>
              <w:rPr>
                <w:lang w:val="uk-UA"/>
              </w:rPr>
            </w:pPr>
            <w:r w:rsidRPr="0036348E">
              <w:rPr>
                <w:u w:val="single"/>
                <w:lang w:val="uk-UA"/>
              </w:rPr>
              <w:t>Ціна складається з суми</w:t>
            </w:r>
            <w:r w:rsidRPr="0036348E">
              <w:rPr>
                <w:lang w:val="uk-UA"/>
              </w:rPr>
              <w:t>:</w:t>
            </w:r>
          </w:p>
          <w:p w:rsidR="0036348E" w:rsidRPr="0036348E" w:rsidRDefault="0036348E" w:rsidP="0036348E">
            <w:pPr>
              <w:widowControl w:val="0"/>
              <w:spacing w:after="80"/>
              <w:jc w:val="both"/>
              <w:rPr>
                <w:lang w:val="uk-UA"/>
              </w:rPr>
            </w:pPr>
            <w:r w:rsidRPr="0036348E">
              <w:rPr>
                <w:lang w:val="uk-UA"/>
              </w:rPr>
              <w:t>1. ціна послуг відповідно до конкретного визначеного переліку;</w:t>
            </w:r>
          </w:p>
          <w:p w:rsidR="0036348E" w:rsidRPr="0036348E" w:rsidRDefault="0036348E" w:rsidP="0036348E">
            <w:pPr>
              <w:widowControl w:val="0"/>
              <w:spacing w:after="80"/>
              <w:jc w:val="both"/>
              <w:rPr>
                <w:lang w:val="uk-UA"/>
              </w:rPr>
            </w:pPr>
            <w:r w:rsidRPr="0036348E">
              <w:rPr>
                <w:lang w:val="uk-UA"/>
              </w:rPr>
              <w:t>2. ціна матеріалів, які використовуються під час надання послуг відповідно до конкретного визначеного переліку.</w:t>
            </w:r>
          </w:p>
          <w:p w:rsidR="0036348E" w:rsidRPr="0036348E" w:rsidRDefault="0036348E" w:rsidP="0036348E">
            <w:pPr>
              <w:widowControl w:val="0"/>
              <w:spacing w:after="80"/>
              <w:jc w:val="both"/>
              <w:rPr>
                <w:i/>
                <w:color w:val="FF0000"/>
                <w:lang w:val="uk-UA"/>
              </w:rPr>
            </w:pPr>
            <w:r w:rsidRPr="0036348E">
              <w:rPr>
                <w:lang w:val="uk-UA"/>
              </w:rPr>
              <w:t>Загальна очікувана вартість закупівлі повинна складати    210 000,00 грн. з ПДВ.</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36348E" w:rsidRPr="00B2516F" w:rsidRDefault="0036348E" w:rsidP="0036348E">
      <w:pPr>
        <w:widowControl w:val="0"/>
        <w:jc w:val="center"/>
        <w:rPr>
          <w:b/>
          <w:sz w:val="22"/>
          <w:szCs w:val="22"/>
          <w:lang w:val="uk-UA"/>
        </w:rPr>
      </w:pPr>
      <w:r w:rsidRPr="00B2516F">
        <w:rPr>
          <w:b/>
          <w:sz w:val="22"/>
          <w:szCs w:val="22"/>
          <w:lang w:val="uk-UA"/>
        </w:rPr>
        <w:t>1.</w:t>
      </w:r>
      <w:r>
        <w:rPr>
          <w:b/>
          <w:sz w:val="22"/>
          <w:szCs w:val="22"/>
          <w:lang w:val="uk-UA"/>
        </w:rPr>
        <w:t>1</w:t>
      </w:r>
      <w:r w:rsidRPr="00B2516F">
        <w:rPr>
          <w:b/>
          <w:sz w:val="22"/>
          <w:szCs w:val="22"/>
          <w:lang w:val="uk-UA"/>
        </w:rPr>
        <w:t xml:space="preserve"> Специфікація</w:t>
      </w:r>
    </w:p>
    <w:tbl>
      <w:tblPr>
        <w:tblW w:w="9972" w:type="dxa"/>
        <w:tblInd w:w="60" w:type="dxa"/>
        <w:tblLayout w:type="fixed"/>
        <w:tblCellMar>
          <w:top w:w="30" w:type="dxa"/>
          <w:left w:w="60" w:type="dxa"/>
          <w:bottom w:w="30" w:type="dxa"/>
          <w:right w:w="30" w:type="dxa"/>
        </w:tblCellMar>
        <w:tblLook w:val="0000" w:firstRow="0" w:lastRow="0" w:firstColumn="0" w:lastColumn="0" w:noHBand="0" w:noVBand="0"/>
      </w:tblPr>
      <w:tblGrid>
        <w:gridCol w:w="567"/>
        <w:gridCol w:w="1328"/>
        <w:gridCol w:w="992"/>
        <w:gridCol w:w="992"/>
        <w:gridCol w:w="3969"/>
        <w:gridCol w:w="1275"/>
        <w:gridCol w:w="849"/>
      </w:tblGrid>
      <w:tr w:rsidR="0036348E" w:rsidRPr="00E40592" w:rsidTr="00925679">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lang w:val="uk-UA"/>
              </w:rPr>
            </w:pPr>
            <w:r w:rsidRPr="00E40592">
              <w:rPr>
                <w:b/>
                <w:lang w:val="uk-UA"/>
              </w:rPr>
              <w:t>№ п/п</w:t>
            </w:r>
          </w:p>
        </w:tc>
        <w:tc>
          <w:tcPr>
            <w:tcW w:w="132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jc w:val="center"/>
              <w:rPr>
                <w:b/>
                <w:bCs/>
                <w:color w:val="000000"/>
                <w:lang w:val="uk-UA" w:eastAsia="uk-UA"/>
              </w:rPr>
            </w:pPr>
            <w:r w:rsidRPr="00E40592">
              <w:rPr>
                <w:b/>
                <w:bCs/>
                <w:color w:val="000000"/>
                <w:lang w:val="uk-UA" w:eastAsia="uk-UA"/>
              </w:rPr>
              <w:t xml:space="preserve">Найменування </w:t>
            </w:r>
            <w:r>
              <w:rPr>
                <w:b/>
                <w:bCs/>
                <w:color w:val="000000"/>
                <w:lang w:val="uk-UA" w:eastAsia="uk-UA"/>
              </w:rPr>
              <w:t>П</w:t>
            </w:r>
            <w:r w:rsidRPr="00E40592">
              <w:rPr>
                <w:b/>
                <w:bCs/>
                <w:color w:val="000000"/>
                <w:lang w:val="uk-UA" w:eastAsia="uk-UA"/>
              </w:rPr>
              <w:t>ослуг</w:t>
            </w:r>
            <w:r>
              <w:rPr>
                <w:b/>
                <w:bCs/>
                <w:color w:val="000000"/>
                <w:lang w:val="uk-UA" w:eastAsia="uk-UA"/>
              </w:rPr>
              <w:t>и</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lang w:val="uk-UA"/>
              </w:rPr>
            </w:pPr>
            <w:r>
              <w:rPr>
                <w:b/>
                <w:lang w:val="uk-UA"/>
              </w:rPr>
              <w:t xml:space="preserve">Одиниця виміру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lang w:val="uk-UA"/>
              </w:rPr>
            </w:pPr>
            <w:r w:rsidRPr="00E40592">
              <w:rPr>
                <w:b/>
                <w:lang w:val="uk-UA"/>
              </w:rPr>
              <w:t>К</w:t>
            </w:r>
            <w:r>
              <w:rPr>
                <w:b/>
                <w:lang w:val="uk-UA"/>
              </w:rPr>
              <w:t>ількість послуг</w:t>
            </w:r>
          </w:p>
        </w:tc>
        <w:tc>
          <w:tcPr>
            <w:tcW w:w="39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bCs/>
                <w:color w:val="000000"/>
                <w:lang w:val="uk-UA" w:eastAsia="uk-UA"/>
              </w:rPr>
            </w:pPr>
            <w:r w:rsidRPr="00E40592">
              <w:rPr>
                <w:b/>
                <w:bCs/>
                <w:color w:val="000000"/>
                <w:lang w:val="uk-UA" w:eastAsia="uk-UA"/>
              </w:rPr>
              <w:t>Технічні та якісні характеристики предмета закупівлі</w:t>
            </w:r>
          </w:p>
          <w:p w:rsidR="0036348E" w:rsidRPr="00E40592" w:rsidRDefault="0036348E" w:rsidP="00925679">
            <w:pPr>
              <w:widowControl w:val="0"/>
              <w:jc w:val="center"/>
              <w:rPr>
                <w:b/>
                <w:lang w:val="uk-UA"/>
              </w:rPr>
            </w:pPr>
            <w:r w:rsidRPr="00E40592">
              <w:rPr>
                <w:b/>
                <w:bCs/>
                <w:color w:val="000000"/>
                <w:lang w:val="uk-UA" w:eastAsia="uk-UA"/>
              </w:rPr>
              <w:t>(Технічна специфікація)</w:t>
            </w:r>
          </w:p>
        </w:tc>
        <w:tc>
          <w:tcPr>
            <w:tcW w:w="127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lang w:val="uk-UA"/>
              </w:rPr>
            </w:pPr>
            <w:r>
              <w:rPr>
                <w:b/>
                <w:lang w:val="uk-UA"/>
              </w:rPr>
              <w:t>Одиниця</w:t>
            </w:r>
          </w:p>
          <w:p w:rsidR="0036348E" w:rsidRPr="00E40592" w:rsidRDefault="0036348E" w:rsidP="00925679">
            <w:pPr>
              <w:widowControl w:val="0"/>
              <w:jc w:val="center"/>
              <w:rPr>
                <w:b/>
                <w:lang w:val="uk-UA"/>
              </w:rPr>
            </w:pPr>
            <w:r w:rsidRPr="00E40592">
              <w:rPr>
                <w:b/>
                <w:lang w:val="uk-UA"/>
              </w:rPr>
              <w:t>виміру</w:t>
            </w:r>
          </w:p>
        </w:tc>
        <w:tc>
          <w:tcPr>
            <w:tcW w:w="84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hemeFill="accent3" w:themeFillTint="33"/>
          </w:tcPr>
          <w:p w:rsidR="0036348E" w:rsidRPr="00E40592" w:rsidRDefault="0036348E" w:rsidP="00925679">
            <w:pPr>
              <w:widowControl w:val="0"/>
              <w:jc w:val="center"/>
              <w:rPr>
                <w:b/>
                <w:lang w:val="uk-UA"/>
              </w:rPr>
            </w:pPr>
            <w:r w:rsidRPr="00E40592">
              <w:rPr>
                <w:b/>
                <w:bCs/>
                <w:color w:val="000000"/>
                <w:lang w:val="uk-UA" w:eastAsia="uk-UA"/>
              </w:rPr>
              <w:t>К</w:t>
            </w:r>
            <w:r>
              <w:rPr>
                <w:b/>
                <w:bCs/>
                <w:color w:val="000000"/>
                <w:lang w:val="uk-UA" w:eastAsia="uk-UA"/>
              </w:rPr>
              <w:t>ількість</w:t>
            </w:r>
          </w:p>
        </w:tc>
      </w:tr>
      <w:tr w:rsidR="0036348E" w:rsidRPr="0030566B" w:rsidTr="00925679">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rPr>
                <w:b/>
                <w:bCs/>
                <w:kern w:val="1"/>
                <w:sz w:val="22"/>
                <w:szCs w:val="22"/>
                <w:lang w:val="uk-UA"/>
              </w:rPr>
            </w:pPr>
            <w:r w:rsidRPr="0030566B">
              <w:rPr>
                <w:kern w:val="1"/>
                <w:sz w:val="22"/>
                <w:szCs w:val="22"/>
                <w:lang w:val="uk-UA"/>
              </w:rPr>
              <w:t>1</w:t>
            </w:r>
          </w:p>
        </w:tc>
        <w:tc>
          <w:tcPr>
            <w:tcW w:w="132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spacing w:after="80"/>
              <w:rPr>
                <w:kern w:val="1"/>
                <w:sz w:val="22"/>
                <w:szCs w:val="22"/>
                <w:lang w:val="uk-UA"/>
              </w:rPr>
            </w:pPr>
            <w:r w:rsidRPr="0030566B">
              <w:rPr>
                <w:kern w:val="1"/>
                <w:sz w:val="22"/>
                <w:szCs w:val="22"/>
                <w:lang w:val="uk-UA"/>
              </w:rPr>
              <w:t xml:space="preserve">Підбір акрилової </w:t>
            </w:r>
            <w:proofErr w:type="spellStart"/>
            <w:r w:rsidRPr="0030566B">
              <w:rPr>
                <w:kern w:val="1"/>
                <w:sz w:val="22"/>
                <w:szCs w:val="22"/>
                <w:lang w:val="uk-UA"/>
              </w:rPr>
              <w:t>автоемалі</w:t>
            </w:r>
            <w:proofErr w:type="spellEnd"/>
            <w:r w:rsidRPr="0030566B">
              <w:rPr>
                <w:kern w:val="1"/>
                <w:sz w:val="22"/>
                <w:szCs w:val="22"/>
                <w:lang w:val="uk-UA"/>
              </w:rPr>
              <w:t xml:space="preserve"> 2К</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36348E" w:rsidRPr="0030566B" w:rsidRDefault="0036348E" w:rsidP="00925679">
            <w:pPr>
              <w:suppressAutoHyphens/>
              <w:spacing w:after="80"/>
              <w:jc w:val="center"/>
              <w:rPr>
                <w:kern w:val="1"/>
                <w:sz w:val="22"/>
                <w:szCs w:val="22"/>
                <w:lang w:val="uk-UA"/>
              </w:rPr>
            </w:pPr>
            <w:r w:rsidRPr="0030566B">
              <w:rPr>
                <w:kern w:val="1"/>
                <w:sz w:val="22"/>
                <w:szCs w:val="22"/>
                <w:lang w:val="uk-UA"/>
              </w:rPr>
              <w:t>послуга</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spacing w:after="80"/>
              <w:jc w:val="center"/>
              <w:rPr>
                <w:kern w:val="1"/>
                <w:sz w:val="22"/>
                <w:szCs w:val="22"/>
                <w:lang w:val="uk-UA"/>
              </w:rPr>
            </w:pPr>
            <w:r w:rsidRPr="0030566B">
              <w:rPr>
                <w:kern w:val="1"/>
                <w:sz w:val="22"/>
                <w:szCs w:val="22"/>
                <w:lang w:val="uk-UA"/>
              </w:rPr>
              <w:t>20</w:t>
            </w:r>
          </w:p>
        </w:tc>
        <w:tc>
          <w:tcPr>
            <w:tcW w:w="39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DB5915" w:rsidRDefault="0036348E" w:rsidP="00925679">
            <w:pPr>
              <w:shd w:val="clear" w:color="auto" w:fill="FBFBFB"/>
              <w:ind w:right="112"/>
              <w:jc w:val="both"/>
              <w:rPr>
                <w:sz w:val="22"/>
                <w:szCs w:val="22"/>
                <w:lang w:val="uk-UA" w:eastAsia="uk-UA"/>
              </w:rPr>
            </w:pPr>
            <w:r w:rsidRPr="00DB5915">
              <w:rPr>
                <w:sz w:val="22"/>
                <w:szCs w:val="22"/>
                <w:lang w:val="uk-UA" w:eastAsia="uk-UA"/>
              </w:rPr>
              <w:t>Покриття акриловою фарбою, створює захисний шар, який перешкоджає корозії і захищає від негативного впливу навколишнього середовища.</w:t>
            </w:r>
          </w:p>
          <w:p w:rsidR="0036348E" w:rsidRPr="00DB5915" w:rsidRDefault="0036348E" w:rsidP="00925679">
            <w:pPr>
              <w:shd w:val="clear" w:color="auto" w:fill="FBFBFB"/>
              <w:ind w:right="112"/>
              <w:jc w:val="both"/>
              <w:rPr>
                <w:sz w:val="22"/>
                <w:szCs w:val="22"/>
                <w:lang w:val="uk-UA" w:eastAsia="uk-UA"/>
              </w:rPr>
            </w:pPr>
            <w:r w:rsidRPr="00DB5915">
              <w:rPr>
                <w:sz w:val="22"/>
                <w:szCs w:val="22"/>
                <w:lang w:val="uk-UA" w:eastAsia="uk-UA"/>
              </w:rPr>
              <w:t>Підбір акрилової фарби може здійснюватися за кодом кольору, який можна знайти на табличці  автомобіля, якщо автомобіль експлуатується не більше</w:t>
            </w:r>
            <w:r>
              <w:rPr>
                <w:sz w:val="22"/>
                <w:szCs w:val="22"/>
                <w:lang w:val="uk-UA" w:eastAsia="uk-UA"/>
              </w:rPr>
              <w:t xml:space="preserve"> 1,5 року,</w:t>
            </w:r>
            <w:r w:rsidRPr="00DB5915">
              <w:rPr>
                <w:sz w:val="22"/>
                <w:szCs w:val="22"/>
                <w:lang w:val="uk-UA" w:eastAsia="uk-UA"/>
              </w:rPr>
              <w:t xml:space="preserve"> </w:t>
            </w:r>
            <w:r>
              <w:rPr>
                <w:sz w:val="22"/>
                <w:szCs w:val="22"/>
                <w:lang w:val="uk-UA" w:eastAsia="uk-UA"/>
              </w:rPr>
              <w:t>а</w:t>
            </w:r>
            <w:r w:rsidRPr="00DB5915">
              <w:rPr>
                <w:sz w:val="22"/>
                <w:szCs w:val="22"/>
                <w:lang w:val="uk-UA" w:eastAsia="uk-UA"/>
              </w:rPr>
              <w:t>ле з урахуванням факторів зовнішнього впливу, яким піддавався автомобіль, як  - вицвітання на сонці, хімічні речовини на мийках та дорозі підбір фарби по коду стає неможливим. Тоді, для забезпечення естетичного виду автомобілів, у випадку коли не планується повністю перефарбування автомобілю, – використовується комп’ютерний підбір фарби.</w:t>
            </w:r>
          </w:p>
          <w:p w:rsidR="0036348E" w:rsidRDefault="0036348E" w:rsidP="00925679">
            <w:pPr>
              <w:shd w:val="clear" w:color="auto" w:fill="FBFBFB"/>
              <w:ind w:right="112"/>
              <w:jc w:val="both"/>
              <w:rPr>
                <w:sz w:val="22"/>
                <w:szCs w:val="22"/>
                <w:lang w:val="uk-UA" w:eastAsia="uk-UA"/>
              </w:rPr>
            </w:pPr>
            <w:r w:rsidRPr="00DB5915">
              <w:rPr>
                <w:sz w:val="22"/>
                <w:szCs w:val="22"/>
                <w:lang w:val="uk-UA" w:eastAsia="uk-UA"/>
              </w:rPr>
              <w:t>По невеличкому зразку елемента кузова (</w:t>
            </w:r>
            <w:proofErr w:type="spellStart"/>
            <w:r w:rsidRPr="00DB5915">
              <w:rPr>
                <w:sz w:val="22"/>
                <w:szCs w:val="22"/>
                <w:lang w:val="uk-UA" w:eastAsia="uk-UA"/>
              </w:rPr>
              <w:t>лючок</w:t>
            </w:r>
            <w:proofErr w:type="spellEnd"/>
            <w:r w:rsidRPr="00DB5915">
              <w:rPr>
                <w:sz w:val="22"/>
                <w:szCs w:val="22"/>
                <w:lang w:val="uk-UA" w:eastAsia="uk-UA"/>
              </w:rPr>
              <w:t xml:space="preserve"> бензобаку та інше)  за допомогою комп’ютеру  підбирається нова  формула (код) необхідного кольору та виконується  виготовлення фарби. Після виготовлення фарби виконується фарбування тестової пластини для порівняння  кольору та відтінків з оригіналом.       </w:t>
            </w:r>
          </w:p>
          <w:p w:rsidR="0036348E" w:rsidRPr="00DB5915" w:rsidRDefault="0036348E" w:rsidP="00925679">
            <w:pPr>
              <w:shd w:val="clear" w:color="auto" w:fill="FBFBFB"/>
              <w:ind w:right="112"/>
              <w:jc w:val="both"/>
              <w:rPr>
                <w:sz w:val="22"/>
                <w:szCs w:val="22"/>
                <w:u w:val="single"/>
                <w:lang w:val="uk-UA" w:eastAsia="uk-UA"/>
              </w:rPr>
            </w:pPr>
            <w:r w:rsidRPr="00DB5915">
              <w:rPr>
                <w:sz w:val="22"/>
                <w:szCs w:val="22"/>
                <w:u w:val="single"/>
                <w:lang w:val="uk-UA" w:eastAsia="uk-UA"/>
              </w:rPr>
              <w:t>Матеріали, що використовуються:</w:t>
            </w:r>
          </w:p>
          <w:p w:rsidR="0036348E" w:rsidRPr="00630C6A" w:rsidRDefault="0036348E" w:rsidP="00925679">
            <w:pPr>
              <w:suppressAutoHyphens/>
              <w:spacing w:after="80"/>
              <w:jc w:val="both"/>
              <w:rPr>
                <w:kern w:val="1"/>
                <w:sz w:val="22"/>
                <w:szCs w:val="22"/>
                <w:lang w:val="uk-UA"/>
              </w:rPr>
            </w:pPr>
            <w:r w:rsidRPr="00630C6A">
              <w:rPr>
                <w:kern w:val="1"/>
                <w:sz w:val="22"/>
                <w:szCs w:val="22"/>
                <w:lang w:val="uk-UA"/>
              </w:rPr>
              <w:t>Фарба – 1 л.</w:t>
            </w:r>
          </w:p>
          <w:p w:rsidR="0036348E" w:rsidRPr="00630C6A" w:rsidRDefault="0036348E" w:rsidP="00925679">
            <w:pPr>
              <w:suppressAutoHyphens/>
              <w:spacing w:after="80"/>
              <w:jc w:val="both"/>
              <w:rPr>
                <w:kern w:val="1"/>
                <w:sz w:val="22"/>
                <w:szCs w:val="22"/>
                <w:lang w:val="uk-UA"/>
              </w:rPr>
            </w:pPr>
            <w:r w:rsidRPr="00630C6A">
              <w:rPr>
                <w:kern w:val="1"/>
                <w:sz w:val="22"/>
                <w:szCs w:val="22"/>
                <w:lang w:val="uk-UA"/>
              </w:rPr>
              <w:t>Розчинник – 0,3 л.</w:t>
            </w:r>
          </w:p>
          <w:p w:rsidR="0036348E" w:rsidRPr="00630C6A" w:rsidRDefault="0036348E" w:rsidP="00925679">
            <w:pPr>
              <w:suppressAutoHyphens/>
              <w:spacing w:after="80"/>
              <w:jc w:val="both"/>
              <w:rPr>
                <w:kern w:val="1"/>
                <w:sz w:val="22"/>
                <w:szCs w:val="22"/>
                <w:lang w:val="uk-UA"/>
              </w:rPr>
            </w:pPr>
            <w:proofErr w:type="spellStart"/>
            <w:r w:rsidRPr="00630C6A">
              <w:rPr>
                <w:kern w:val="1"/>
                <w:sz w:val="22"/>
                <w:szCs w:val="22"/>
                <w:lang w:val="uk-UA"/>
              </w:rPr>
              <w:t>Затверджувач</w:t>
            </w:r>
            <w:proofErr w:type="spellEnd"/>
            <w:r w:rsidRPr="00630C6A">
              <w:rPr>
                <w:kern w:val="1"/>
                <w:sz w:val="22"/>
                <w:szCs w:val="22"/>
                <w:lang w:val="uk-UA"/>
              </w:rPr>
              <w:t xml:space="preserve"> – 0,5 л.</w:t>
            </w:r>
          </w:p>
        </w:tc>
        <w:tc>
          <w:tcPr>
            <w:tcW w:w="127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jc w:val="center"/>
              <w:rPr>
                <w:kern w:val="1"/>
                <w:sz w:val="22"/>
                <w:szCs w:val="22"/>
                <w:lang w:val="uk-UA"/>
              </w:rPr>
            </w:pPr>
            <w:r w:rsidRPr="0030566B">
              <w:rPr>
                <w:kern w:val="1"/>
                <w:sz w:val="22"/>
                <w:szCs w:val="22"/>
                <w:lang w:val="uk-UA"/>
              </w:rPr>
              <w:t>Комплект</w:t>
            </w:r>
          </w:p>
        </w:tc>
        <w:tc>
          <w:tcPr>
            <w:tcW w:w="84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jc w:val="center"/>
              <w:rPr>
                <w:kern w:val="1"/>
                <w:sz w:val="22"/>
                <w:szCs w:val="22"/>
                <w:lang w:val="uk-UA"/>
              </w:rPr>
            </w:pPr>
            <w:r w:rsidRPr="0030566B">
              <w:rPr>
                <w:kern w:val="1"/>
                <w:sz w:val="22"/>
                <w:szCs w:val="22"/>
                <w:lang w:val="uk-UA"/>
              </w:rPr>
              <w:t>20</w:t>
            </w:r>
          </w:p>
        </w:tc>
      </w:tr>
      <w:tr w:rsidR="0036348E" w:rsidRPr="0030566B" w:rsidTr="00925679">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rPr>
                <w:kern w:val="1"/>
                <w:sz w:val="22"/>
                <w:szCs w:val="22"/>
                <w:lang w:val="uk-UA"/>
              </w:rPr>
            </w:pPr>
            <w:r w:rsidRPr="0030566B">
              <w:rPr>
                <w:kern w:val="1"/>
                <w:sz w:val="22"/>
                <w:szCs w:val="22"/>
                <w:lang w:val="uk-UA"/>
              </w:rPr>
              <w:t>2</w:t>
            </w:r>
          </w:p>
        </w:tc>
        <w:tc>
          <w:tcPr>
            <w:tcW w:w="132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spacing w:after="80"/>
              <w:rPr>
                <w:kern w:val="1"/>
                <w:sz w:val="22"/>
                <w:szCs w:val="22"/>
                <w:lang w:val="uk-UA"/>
              </w:rPr>
            </w:pPr>
            <w:r w:rsidRPr="0030566B">
              <w:rPr>
                <w:kern w:val="1"/>
                <w:sz w:val="22"/>
                <w:szCs w:val="22"/>
                <w:lang w:val="uk-UA"/>
              </w:rPr>
              <w:t xml:space="preserve">Підбір базової </w:t>
            </w:r>
            <w:proofErr w:type="spellStart"/>
            <w:r w:rsidRPr="0030566B">
              <w:rPr>
                <w:kern w:val="1"/>
                <w:sz w:val="22"/>
                <w:szCs w:val="22"/>
                <w:lang w:val="uk-UA"/>
              </w:rPr>
              <w:t>автоемалі</w:t>
            </w:r>
            <w:proofErr w:type="spellEnd"/>
            <w:r w:rsidRPr="0030566B">
              <w:rPr>
                <w:kern w:val="1"/>
                <w:sz w:val="22"/>
                <w:szCs w:val="22"/>
                <w:lang w:val="uk-UA"/>
              </w:rPr>
              <w:t xml:space="preserve"> </w:t>
            </w:r>
            <w:r w:rsidRPr="0030566B">
              <w:rPr>
                <w:kern w:val="1"/>
                <w:sz w:val="22"/>
                <w:szCs w:val="22"/>
                <w:lang w:val="uk-UA"/>
              </w:rPr>
              <w:lastRenderedPageBreak/>
              <w:t>“</w:t>
            </w:r>
            <w:proofErr w:type="spellStart"/>
            <w:r w:rsidRPr="0030566B">
              <w:rPr>
                <w:kern w:val="1"/>
                <w:sz w:val="22"/>
                <w:szCs w:val="22"/>
                <w:lang w:val="uk-UA"/>
              </w:rPr>
              <w:t>Металік</w:t>
            </w:r>
            <w:proofErr w:type="spellEnd"/>
            <w:r w:rsidRPr="0030566B">
              <w:rPr>
                <w:kern w:val="1"/>
                <w:sz w:val="22"/>
                <w:szCs w:val="22"/>
                <w:lang w:val="uk-UA"/>
              </w:rPr>
              <w:t>”, “Перламутр”</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36348E" w:rsidRPr="0030566B" w:rsidRDefault="0036348E" w:rsidP="00925679">
            <w:pPr>
              <w:suppressAutoHyphens/>
              <w:spacing w:after="80"/>
              <w:jc w:val="center"/>
              <w:rPr>
                <w:kern w:val="1"/>
                <w:sz w:val="22"/>
                <w:szCs w:val="22"/>
                <w:lang w:val="uk-UA"/>
              </w:rPr>
            </w:pPr>
            <w:r w:rsidRPr="0030566B">
              <w:rPr>
                <w:kern w:val="1"/>
                <w:sz w:val="22"/>
                <w:szCs w:val="22"/>
                <w:lang w:val="uk-UA"/>
              </w:rPr>
              <w:lastRenderedPageBreak/>
              <w:t>послуга</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spacing w:after="80"/>
              <w:jc w:val="center"/>
              <w:rPr>
                <w:kern w:val="1"/>
                <w:sz w:val="22"/>
                <w:szCs w:val="22"/>
                <w:lang w:val="uk-UA"/>
              </w:rPr>
            </w:pPr>
            <w:r w:rsidRPr="0030566B">
              <w:rPr>
                <w:kern w:val="1"/>
                <w:sz w:val="22"/>
                <w:szCs w:val="22"/>
                <w:lang w:val="uk-UA"/>
              </w:rPr>
              <w:t>35</w:t>
            </w:r>
          </w:p>
        </w:tc>
        <w:tc>
          <w:tcPr>
            <w:tcW w:w="39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DB5915" w:rsidRDefault="0036348E" w:rsidP="00925679">
            <w:pPr>
              <w:shd w:val="clear" w:color="auto" w:fill="FBFBFB"/>
              <w:ind w:right="111"/>
              <w:jc w:val="both"/>
              <w:rPr>
                <w:sz w:val="22"/>
                <w:szCs w:val="22"/>
                <w:lang w:val="uk-UA" w:eastAsia="uk-UA"/>
              </w:rPr>
            </w:pPr>
            <w:r w:rsidRPr="00DB5915">
              <w:rPr>
                <w:sz w:val="22"/>
                <w:szCs w:val="22"/>
                <w:lang w:val="uk-UA" w:eastAsia="uk-UA"/>
              </w:rPr>
              <w:t>Покриття базовою фарбою «</w:t>
            </w:r>
            <w:proofErr w:type="spellStart"/>
            <w:r w:rsidRPr="00DB5915">
              <w:rPr>
                <w:sz w:val="22"/>
                <w:szCs w:val="22"/>
                <w:lang w:val="uk-UA" w:eastAsia="uk-UA"/>
              </w:rPr>
              <w:t>металік</w:t>
            </w:r>
            <w:proofErr w:type="spellEnd"/>
            <w:r w:rsidRPr="00DB5915">
              <w:rPr>
                <w:sz w:val="22"/>
                <w:szCs w:val="22"/>
                <w:lang w:val="uk-UA" w:eastAsia="uk-UA"/>
              </w:rPr>
              <w:t xml:space="preserve">» або «перламутр» створює захисний шар, який перешкоджає корозії  і захищає від </w:t>
            </w:r>
            <w:r w:rsidRPr="00DB5915">
              <w:rPr>
                <w:sz w:val="22"/>
                <w:szCs w:val="22"/>
                <w:lang w:val="uk-UA" w:eastAsia="uk-UA"/>
              </w:rPr>
              <w:lastRenderedPageBreak/>
              <w:t xml:space="preserve">негативного впливу навколишнього середовища. </w:t>
            </w:r>
          </w:p>
          <w:p w:rsidR="0036348E" w:rsidRPr="00DB5915" w:rsidRDefault="0036348E" w:rsidP="00925679">
            <w:pPr>
              <w:shd w:val="clear" w:color="auto" w:fill="FBFBFB"/>
              <w:ind w:right="111"/>
              <w:jc w:val="both"/>
              <w:rPr>
                <w:sz w:val="22"/>
                <w:szCs w:val="22"/>
                <w:lang w:val="uk-UA" w:eastAsia="uk-UA"/>
              </w:rPr>
            </w:pPr>
            <w:r w:rsidRPr="00DB5915">
              <w:rPr>
                <w:sz w:val="22"/>
                <w:szCs w:val="22"/>
                <w:lang w:val="uk-UA" w:eastAsia="uk-UA"/>
              </w:rPr>
              <w:t>Підбір базової фарби «</w:t>
            </w:r>
            <w:proofErr w:type="spellStart"/>
            <w:r w:rsidRPr="00DB5915">
              <w:rPr>
                <w:sz w:val="22"/>
                <w:szCs w:val="22"/>
                <w:lang w:val="uk-UA" w:eastAsia="uk-UA"/>
              </w:rPr>
              <w:t>металік</w:t>
            </w:r>
            <w:proofErr w:type="spellEnd"/>
            <w:r w:rsidRPr="00DB5915">
              <w:rPr>
                <w:sz w:val="22"/>
                <w:szCs w:val="22"/>
                <w:lang w:val="uk-UA" w:eastAsia="uk-UA"/>
              </w:rPr>
              <w:t>» або «перламутр» може здійснюватися за кодом кольору, який можна знайти на табличці  автомобіля, якщо автомобіль екс</w:t>
            </w:r>
            <w:r>
              <w:rPr>
                <w:sz w:val="22"/>
                <w:szCs w:val="22"/>
                <w:lang w:val="uk-UA" w:eastAsia="uk-UA"/>
              </w:rPr>
              <w:t>плуатується не більше 1,5 року,</w:t>
            </w:r>
            <w:r w:rsidRPr="00DB5915">
              <w:rPr>
                <w:sz w:val="22"/>
                <w:szCs w:val="22"/>
                <w:lang w:val="uk-UA" w:eastAsia="uk-UA"/>
              </w:rPr>
              <w:t xml:space="preserve"> </w:t>
            </w:r>
            <w:r>
              <w:rPr>
                <w:sz w:val="22"/>
                <w:szCs w:val="22"/>
                <w:lang w:val="uk-UA" w:eastAsia="uk-UA"/>
              </w:rPr>
              <w:t>а</w:t>
            </w:r>
            <w:r w:rsidRPr="00DB5915">
              <w:rPr>
                <w:sz w:val="22"/>
                <w:szCs w:val="22"/>
                <w:lang w:val="uk-UA" w:eastAsia="uk-UA"/>
              </w:rPr>
              <w:t>ле з урахуванням факторів зовнішнього впливу, яким піддавався автомобіль, як  - вицвітання на сонці, хімічні речовини на мийках та дорозі підбір фарби по коду стає неможливим. Тоді, для забезпечення естетичного виду автомобілів, у випадку коли не планується повністю перефарбування автомобілю, – використовується комп’ютерний підбір фарби.</w:t>
            </w:r>
          </w:p>
          <w:p w:rsidR="0036348E" w:rsidRDefault="0036348E" w:rsidP="00925679">
            <w:pPr>
              <w:shd w:val="clear" w:color="auto" w:fill="FBFBFB"/>
              <w:ind w:right="112"/>
              <w:jc w:val="both"/>
              <w:rPr>
                <w:sz w:val="22"/>
                <w:szCs w:val="22"/>
                <w:lang w:val="uk-UA" w:eastAsia="uk-UA"/>
              </w:rPr>
            </w:pPr>
            <w:r w:rsidRPr="00DB5915">
              <w:rPr>
                <w:sz w:val="22"/>
                <w:szCs w:val="22"/>
                <w:lang w:val="uk-UA" w:eastAsia="uk-UA"/>
              </w:rPr>
              <w:t>По невеличкому  зразку елемента кузова (</w:t>
            </w:r>
            <w:proofErr w:type="spellStart"/>
            <w:r w:rsidRPr="00DB5915">
              <w:rPr>
                <w:sz w:val="22"/>
                <w:szCs w:val="22"/>
                <w:lang w:val="uk-UA" w:eastAsia="uk-UA"/>
              </w:rPr>
              <w:t>лючок</w:t>
            </w:r>
            <w:proofErr w:type="spellEnd"/>
            <w:r w:rsidRPr="00DB5915">
              <w:rPr>
                <w:sz w:val="22"/>
                <w:szCs w:val="22"/>
                <w:lang w:val="uk-UA" w:eastAsia="uk-UA"/>
              </w:rPr>
              <w:t xml:space="preserve"> бензобаку та інше)  за допомогою комп’ютеру  підбирається нова  формула (код) необхідного кольору та виконується її виготовлення. Після виготовлення фарби виконується фарбування тестової пластини для порівняння  кольору та відтінків з оригіналом.</w:t>
            </w:r>
          </w:p>
          <w:p w:rsidR="0036348E" w:rsidRPr="00DB5915" w:rsidRDefault="0036348E" w:rsidP="00925679">
            <w:pPr>
              <w:shd w:val="clear" w:color="auto" w:fill="FBFBFB"/>
              <w:ind w:right="112"/>
              <w:jc w:val="both"/>
              <w:rPr>
                <w:sz w:val="22"/>
                <w:szCs w:val="22"/>
                <w:u w:val="single"/>
                <w:lang w:val="uk-UA" w:eastAsia="uk-UA"/>
              </w:rPr>
            </w:pPr>
            <w:r w:rsidRPr="00DB5915">
              <w:rPr>
                <w:sz w:val="22"/>
                <w:szCs w:val="22"/>
                <w:u w:val="single"/>
                <w:lang w:val="uk-UA" w:eastAsia="uk-UA"/>
              </w:rPr>
              <w:t>Матеріали, що використовуються:</w:t>
            </w:r>
          </w:p>
          <w:p w:rsidR="0036348E" w:rsidRPr="0030566B" w:rsidRDefault="0036348E" w:rsidP="00925679">
            <w:pPr>
              <w:suppressAutoHyphens/>
              <w:spacing w:after="80"/>
              <w:jc w:val="both"/>
              <w:rPr>
                <w:kern w:val="1"/>
                <w:sz w:val="22"/>
                <w:szCs w:val="22"/>
                <w:lang w:val="uk-UA"/>
              </w:rPr>
            </w:pPr>
            <w:r w:rsidRPr="0030566B">
              <w:rPr>
                <w:kern w:val="1"/>
                <w:sz w:val="22"/>
                <w:szCs w:val="22"/>
                <w:lang w:val="uk-UA"/>
              </w:rPr>
              <w:t>Фарба – 1 л.</w:t>
            </w:r>
          </w:p>
          <w:p w:rsidR="0036348E" w:rsidRPr="0030566B" w:rsidRDefault="0036348E" w:rsidP="00925679">
            <w:pPr>
              <w:suppressAutoHyphens/>
              <w:spacing w:after="80"/>
              <w:jc w:val="both"/>
              <w:rPr>
                <w:kern w:val="1"/>
                <w:sz w:val="22"/>
                <w:szCs w:val="22"/>
                <w:lang w:val="uk-UA"/>
              </w:rPr>
            </w:pPr>
            <w:r w:rsidRPr="0030566B">
              <w:rPr>
                <w:kern w:val="1"/>
                <w:sz w:val="22"/>
                <w:szCs w:val="22"/>
                <w:lang w:val="uk-UA"/>
              </w:rPr>
              <w:t>Розчинник – 0,5 л.</w:t>
            </w:r>
          </w:p>
        </w:tc>
        <w:tc>
          <w:tcPr>
            <w:tcW w:w="127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jc w:val="center"/>
              <w:rPr>
                <w:kern w:val="1"/>
                <w:sz w:val="22"/>
                <w:szCs w:val="22"/>
                <w:lang w:val="uk-UA"/>
              </w:rPr>
            </w:pPr>
            <w:r w:rsidRPr="0030566B">
              <w:rPr>
                <w:kern w:val="1"/>
                <w:sz w:val="22"/>
                <w:szCs w:val="22"/>
                <w:lang w:val="uk-UA"/>
              </w:rPr>
              <w:lastRenderedPageBreak/>
              <w:t>Комплект</w:t>
            </w:r>
          </w:p>
        </w:tc>
        <w:tc>
          <w:tcPr>
            <w:tcW w:w="84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6348E" w:rsidRPr="0030566B" w:rsidRDefault="0036348E" w:rsidP="00925679">
            <w:pPr>
              <w:suppressAutoHyphens/>
              <w:jc w:val="center"/>
              <w:rPr>
                <w:kern w:val="1"/>
                <w:sz w:val="22"/>
                <w:szCs w:val="22"/>
                <w:lang w:val="uk-UA"/>
              </w:rPr>
            </w:pPr>
            <w:r w:rsidRPr="0030566B">
              <w:rPr>
                <w:kern w:val="1"/>
                <w:sz w:val="22"/>
                <w:szCs w:val="22"/>
                <w:lang w:val="uk-UA"/>
              </w:rPr>
              <w:t>35</w:t>
            </w:r>
          </w:p>
        </w:tc>
      </w:tr>
    </w:tbl>
    <w:p w:rsidR="006F428D" w:rsidRPr="007101A5" w:rsidRDefault="006F428D" w:rsidP="0036348E">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6F" w:rsidRDefault="00741C6F">
      <w:r>
        <w:separator/>
      </w:r>
    </w:p>
  </w:endnote>
  <w:endnote w:type="continuationSeparator" w:id="0">
    <w:p w:rsidR="00741C6F" w:rsidRDefault="0074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F4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ABF8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255EE">
      <w:rPr>
        <w:sz w:val="20"/>
        <w:szCs w:val="20"/>
        <w:lang w:val="uk-UA"/>
      </w:rPr>
      <w:t xml:space="preserve">Послуги з підбору фарби для транспортних засобів, код ДК 021:2015 - 98390000-3 - Інші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6348E">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6348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6F" w:rsidRDefault="00741C6F">
      <w:r>
        <w:separator/>
      </w:r>
    </w:p>
  </w:footnote>
  <w:footnote w:type="continuationSeparator" w:id="0">
    <w:p w:rsidR="00741C6F" w:rsidRDefault="00741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F4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6048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1ED178B4"/>
    <w:multiLevelType w:val="hybridMultilevel"/>
    <w:tmpl w:val="ACE41F6A"/>
    <w:lvl w:ilvl="0" w:tplc="9E8A97D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5"/>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348E"/>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1C6F"/>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55EE"/>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1F40"/>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56625"/>
  <w15:chartTrackingRefBased/>
  <w15:docId w15:val="{579A05C2-3C61-49F7-AF4B-2EA4D092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qFormat/>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13D9-36AB-4584-ADF3-18BF2829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3270</Words>
  <Characters>1865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2023-06-08T14:32:00Z</dcterms:created>
  <dcterms:modified xsi:type="dcterms:W3CDTF">2023-06-08T14:35:00Z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