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F6DFC"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201953" w:rsidRDefault="005F3529" w:rsidP="0063471D">
      <w:pPr>
        <w:pStyle w:val="a3"/>
        <w:widowControl w:val="0"/>
        <w:jc w:val="both"/>
        <w:rPr>
          <w:sz w:val="22"/>
          <w:szCs w:val="22"/>
          <w:lang w:val="uk-UA"/>
        </w:rPr>
      </w:pPr>
    </w:p>
    <w:p w:rsidR="007D7B6F" w:rsidRPr="00201953" w:rsidRDefault="003C4B6B" w:rsidP="0063471D">
      <w:pPr>
        <w:pStyle w:val="a3"/>
        <w:widowControl w:val="0"/>
        <w:jc w:val="both"/>
        <w:rPr>
          <w:sz w:val="22"/>
          <w:szCs w:val="22"/>
          <w:lang w:val="uk-UA"/>
        </w:rPr>
      </w:pPr>
      <w:r w:rsidRPr="00201953">
        <w:rPr>
          <w:sz w:val="22"/>
          <w:szCs w:val="22"/>
          <w:lang w:val="uk-UA"/>
        </w:rPr>
        <w:t xml:space="preserve">Підстава: </w:t>
      </w:r>
      <w:r w:rsidR="007D7B6F" w:rsidRPr="00201953">
        <w:rPr>
          <w:sz w:val="22"/>
          <w:szCs w:val="22"/>
          <w:lang w:val="uk-UA"/>
        </w:rPr>
        <w:t xml:space="preserve">пункт 4-1 постанови Кабінету Міністрів України від 11 жовтня 2016 р. № 710 «Про ефективне використання державних коштів» </w:t>
      </w:r>
    </w:p>
    <w:tbl>
      <w:tblPr>
        <w:tblW w:w="4955"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92"/>
        <w:gridCol w:w="2977"/>
        <w:gridCol w:w="2055"/>
        <w:gridCol w:w="2194"/>
        <w:gridCol w:w="1865"/>
      </w:tblGrid>
      <w:tr w:rsidR="00A76484" w:rsidRPr="00201953" w:rsidTr="00201953">
        <w:tc>
          <w:tcPr>
            <w:tcW w:w="492" w:type="pct"/>
            <w:shd w:val="clear" w:color="auto" w:fill="DEEAF6"/>
          </w:tcPr>
          <w:p w:rsidR="00A76484" w:rsidRPr="00201953" w:rsidRDefault="00A76484" w:rsidP="002D4D30">
            <w:pPr>
              <w:widowControl w:val="0"/>
              <w:contextualSpacing/>
              <w:jc w:val="center"/>
              <w:rPr>
                <w:b/>
                <w:sz w:val="22"/>
                <w:szCs w:val="22"/>
                <w:lang w:val="uk-UA"/>
              </w:rPr>
            </w:pPr>
            <w:r w:rsidRPr="00201953">
              <w:rPr>
                <w:b/>
                <w:sz w:val="22"/>
                <w:szCs w:val="22"/>
                <w:lang w:val="uk-UA"/>
              </w:rPr>
              <w:t>Пункт Кошторису</w:t>
            </w:r>
          </w:p>
        </w:tc>
        <w:tc>
          <w:tcPr>
            <w:tcW w:w="1476" w:type="pct"/>
            <w:shd w:val="clear" w:color="auto" w:fill="DEEAF6"/>
          </w:tcPr>
          <w:p w:rsidR="00A76484" w:rsidRPr="00201953" w:rsidRDefault="00A76484" w:rsidP="002D4D30">
            <w:pPr>
              <w:widowControl w:val="0"/>
              <w:contextualSpacing/>
              <w:jc w:val="center"/>
              <w:rPr>
                <w:b/>
                <w:sz w:val="22"/>
                <w:szCs w:val="22"/>
                <w:lang w:val="uk-UA"/>
              </w:rPr>
            </w:pPr>
            <w:r w:rsidRPr="00201953">
              <w:rPr>
                <w:b/>
                <w:sz w:val="22"/>
                <w:szCs w:val="22"/>
                <w:lang w:val="uk-UA"/>
              </w:rPr>
              <w:t>Назва предмета закупівлі із зазначенням коду за Єдиним закупівельним словником</w:t>
            </w:r>
          </w:p>
        </w:tc>
        <w:tc>
          <w:tcPr>
            <w:tcW w:w="1019" w:type="pct"/>
            <w:shd w:val="clear" w:color="auto" w:fill="DEEAF6"/>
          </w:tcPr>
          <w:p w:rsidR="00A76484" w:rsidRPr="00201953" w:rsidRDefault="00A76484" w:rsidP="00DB2D70">
            <w:pPr>
              <w:widowControl w:val="0"/>
              <w:contextualSpacing/>
              <w:jc w:val="center"/>
              <w:rPr>
                <w:b/>
                <w:sz w:val="22"/>
                <w:szCs w:val="22"/>
                <w:lang w:val="uk-UA"/>
              </w:rPr>
            </w:pPr>
            <w:r w:rsidRPr="00201953">
              <w:rPr>
                <w:b/>
                <w:sz w:val="22"/>
                <w:szCs w:val="22"/>
                <w:lang w:val="uk-UA"/>
              </w:rPr>
              <w:t>Очікувана варт</w:t>
            </w:r>
            <w:r w:rsidR="00DB2D70" w:rsidRPr="00201953">
              <w:rPr>
                <w:b/>
                <w:sz w:val="22"/>
                <w:szCs w:val="22"/>
                <w:lang w:val="uk-UA"/>
              </w:rPr>
              <w:t>ість предмета закупівлі згідно р</w:t>
            </w:r>
            <w:r w:rsidRPr="00201953">
              <w:rPr>
                <w:b/>
                <w:sz w:val="22"/>
                <w:szCs w:val="22"/>
                <w:lang w:val="uk-UA"/>
              </w:rPr>
              <w:t xml:space="preserve">ічного плану </w:t>
            </w:r>
            <w:proofErr w:type="spellStart"/>
            <w:r w:rsidRPr="00201953">
              <w:rPr>
                <w:b/>
                <w:sz w:val="22"/>
                <w:szCs w:val="22"/>
                <w:lang w:val="uk-UA"/>
              </w:rPr>
              <w:t>закупівель</w:t>
            </w:r>
            <w:proofErr w:type="spellEnd"/>
          </w:p>
        </w:tc>
        <w:tc>
          <w:tcPr>
            <w:tcW w:w="1088" w:type="pct"/>
            <w:shd w:val="clear" w:color="auto" w:fill="DEEAF6"/>
          </w:tcPr>
          <w:p w:rsidR="00A76484" w:rsidRPr="00201953" w:rsidRDefault="00A76484" w:rsidP="002D4D30">
            <w:pPr>
              <w:widowControl w:val="0"/>
              <w:contextualSpacing/>
              <w:jc w:val="center"/>
              <w:rPr>
                <w:b/>
                <w:sz w:val="22"/>
                <w:szCs w:val="22"/>
                <w:lang w:val="uk-UA"/>
              </w:rPr>
            </w:pPr>
            <w:r w:rsidRPr="00201953">
              <w:rPr>
                <w:b/>
                <w:sz w:val="22"/>
                <w:szCs w:val="22"/>
                <w:lang w:val="uk-UA"/>
              </w:rPr>
              <w:t>Очікувана вартість предмета закупівлі згідно ОГОЛОШЕННЯ про проведення відкритих торгів</w:t>
            </w:r>
          </w:p>
        </w:tc>
        <w:tc>
          <w:tcPr>
            <w:tcW w:w="925" w:type="pct"/>
            <w:shd w:val="clear" w:color="auto" w:fill="DEEAF6"/>
          </w:tcPr>
          <w:p w:rsidR="00A76484" w:rsidRPr="00201953" w:rsidRDefault="00A355EA" w:rsidP="002D4D30">
            <w:pPr>
              <w:widowControl w:val="0"/>
              <w:contextualSpacing/>
              <w:jc w:val="center"/>
              <w:rPr>
                <w:b/>
                <w:sz w:val="22"/>
                <w:szCs w:val="22"/>
                <w:lang w:val="uk-UA"/>
              </w:rPr>
            </w:pPr>
            <w:r w:rsidRPr="00201953">
              <w:rPr>
                <w:b/>
                <w:sz w:val="22"/>
                <w:szCs w:val="22"/>
                <w:lang w:val="uk-UA"/>
              </w:rPr>
              <w:t>Ідентифікатор процедури закупівлі</w:t>
            </w:r>
          </w:p>
        </w:tc>
      </w:tr>
      <w:tr w:rsidR="0081701C" w:rsidRPr="00201953" w:rsidTr="00201953">
        <w:tc>
          <w:tcPr>
            <w:tcW w:w="492" w:type="pct"/>
          </w:tcPr>
          <w:p w:rsidR="0081701C" w:rsidRPr="00201953" w:rsidRDefault="0081701C" w:rsidP="0081701C">
            <w:pPr>
              <w:widowControl w:val="0"/>
              <w:ind w:right="-11"/>
              <w:jc w:val="center"/>
              <w:rPr>
                <w:sz w:val="22"/>
                <w:szCs w:val="22"/>
                <w:lang w:val="uk-UA" w:eastAsia="uk-UA"/>
              </w:rPr>
            </w:pPr>
            <w:r w:rsidRPr="00201953">
              <w:rPr>
                <w:sz w:val="22"/>
                <w:szCs w:val="22"/>
                <w:lang w:val="uk-UA"/>
              </w:rPr>
              <w:t xml:space="preserve">9.12 </w:t>
            </w:r>
            <w:r w:rsidRPr="00201953">
              <w:rPr>
                <w:sz w:val="22"/>
                <w:szCs w:val="22"/>
                <w:lang w:val="uk-UA" w:eastAsia="uk-UA"/>
              </w:rPr>
              <w:t>(2023)</w:t>
            </w:r>
          </w:p>
        </w:tc>
        <w:tc>
          <w:tcPr>
            <w:tcW w:w="1476" w:type="pct"/>
          </w:tcPr>
          <w:p w:rsidR="0081701C" w:rsidRPr="00201953" w:rsidRDefault="0081701C" w:rsidP="0081701C">
            <w:pPr>
              <w:widowControl w:val="0"/>
              <w:rPr>
                <w:bCs/>
                <w:sz w:val="22"/>
                <w:szCs w:val="22"/>
                <w:lang w:val="uk-UA"/>
              </w:rPr>
            </w:pPr>
            <w:r w:rsidRPr="00201953">
              <w:rPr>
                <w:b/>
                <w:sz w:val="22"/>
                <w:szCs w:val="22"/>
                <w:lang w:val="uk-UA"/>
              </w:rPr>
              <w:t>Модулі перемикання</w:t>
            </w:r>
            <w:r w:rsidRPr="00201953">
              <w:rPr>
                <w:sz w:val="22"/>
                <w:szCs w:val="22"/>
                <w:lang w:val="uk-UA"/>
              </w:rPr>
              <w:t xml:space="preserve">, код ДК 021:2015 - 34960000-4 - Аеропортове обладнання </w:t>
            </w:r>
          </w:p>
        </w:tc>
        <w:tc>
          <w:tcPr>
            <w:tcW w:w="1019" w:type="pct"/>
          </w:tcPr>
          <w:p w:rsidR="0081701C" w:rsidRPr="00201953" w:rsidRDefault="0081701C" w:rsidP="0081701C">
            <w:pPr>
              <w:widowControl w:val="0"/>
              <w:jc w:val="center"/>
              <w:rPr>
                <w:sz w:val="22"/>
                <w:szCs w:val="22"/>
                <w:lang w:val="uk-UA"/>
              </w:rPr>
            </w:pPr>
            <w:r w:rsidRPr="00201953">
              <w:rPr>
                <w:sz w:val="22"/>
                <w:szCs w:val="22"/>
                <w:lang w:val="uk-UA"/>
              </w:rPr>
              <w:t xml:space="preserve">970 050,00 </w:t>
            </w:r>
          </w:p>
          <w:p w:rsidR="0081701C" w:rsidRPr="00201953" w:rsidRDefault="0081701C" w:rsidP="0081701C">
            <w:pPr>
              <w:widowControl w:val="0"/>
              <w:jc w:val="center"/>
              <w:rPr>
                <w:sz w:val="22"/>
                <w:szCs w:val="22"/>
                <w:lang w:val="uk-UA"/>
              </w:rPr>
            </w:pPr>
            <w:r w:rsidRPr="00201953">
              <w:rPr>
                <w:sz w:val="22"/>
                <w:szCs w:val="22"/>
                <w:lang w:val="uk-UA"/>
              </w:rPr>
              <w:t>грн. з ПДВ</w:t>
            </w:r>
          </w:p>
        </w:tc>
        <w:tc>
          <w:tcPr>
            <w:tcW w:w="1088" w:type="pct"/>
          </w:tcPr>
          <w:p w:rsidR="0081701C" w:rsidRPr="00201953" w:rsidRDefault="0081701C" w:rsidP="0081701C">
            <w:pPr>
              <w:widowControl w:val="0"/>
              <w:jc w:val="center"/>
              <w:rPr>
                <w:sz w:val="22"/>
                <w:szCs w:val="22"/>
                <w:lang w:val="uk-UA"/>
              </w:rPr>
            </w:pPr>
            <w:r w:rsidRPr="00201953">
              <w:rPr>
                <w:sz w:val="22"/>
                <w:szCs w:val="22"/>
                <w:lang w:val="uk-UA"/>
              </w:rPr>
              <w:t>808 375,00</w:t>
            </w:r>
          </w:p>
          <w:p w:rsidR="0081701C" w:rsidRPr="00201953" w:rsidRDefault="0081701C" w:rsidP="0081701C">
            <w:pPr>
              <w:widowControl w:val="0"/>
              <w:jc w:val="center"/>
              <w:rPr>
                <w:sz w:val="22"/>
                <w:szCs w:val="22"/>
                <w:lang w:val="uk-UA"/>
              </w:rPr>
            </w:pPr>
            <w:r w:rsidRPr="00201953">
              <w:rPr>
                <w:sz w:val="22"/>
                <w:szCs w:val="22"/>
                <w:lang w:val="uk-UA"/>
              </w:rPr>
              <w:t xml:space="preserve">грн. без ПДВ </w:t>
            </w:r>
          </w:p>
        </w:tc>
        <w:tc>
          <w:tcPr>
            <w:tcW w:w="925" w:type="pct"/>
          </w:tcPr>
          <w:p w:rsidR="0081701C" w:rsidRPr="00201953" w:rsidRDefault="007140FF" w:rsidP="0081701C">
            <w:pPr>
              <w:widowControl w:val="0"/>
              <w:jc w:val="center"/>
              <w:rPr>
                <w:color w:val="0000FF"/>
                <w:sz w:val="22"/>
                <w:szCs w:val="22"/>
                <w:lang w:val="uk-UA"/>
              </w:rPr>
            </w:pPr>
            <w:r>
              <w:rPr>
                <w:rFonts w:ascii="Arial" w:hAnsi="Arial" w:cs="Arial"/>
                <w:color w:val="454545"/>
                <w:sz w:val="21"/>
                <w:szCs w:val="21"/>
                <w:shd w:val="clear" w:color="auto" w:fill="F0F5F2"/>
              </w:rPr>
              <w:t>UA-2023-09-04-010965-a</w:t>
            </w:r>
            <w:bookmarkStart w:id="0" w:name="_GoBack"/>
            <w:bookmarkEnd w:id="0"/>
          </w:p>
        </w:tc>
      </w:tr>
    </w:tbl>
    <w:p w:rsidR="00A12478" w:rsidRPr="00201953" w:rsidRDefault="00A12478" w:rsidP="0063471D">
      <w:pPr>
        <w:pStyle w:val="a3"/>
        <w:widowControl w:val="0"/>
        <w:jc w:val="both"/>
        <w:rPr>
          <w:sz w:val="22"/>
          <w:szCs w:val="22"/>
          <w:lang w:val="uk-UA"/>
        </w:rPr>
      </w:pPr>
    </w:p>
    <w:p w:rsidR="00A355EA" w:rsidRPr="00201953" w:rsidRDefault="00A355EA" w:rsidP="00C62708">
      <w:pPr>
        <w:widowControl w:val="0"/>
        <w:shd w:val="clear" w:color="auto" w:fill="DEEAF6"/>
        <w:jc w:val="center"/>
        <w:rPr>
          <w:sz w:val="22"/>
          <w:szCs w:val="22"/>
          <w:lang w:val="uk-UA"/>
        </w:rPr>
      </w:pPr>
      <w:r w:rsidRPr="00201953">
        <w:rPr>
          <w:b/>
          <w:sz w:val="22"/>
          <w:szCs w:val="22"/>
          <w:lang w:val="uk-UA"/>
        </w:rPr>
        <w:t>Обґрунтування на виконання вимог Постанови КМУ від 11.10.2016 № 710:</w:t>
      </w:r>
    </w:p>
    <w:p w:rsidR="006F428D" w:rsidRPr="00201953"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20195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sz w:val="22"/>
                <w:szCs w:val="22"/>
                <w:lang w:val="uk-UA"/>
              </w:rPr>
            </w:pPr>
            <w:r w:rsidRPr="00201953">
              <w:rPr>
                <w:sz w:val="22"/>
                <w:szCs w:val="22"/>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sz w:val="22"/>
                <w:szCs w:val="22"/>
                <w:lang w:val="uk-UA"/>
              </w:rPr>
            </w:pPr>
            <w:r w:rsidRPr="00201953">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1701C" w:rsidRPr="00201953" w:rsidRDefault="0081701C" w:rsidP="00201953">
            <w:pPr>
              <w:jc w:val="both"/>
              <w:rPr>
                <w:sz w:val="22"/>
                <w:szCs w:val="22"/>
                <w:lang w:val="uk-UA"/>
              </w:rPr>
            </w:pPr>
            <w:r w:rsidRPr="00201953">
              <w:rPr>
                <w:sz w:val="22"/>
                <w:szCs w:val="22"/>
                <w:lang w:val="uk-UA"/>
              </w:rPr>
              <w:t xml:space="preserve">Визначення потреби в закупівлі: Для заміни модулів перемикання, що відмовили в існуючий підсистемі контролю і моніторингу вогнів світлосигнального обладнання (ССО) </w:t>
            </w:r>
            <w:proofErr w:type="spellStart"/>
            <w:r w:rsidRPr="00201953">
              <w:rPr>
                <w:sz w:val="22"/>
                <w:szCs w:val="22"/>
                <w:lang w:val="uk-UA"/>
              </w:rPr>
              <w:t>Lucebit</w:t>
            </w:r>
            <w:proofErr w:type="spellEnd"/>
            <w:r w:rsidRPr="00201953">
              <w:rPr>
                <w:sz w:val="22"/>
                <w:szCs w:val="22"/>
                <w:lang w:val="uk-UA"/>
              </w:rPr>
              <w:t xml:space="preserve"> ЗПС-1, проходження експертизи ССА ЗПС-1 та поповнення ЗІП.</w:t>
            </w:r>
          </w:p>
          <w:p w:rsidR="0081701C" w:rsidRPr="00201953" w:rsidRDefault="0081701C" w:rsidP="00201953">
            <w:pPr>
              <w:jc w:val="both"/>
              <w:rPr>
                <w:sz w:val="22"/>
                <w:szCs w:val="22"/>
                <w:lang w:val="uk-UA"/>
              </w:rPr>
            </w:pPr>
            <w:r w:rsidRPr="00201953">
              <w:rPr>
                <w:sz w:val="22"/>
                <w:szCs w:val="22"/>
                <w:lang w:val="uk-UA"/>
              </w:rPr>
              <w:t>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6F428D" w:rsidRPr="00201953" w:rsidRDefault="0081701C" w:rsidP="00201953">
            <w:pPr>
              <w:jc w:val="both"/>
              <w:rPr>
                <w:sz w:val="22"/>
                <w:szCs w:val="22"/>
                <w:lang w:val="uk-UA"/>
              </w:rPr>
            </w:pPr>
            <w:r w:rsidRPr="00201953">
              <w:rPr>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6F428D" w:rsidRPr="0020195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bCs/>
                <w:sz w:val="22"/>
                <w:szCs w:val="22"/>
                <w:lang w:val="uk-UA"/>
              </w:rPr>
            </w:pPr>
            <w:r w:rsidRPr="00201953">
              <w:rPr>
                <w:bCs/>
                <w:sz w:val="22"/>
                <w:szCs w:val="22"/>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sz w:val="22"/>
                <w:szCs w:val="22"/>
                <w:lang w:val="uk-UA"/>
              </w:rPr>
            </w:pPr>
            <w:r w:rsidRPr="00201953">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1701C" w:rsidRPr="00201953" w:rsidRDefault="0081701C" w:rsidP="00201953">
            <w:pPr>
              <w:jc w:val="both"/>
              <w:rPr>
                <w:sz w:val="22"/>
                <w:szCs w:val="22"/>
                <w:lang w:val="uk-UA"/>
              </w:rPr>
            </w:pPr>
            <w:r w:rsidRPr="00201953">
              <w:rPr>
                <w:sz w:val="22"/>
                <w:szCs w:val="22"/>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201953">
              <w:rPr>
                <w:sz w:val="22"/>
                <w:szCs w:val="22"/>
                <w:lang w:val="uk-UA"/>
              </w:rPr>
              <w:t>закупівель</w:t>
            </w:r>
            <w:proofErr w:type="spellEnd"/>
            <w:r w:rsidRPr="00201953">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6F428D" w:rsidRPr="00201953" w:rsidRDefault="0081701C" w:rsidP="00201953">
            <w:pPr>
              <w:jc w:val="both"/>
              <w:rPr>
                <w:sz w:val="22"/>
                <w:szCs w:val="22"/>
                <w:lang w:val="uk-UA"/>
              </w:rPr>
            </w:pPr>
            <w:r w:rsidRPr="00201953">
              <w:rPr>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r w:rsidRPr="00201953">
              <w:rPr>
                <w:sz w:val="22"/>
                <w:szCs w:val="22"/>
              </w:rPr>
              <w:t xml:space="preserve"> </w:t>
            </w:r>
            <w:r w:rsidRPr="00201953">
              <w:rPr>
                <w:sz w:val="22"/>
                <w:szCs w:val="22"/>
                <w:lang w:val="uk-UA"/>
              </w:rPr>
              <w:t>Обґрунтування обсягів закупівлі: Обсяги визначено відповідно до очікуваної потреби.</w:t>
            </w:r>
          </w:p>
        </w:tc>
      </w:tr>
      <w:tr w:rsidR="006F428D" w:rsidRPr="00201953"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bCs/>
                <w:sz w:val="22"/>
                <w:szCs w:val="22"/>
                <w:lang w:val="uk-UA"/>
              </w:rPr>
            </w:pPr>
            <w:r w:rsidRPr="00201953">
              <w:rPr>
                <w:bCs/>
                <w:sz w:val="22"/>
                <w:szCs w:val="22"/>
                <w:lang w:val="uk-UA"/>
              </w:rPr>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201953" w:rsidRDefault="006F428D" w:rsidP="00C62708">
            <w:pPr>
              <w:rPr>
                <w:sz w:val="22"/>
                <w:szCs w:val="22"/>
                <w:lang w:val="uk-UA"/>
              </w:rPr>
            </w:pPr>
            <w:r w:rsidRPr="00201953">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81701C" w:rsidRPr="00201953" w:rsidRDefault="0081701C" w:rsidP="00201953">
            <w:pPr>
              <w:jc w:val="both"/>
              <w:rPr>
                <w:sz w:val="22"/>
                <w:szCs w:val="22"/>
                <w:lang w:val="uk-UA"/>
              </w:rPr>
            </w:pPr>
            <w:r w:rsidRPr="00201953">
              <w:rPr>
                <w:sz w:val="22"/>
                <w:szCs w:val="22"/>
                <w:lang w:val="uk-UA"/>
              </w:rPr>
              <w:t>Спосіб проведення аналізу ринку</w:t>
            </w:r>
          </w:p>
          <w:p w:rsidR="0081701C" w:rsidRPr="00201953" w:rsidRDefault="0081701C" w:rsidP="00201953">
            <w:pPr>
              <w:jc w:val="both"/>
              <w:rPr>
                <w:sz w:val="22"/>
                <w:szCs w:val="22"/>
                <w:lang w:val="uk-UA"/>
              </w:rPr>
            </w:pPr>
            <w:r w:rsidRPr="00201953">
              <w:rPr>
                <w:sz w:val="22"/>
                <w:szCs w:val="22"/>
                <w:lang w:val="uk-UA"/>
              </w:rPr>
              <w:t>Направлено низку запитів підприємствам, що постачають відповідну продукцію на наступні електронні пошти:</w:t>
            </w:r>
          </w:p>
          <w:p w:rsidR="0081701C" w:rsidRPr="00201953" w:rsidRDefault="0081701C" w:rsidP="00201953">
            <w:pPr>
              <w:jc w:val="both"/>
              <w:rPr>
                <w:sz w:val="22"/>
                <w:szCs w:val="22"/>
                <w:lang w:val="uk-UA"/>
              </w:rPr>
            </w:pPr>
            <w:r w:rsidRPr="00201953">
              <w:rPr>
                <w:sz w:val="22"/>
                <w:szCs w:val="22"/>
                <w:lang w:val="uk-UA"/>
              </w:rPr>
              <w:lastRenderedPageBreak/>
              <w:t xml:space="preserve">eko@energosintez.com ТОВАРИСТВО З ОБМЕЖЕНОЮ ВІДПОВІДАЛЬНІСТЮ "ЕНЕРГОСИНТЕЗ-2006"; info@adbsafegate.com, Mikhail.Pozdnyakov@adbsafegate.com ADB </w:t>
            </w:r>
            <w:proofErr w:type="spellStart"/>
            <w:r w:rsidRPr="00201953">
              <w:rPr>
                <w:sz w:val="22"/>
                <w:szCs w:val="22"/>
                <w:lang w:val="uk-UA"/>
              </w:rPr>
              <w:t>Safegate</w:t>
            </w:r>
            <w:proofErr w:type="spellEnd"/>
            <w:r w:rsidRPr="00201953">
              <w:rPr>
                <w:sz w:val="22"/>
                <w:szCs w:val="22"/>
                <w:lang w:val="uk-UA"/>
              </w:rPr>
              <w:t xml:space="preserve"> BV; mail@lucebit.com LUCEBIT </w:t>
            </w:r>
            <w:proofErr w:type="spellStart"/>
            <w:r w:rsidRPr="00201953">
              <w:rPr>
                <w:sz w:val="22"/>
                <w:szCs w:val="22"/>
                <w:lang w:val="uk-UA"/>
              </w:rPr>
              <w:t>GmbH</w:t>
            </w:r>
            <w:proofErr w:type="spellEnd"/>
            <w:r w:rsidRPr="00201953">
              <w:rPr>
                <w:sz w:val="22"/>
                <w:szCs w:val="22"/>
                <w:lang w:val="uk-UA"/>
              </w:rPr>
              <w:t>;</w:t>
            </w:r>
          </w:p>
          <w:p w:rsidR="0081701C" w:rsidRPr="00201953" w:rsidRDefault="0081701C" w:rsidP="00201953">
            <w:pPr>
              <w:jc w:val="both"/>
              <w:rPr>
                <w:sz w:val="22"/>
                <w:szCs w:val="22"/>
                <w:lang w:val="uk-UA"/>
              </w:rPr>
            </w:pPr>
            <w:r w:rsidRPr="00201953">
              <w:rPr>
                <w:sz w:val="22"/>
                <w:szCs w:val="22"/>
                <w:lang w:val="uk-UA"/>
              </w:rPr>
              <w:t>kiperrealt@gmail.com ТОВ "КІПЄР";</w:t>
            </w:r>
          </w:p>
          <w:p w:rsidR="0081701C" w:rsidRPr="00201953" w:rsidRDefault="0081701C" w:rsidP="00201953">
            <w:pPr>
              <w:jc w:val="both"/>
              <w:rPr>
                <w:sz w:val="22"/>
                <w:szCs w:val="22"/>
                <w:lang w:val="uk-UA"/>
              </w:rPr>
            </w:pPr>
            <w:r w:rsidRPr="00201953">
              <w:rPr>
                <w:sz w:val="22"/>
                <w:szCs w:val="22"/>
                <w:lang w:val="uk-UA"/>
              </w:rPr>
              <w:t xml:space="preserve">Також було враховано досвід попередніх </w:t>
            </w:r>
            <w:proofErr w:type="spellStart"/>
            <w:r w:rsidRPr="00201953">
              <w:rPr>
                <w:sz w:val="22"/>
                <w:szCs w:val="22"/>
                <w:lang w:val="uk-UA"/>
              </w:rPr>
              <w:t>закупівель</w:t>
            </w:r>
            <w:proofErr w:type="spellEnd"/>
            <w:r w:rsidRPr="00201953">
              <w:rPr>
                <w:sz w:val="22"/>
                <w:szCs w:val="22"/>
                <w:lang w:val="uk-UA"/>
              </w:rPr>
              <w:t xml:space="preserve"> аеропорту, а саме:</w:t>
            </w:r>
          </w:p>
          <w:p w:rsidR="0081701C" w:rsidRPr="00201953" w:rsidRDefault="0081701C" w:rsidP="00201953">
            <w:pPr>
              <w:jc w:val="both"/>
              <w:rPr>
                <w:sz w:val="22"/>
                <w:szCs w:val="22"/>
                <w:lang w:val="uk-UA"/>
              </w:rPr>
            </w:pPr>
            <w:r w:rsidRPr="00201953">
              <w:rPr>
                <w:sz w:val="22"/>
                <w:szCs w:val="22"/>
                <w:lang w:val="uk-UA"/>
              </w:rPr>
              <w:t>Договір від 01.06.2020 від №35.1-14.1/3.4-8.</w:t>
            </w:r>
          </w:p>
          <w:p w:rsidR="0081701C" w:rsidRPr="00201953" w:rsidRDefault="0081701C" w:rsidP="00201953">
            <w:pPr>
              <w:jc w:val="both"/>
              <w:rPr>
                <w:sz w:val="22"/>
                <w:szCs w:val="22"/>
                <w:lang w:val="uk-UA"/>
              </w:rPr>
            </w:pPr>
            <w:r w:rsidRPr="00201953">
              <w:rPr>
                <w:sz w:val="22"/>
                <w:szCs w:val="22"/>
                <w:lang w:val="uk-UA"/>
              </w:rPr>
              <w:t>Договір від 11.09.2018 № 37-14.3/3.3-50.</w:t>
            </w:r>
          </w:p>
          <w:p w:rsidR="0081701C" w:rsidRPr="00201953" w:rsidRDefault="0081701C" w:rsidP="00201953">
            <w:pPr>
              <w:jc w:val="both"/>
              <w:rPr>
                <w:sz w:val="22"/>
                <w:szCs w:val="22"/>
                <w:lang w:val="uk-UA"/>
              </w:rPr>
            </w:pPr>
            <w:r w:rsidRPr="00201953">
              <w:rPr>
                <w:sz w:val="22"/>
                <w:szCs w:val="22"/>
                <w:lang w:val="uk-UA"/>
              </w:rPr>
              <w:t>В цілях економії коштів підприємства очікувана вартість визначена на підставі комерційної пропозиції офіційного дистриб’ютора виробника в Україні ТОВ "ЕНЕРГОСИНТЕЗ-2006", який в повному обсязі підтверджує умови замовника (строк поставки, місце поставки, умови оплати, гарантійний строк та інші).</w:t>
            </w:r>
          </w:p>
          <w:p w:rsidR="006F428D" w:rsidRPr="00201953" w:rsidRDefault="0081701C" w:rsidP="00201953">
            <w:pPr>
              <w:jc w:val="both"/>
              <w:rPr>
                <w:sz w:val="22"/>
                <w:szCs w:val="22"/>
                <w:lang w:val="uk-UA"/>
              </w:rPr>
            </w:pPr>
            <w:r w:rsidRPr="00201953">
              <w:rPr>
                <w:sz w:val="22"/>
                <w:szCs w:val="22"/>
                <w:lang w:val="uk-UA"/>
              </w:rPr>
              <w:t>Період замовлення товарів – у період дії правового режиму воєнного стану в Україні та протягом 90 днів з дня його припинення або скасування.</w:t>
            </w:r>
          </w:p>
        </w:tc>
      </w:tr>
    </w:tbl>
    <w:p w:rsidR="006F428D" w:rsidRPr="00201953" w:rsidRDefault="006F428D" w:rsidP="00A12478">
      <w:pPr>
        <w:rPr>
          <w:b/>
          <w:sz w:val="22"/>
          <w:szCs w:val="22"/>
          <w:lang w:val="uk-UA"/>
        </w:rPr>
      </w:pPr>
    </w:p>
    <w:p w:rsidR="006926A0" w:rsidRPr="00201953" w:rsidRDefault="006926A0" w:rsidP="006926A0">
      <w:pPr>
        <w:ind w:firstLine="567"/>
        <w:jc w:val="both"/>
        <w:rPr>
          <w:sz w:val="22"/>
          <w:szCs w:val="22"/>
          <w:lang w:val="uk-UA"/>
        </w:rPr>
      </w:pPr>
      <w:r w:rsidRPr="00201953">
        <w:rPr>
          <w:sz w:val="22"/>
          <w:szCs w:val="22"/>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201953" w:rsidRDefault="006F428D" w:rsidP="00A12478">
      <w:pPr>
        <w:rPr>
          <w:b/>
          <w:sz w:val="22"/>
          <w:szCs w:val="22"/>
          <w:lang w:val="uk-UA"/>
        </w:rPr>
      </w:pPr>
    </w:p>
    <w:p w:rsidR="006F428D" w:rsidRPr="00201953" w:rsidRDefault="006926A0" w:rsidP="00A12478">
      <w:pPr>
        <w:rPr>
          <w:b/>
          <w:sz w:val="22"/>
          <w:szCs w:val="22"/>
          <w:lang w:val="uk-UA"/>
        </w:rPr>
      </w:pPr>
      <w:r w:rsidRPr="00201953">
        <w:rPr>
          <w:b/>
          <w:sz w:val="22"/>
          <w:szCs w:val="22"/>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701"/>
        <w:gridCol w:w="2127"/>
        <w:gridCol w:w="992"/>
        <w:gridCol w:w="709"/>
        <w:gridCol w:w="4110"/>
      </w:tblGrid>
      <w:tr w:rsidR="0081701C" w:rsidRPr="00201953" w:rsidTr="00201953">
        <w:tc>
          <w:tcPr>
            <w:tcW w:w="634" w:type="dxa"/>
            <w:tcBorders>
              <w:top w:val="single" w:sz="4" w:space="0" w:color="auto"/>
              <w:left w:val="single" w:sz="4" w:space="0" w:color="auto"/>
              <w:bottom w:val="single" w:sz="4" w:space="0" w:color="auto"/>
              <w:right w:val="single" w:sz="4" w:space="0" w:color="auto"/>
            </w:tcBorders>
            <w:shd w:val="clear" w:color="auto" w:fill="D9E2F3"/>
          </w:tcPr>
          <w:p w:rsidR="0081701C" w:rsidRPr="00201953" w:rsidRDefault="0081701C" w:rsidP="003636FD">
            <w:pPr>
              <w:widowControl w:val="0"/>
              <w:rPr>
                <w:b/>
                <w:sz w:val="22"/>
                <w:szCs w:val="22"/>
                <w:lang w:val="uk-UA"/>
              </w:rPr>
            </w:pPr>
            <w:r w:rsidRPr="00201953">
              <w:rPr>
                <w:b/>
                <w:sz w:val="22"/>
                <w:szCs w:val="22"/>
                <w:lang w:val="uk-UA"/>
              </w:rPr>
              <w:t>№ п/п</w:t>
            </w:r>
          </w:p>
        </w:tc>
        <w:tc>
          <w:tcPr>
            <w:tcW w:w="1701" w:type="dxa"/>
            <w:tcBorders>
              <w:top w:val="single" w:sz="4" w:space="0" w:color="auto"/>
              <w:left w:val="single" w:sz="4" w:space="0" w:color="auto"/>
              <w:bottom w:val="single" w:sz="4" w:space="0" w:color="auto"/>
              <w:right w:val="single" w:sz="4" w:space="0" w:color="auto"/>
            </w:tcBorders>
            <w:shd w:val="clear" w:color="auto" w:fill="D9E2F3"/>
          </w:tcPr>
          <w:p w:rsidR="0081701C" w:rsidRPr="00201953" w:rsidRDefault="0081701C" w:rsidP="003636FD">
            <w:pPr>
              <w:widowControl w:val="0"/>
              <w:jc w:val="center"/>
              <w:rPr>
                <w:b/>
                <w:sz w:val="22"/>
                <w:szCs w:val="22"/>
                <w:lang w:val="uk-UA"/>
              </w:rPr>
            </w:pPr>
            <w:r w:rsidRPr="00201953">
              <w:rPr>
                <w:b/>
                <w:sz w:val="22"/>
                <w:szCs w:val="22"/>
                <w:lang w:val="uk-UA"/>
              </w:rPr>
              <w:t>Найменування Товару</w:t>
            </w:r>
          </w:p>
        </w:tc>
        <w:tc>
          <w:tcPr>
            <w:tcW w:w="2127" w:type="dxa"/>
            <w:tcBorders>
              <w:top w:val="single" w:sz="4" w:space="0" w:color="auto"/>
              <w:left w:val="single" w:sz="4" w:space="0" w:color="auto"/>
              <w:bottom w:val="single" w:sz="4" w:space="0" w:color="auto"/>
              <w:right w:val="single" w:sz="4" w:space="0" w:color="auto"/>
            </w:tcBorders>
            <w:shd w:val="clear" w:color="auto" w:fill="D9E2F3"/>
            <w:hideMark/>
          </w:tcPr>
          <w:p w:rsidR="0081701C" w:rsidRPr="00201953" w:rsidRDefault="0081701C" w:rsidP="003636FD">
            <w:pPr>
              <w:widowControl w:val="0"/>
              <w:jc w:val="center"/>
              <w:rPr>
                <w:b/>
                <w:sz w:val="20"/>
                <w:szCs w:val="20"/>
                <w:lang w:val="uk-UA"/>
              </w:rPr>
            </w:pPr>
            <w:r w:rsidRPr="00201953">
              <w:rPr>
                <w:b/>
                <w:bCs/>
                <w:snapToGrid w:val="0"/>
                <w:sz w:val="20"/>
                <w:szCs w:val="20"/>
                <w:lang w:val="uk-UA"/>
              </w:rPr>
              <w:t>Марка або модель, або артикул, або каталожний номер, або  інші параметри для ідентифікації 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cPr>
          <w:p w:rsidR="0081701C" w:rsidRPr="00201953" w:rsidRDefault="0081701C" w:rsidP="003636FD">
            <w:pPr>
              <w:widowControl w:val="0"/>
              <w:jc w:val="center"/>
              <w:rPr>
                <w:b/>
                <w:sz w:val="22"/>
                <w:szCs w:val="22"/>
                <w:lang w:val="uk-UA"/>
              </w:rPr>
            </w:pPr>
            <w:r w:rsidRPr="00201953">
              <w:rPr>
                <w:b/>
                <w:sz w:val="22"/>
                <w:szCs w:val="22"/>
                <w:lang w:val="uk-UA"/>
              </w:rPr>
              <w:t>Одиниця</w:t>
            </w:r>
          </w:p>
          <w:p w:rsidR="0081701C" w:rsidRPr="00201953" w:rsidRDefault="0081701C" w:rsidP="003636FD">
            <w:pPr>
              <w:widowControl w:val="0"/>
              <w:jc w:val="center"/>
              <w:rPr>
                <w:b/>
                <w:sz w:val="22"/>
                <w:szCs w:val="22"/>
                <w:lang w:val="uk-UA"/>
              </w:rPr>
            </w:pPr>
            <w:r w:rsidRPr="00201953">
              <w:rPr>
                <w:b/>
                <w:sz w:val="22"/>
                <w:szCs w:val="22"/>
                <w:lang w:val="uk-UA"/>
              </w:rPr>
              <w:t>виміру</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81701C" w:rsidRPr="00201953" w:rsidRDefault="0081701C" w:rsidP="00201953">
            <w:pPr>
              <w:widowControl w:val="0"/>
              <w:jc w:val="center"/>
              <w:rPr>
                <w:b/>
                <w:sz w:val="22"/>
                <w:szCs w:val="22"/>
                <w:lang w:val="uk-UA"/>
              </w:rPr>
            </w:pPr>
            <w:r w:rsidRPr="00201953">
              <w:rPr>
                <w:b/>
                <w:sz w:val="22"/>
                <w:szCs w:val="22"/>
                <w:lang w:val="uk-UA"/>
              </w:rPr>
              <w:t>Кількість</w:t>
            </w:r>
          </w:p>
        </w:tc>
        <w:tc>
          <w:tcPr>
            <w:tcW w:w="4110" w:type="dxa"/>
            <w:tcBorders>
              <w:top w:val="single" w:sz="4" w:space="0" w:color="auto"/>
              <w:left w:val="single" w:sz="4" w:space="0" w:color="auto"/>
              <w:bottom w:val="single" w:sz="4" w:space="0" w:color="auto"/>
              <w:right w:val="single" w:sz="4" w:space="0" w:color="auto"/>
            </w:tcBorders>
            <w:shd w:val="clear" w:color="auto" w:fill="D9E2F3"/>
            <w:hideMark/>
          </w:tcPr>
          <w:p w:rsidR="0081701C" w:rsidRPr="00201953" w:rsidRDefault="0081701C" w:rsidP="003636FD">
            <w:pPr>
              <w:widowControl w:val="0"/>
              <w:jc w:val="center"/>
              <w:rPr>
                <w:b/>
                <w:sz w:val="22"/>
                <w:szCs w:val="22"/>
                <w:lang w:val="uk-UA"/>
              </w:rPr>
            </w:pPr>
            <w:r w:rsidRPr="00201953">
              <w:rPr>
                <w:b/>
                <w:sz w:val="22"/>
                <w:szCs w:val="22"/>
                <w:lang w:val="uk-UA"/>
              </w:rPr>
              <w:t>Технічні та якісні характеристики предмета закупівлі</w:t>
            </w:r>
          </w:p>
          <w:p w:rsidR="0081701C" w:rsidRPr="00201953" w:rsidRDefault="0081701C" w:rsidP="003636FD">
            <w:pPr>
              <w:widowControl w:val="0"/>
              <w:jc w:val="center"/>
              <w:rPr>
                <w:b/>
                <w:sz w:val="22"/>
                <w:szCs w:val="22"/>
                <w:lang w:val="uk-UA"/>
              </w:rPr>
            </w:pPr>
            <w:r w:rsidRPr="00201953">
              <w:rPr>
                <w:b/>
                <w:sz w:val="22"/>
                <w:szCs w:val="22"/>
                <w:lang w:val="uk-UA"/>
              </w:rPr>
              <w:t>(Технічна специфікація)</w:t>
            </w:r>
          </w:p>
        </w:tc>
      </w:tr>
      <w:tr w:rsidR="0081701C" w:rsidRPr="00201953" w:rsidTr="00201953">
        <w:trPr>
          <w:trHeight w:val="335"/>
        </w:trPr>
        <w:tc>
          <w:tcPr>
            <w:tcW w:w="634" w:type="dxa"/>
            <w:tcBorders>
              <w:top w:val="single" w:sz="4" w:space="0" w:color="auto"/>
              <w:left w:val="single" w:sz="4" w:space="0" w:color="auto"/>
              <w:bottom w:val="single" w:sz="4" w:space="0" w:color="auto"/>
              <w:right w:val="single" w:sz="4" w:space="0" w:color="auto"/>
            </w:tcBorders>
            <w:hideMark/>
          </w:tcPr>
          <w:p w:rsidR="0081701C" w:rsidRPr="00201953" w:rsidRDefault="0081701C" w:rsidP="003636FD">
            <w:pPr>
              <w:widowControl w:val="0"/>
              <w:rPr>
                <w:sz w:val="22"/>
                <w:szCs w:val="22"/>
                <w:lang w:val="uk-UA"/>
              </w:rPr>
            </w:pPr>
            <w:r w:rsidRPr="00201953">
              <w:rPr>
                <w:sz w:val="22"/>
                <w:szCs w:val="22"/>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81701C" w:rsidRPr="00201953" w:rsidRDefault="0081701C" w:rsidP="003636FD">
            <w:pPr>
              <w:widowControl w:val="0"/>
              <w:jc w:val="center"/>
              <w:rPr>
                <w:sz w:val="22"/>
                <w:szCs w:val="22"/>
                <w:lang w:val="uk-UA"/>
              </w:rPr>
            </w:pPr>
            <w:r w:rsidRPr="00201953">
              <w:rPr>
                <w:sz w:val="22"/>
                <w:szCs w:val="22"/>
                <w:lang w:val="uk-UA"/>
              </w:rPr>
              <w:t>Модуль перемикання</w:t>
            </w:r>
          </w:p>
        </w:tc>
        <w:tc>
          <w:tcPr>
            <w:tcW w:w="2127"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r w:rsidRPr="00201953">
              <w:rPr>
                <w:sz w:val="22"/>
                <w:szCs w:val="22"/>
                <w:lang w:val="uk-UA"/>
              </w:rPr>
              <w:t>SCROLL_1,</w:t>
            </w:r>
          </w:p>
          <w:p w:rsidR="0081701C" w:rsidRPr="00201953" w:rsidRDefault="0081701C" w:rsidP="003636FD">
            <w:pPr>
              <w:widowControl w:val="0"/>
              <w:jc w:val="center"/>
              <w:rPr>
                <w:sz w:val="22"/>
                <w:szCs w:val="22"/>
                <w:lang w:val="uk-UA"/>
              </w:rPr>
            </w:pPr>
            <w:r w:rsidRPr="00201953">
              <w:rPr>
                <w:b/>
                <w:sz w:val="22"/>
                <w:szCs w:val="22"/>
                <w:lang w:val="uk-UA"/>
              </w:rPr>
              <w:t>номер для замовлення:</w:t>
            </w:r>
            <w:r w:rsidRPr="00201953">
              <w:rPr>
                <w:sz w:val="22"/>
                <w:szCs w:val="22"/>
                <w:lang w:val="uk-UA"/>
              </w:rPr>
              <w:t xml:space="preserve"> LUC157116R1</w:t>
            </w:r>
          </w:p>
        </w:tc>
        <w:tc>
          <w:tcPr>
            <w:tcW w:w="992"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proofErr w:type="spellStart"/>
            <w:r w:rsidRPr="00201953">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r w:rsidRPr="00201953">
              <w:rPr>
                <w:sz w:val="22"/>
                <w:szCs w:val="22"/>
                <w:lang w:val="uk-UA"/>
              </w:rPr>
              <w:t>10</w:t>
            </w:r>
          </w:p>
        </w:tc>
        <w:tc>
          <w:tcPr>
            <w:tcW w:w="4110"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pStyle w:val="Default"/>
              <w:rPr>
                <w:sz w:val="22"/>
                <w:szCs w:val="22"/>
              </w:rPr>
            </w:pPr>
            <w:r w:rsidRPr="00201953">
              <w:rPr>
                <w:b/>
                <w:sz w:val="22"/>
                <w:szCs w:val="22"/>
              </w:rPr>
              <w:t>Тип модуля</w:t>
            </w:r>
            <w:r w:rsidRPr="00201953">
              <w:rPr>
                <w:sz w:val="22"/>
                <w:szCs w:val="22"/>
              </w:rPr>
              <w:t xml:space="preserve"> SRU 101 – 1-но канальний;</w:t>
            </w:r>
          </w:p>
          <w:p w:rsidR="0081701C" w:rsidRPr="00201953" w:rsidRDefault="0081701C" w:rsidP="003636FD">
            <w:pPr>
              <w:pStyle w:val="Default"/>
              <w:rPr>
                <w:sz w:val="22"/>
                <w:szCs w:val="22"/>
              </w:rPr>
            </w:pPr>
            <w:r w:rsidRPr="00201953">
              <w:rPr>
                <w:b/>
                <w:sz w:val="22"/>
                <w:szCs w:val="22"/>
              </w:rPr>
              <w:t>Струм живлення</w:t>
            </w:r>
            <w:r w:rsidRPr="00201953">
              <w:rPr>
                <w:sz w:val="22"/>
                <w:szCs w:val="22"/>
              </w:rPr>
              <w:t xml:space="preserve"> – 6.6 А. </w:t>
            </w:r>
            <w:r w:rsidRPr="00201953">
              <w:rPr>
                <w:b/>
                <w:sz w:val="22"/>
                <w:szCs w:val="22"/>
              </w:rPr>
              <w:t>Призначення</w:t>
            </w:r>
            <w:r w:rsidRPr="00201953">
              <w:rPr>
                <w:sz w:val="22"/>
                <w:szCs w:val="22"/>
              </w:rPr>
              <w:t xml:space="preserve"> – для використання з системою COSAL.</w:t>
            </w:r>
          </w:p>
        </w:tc>
      </w:tr>
      <w:tr w:rsidR="0081701C" w:rsidRPr="00201953" w:rsidTr="00201953">
        <w:trPr>
          <w:trHeight w:val="335"/>
        </w:trPr>
        <w:tc>
          <w:tcPr>
            <w:tcW w:w="634"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rPr>
                <w:sz w:val="22"/>
                <w:szCs w:val="22"/>
                <w:lang w:val="uk-UA"/>
              </w:rPr>
            </w:pPr>
            <w:r w:rsidRPr="00201953">
              <w:rPr>
                <w:sz w:val="22"/>
                <w:szCs w:val="22"/>
                <w:lang w:val="uk-UA"/>
              </w:rPr>
              <w:t>2</w:t>
            </w:r>
          </w:p>
        </w:tc>
        <w:tc>
          <w:tcPr>
            <w:tcW w:w="1701" w:type="dxa"/>
            <w:tcBorders>
              <w:top w:val="single" w:sz="4" w:space="0" w:color="auto"/>
              <w:left w:val="single" w:sz="4" w:space="0" w:color="auto"/>
              <w:bottom w:val="single" w:sz="4" w:space="0" w:color="auto"/>
              <w:right w:val="single" w:sz="4" w:space="0" w:color="auto"/>
            </w:tcBorders>
            <w:hideMark/>
          </w:tcPr>
          <w:p w:rsidR="0081701C" w:rsidRPr="00201953" w:rsidRDefault="0081701C" w:rsidP="003636FD">
            <w:pPr>
              <w:widowControl w:val="0"/>
              <w:jc w:val="center"/>
              <w:rPr>
                <w:sz w:val="22"/>
                <w:szCs w:val="22"/>
                <w:lang w:val="uk-UA"/>
              </w:rPr>
            </w:pPr>
            <w:r w:rsidRPr="00201953">
              <w:rPr>
                <w:sz w:val="22"/>
                <w:szCs w:val="22"/>
                <w:lang w:val="uk-UA"/>
              </w:rPr>
              <w:t>Модуль перемикання</w:t>
            </w:r>
          </w:p>
        </w:tc>
        <w:tc>
          <w:tcPr>
            <w:tcW w:w="2127"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r w:rsidRPr="00201953">
              <w:rPr>
                <w:sz w:val="22"/>
                <w:szCs w:val="22"/>
                <w:lang w:val="uk-UA"/>
              </w:rPr>
              <w:t>SCROLL_2,</w:t>
            </w:r>
          </w:p>
          <w:p w:rsidR="0081701C" w:rsidRPr="00201953" w:rsidRDefault="0081701C" w:rsidP="003636FD">
            <w:pPr>
              <w:widowControl w:val="0"/>
              <w:jc w:val="center"/>
              <w:rPr>
                <w:sz w:val="22"/>
                <w:szCs w:val="22"/>
                <w:lang w:val="uk-UA"/>
              </w:rPr>
            </w:pPr>
            <w:r w:rsidRPr="00201953">
              <w:rPr>
                <w:b/>
                <w:sz w:val="22"/>
                <w:szCs w:val="22"/>
                <w:lang w:val="uk-UA"/>
              </w:rPr>
              <w:t>номер для замовлення</w:t>
            </w:r>
            <w:r w:rsidRPr="00201953">
              <w:rPr>
                <w:sz w:val="22"/>
                <w:szCs w:val="22"/>
                <w:lang w:val="uk-UA"/>
              </w:rPr>
              <w:t>: LUC157116R2</w:t>
            </w:r>
          </w:p>
        </w:tc>
        <w:tc>
          <w:tcPr>
            <w:tcW w:w="992"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proofErr w:type="spellStart"/>
            <w:r w:rsidRPr="00201953">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jc w:val="center"/>
              <w:rPr>
                <w:sz w:val="22"/>
                <w:szCs w:val="22"/>
                <w:lang w:val="uk-UA"/>
              </w:rPr>
            </w:pPr>
            <w:r w:rsidRPr="00201953">
              <w:rPr>
                <w:sz w:val="22"/>
                <w:szCs w:val="22"/>
                <w:lang w:val="uk-UA"/>
              </w:rPr>
              <w:t>15</w:t>
            </w:r>
          </w:p>
        </w:tc>
        <w:tc>
          <w:tcPr>
            <w:tcW w:w="4110" w:type="dxa"/>
            <w:tcBorders>
              <w:top w:val="single" w:sz="4" w:space="0" w:color="auto"/>
              <w:left w:val="single" w:sz="4" w:space="0" w:color="auto"/>
              <w:bottom w:val="single" w:sz="4" w:space="0" w:color="auto"/>
              <w:right w:val="single" w:sz="4" w:space="0" w:color="auto"/>
            </w:tcBorders>
          </w:tcPr>
          <w:p w:rsidR="0081701C" w:rsidRPr="00201953" w:rsidRDefault="0081701C" w:rsidP="003636FD">
            <w:pPr>
              <w:widowControl w:val="0"/>
              <w:rPr>
                <w:sz w:val="22"/>
                <w:szCs w:val="22"/>
                <w:lang w:val="uk-UA"/>
              </w:rPr>
            </w:pPr>
            <w:r w:rsidRPr="00201953">
              <w:rPr>
                <w:b/>
                <w:sz w:val="22"/>
                <w:szCs w:val="22"/>
                <w:lang w:val="uk-UA"/>
              </w:rPr>
              <w:t>Тип модуля</w:t>
            </w:r>
            <w:r w:rsidRPr="00201953">
              <w:rPr>
                <w:sz w:val="22"/>
                <w:szCs w:val="22"/>
                <w:lang w:val="uk-UA"/>
              </w:rPr>
              <w:t xml:space="preserve"> SRU 102– 2-во канальний;</w:t>
            </w:r>
          </w:p>
          <w:p w:rsidR="0081701C" w:rsidRPr="00201953" w:rsidRDefault="0081701C" w:rsidP="003636FD">
            <w:pPr>
              <w:widowControl w:val="0"/>
              <w:rPr>
                <w:sz w:val="22"/>
                <w:szCs w:val="22"/>
                <w:lang w:val="uk-UA"/>
              </w:rPr>
            </w:pPr>
            <w:r w:rsidRPr="00201953">
              <w:rPr>
                <w:b/>
                <w:sz w:val="22"/>
                <w:szCs w:val="22"/>
                <w:lang w:val="uk-UA"/>
              </w:rPr>
              <w:t>Струм живлення</w:t>
            </w:r>
            <w:r w:rsidRPr="00201953">
              <w:rPr>
                <w:sz w:val="22"/>
                <w:szCs w:val="22"/>
                <w:lang w:val="uk-UA"/>
              </w:rPr>
              <w:t xml:space="preserve"> – 6.6 А.</w:t>
            </w:r>
          </w:p>
          <w:p w:rsidR="0081701C" w:rsidRPr="00201953" w:rsidRDefault="0081701C" w:rsidP="003636FD">
            <w:pPr>
              <w:widowControl w:val="0"/>
              <w:rPr>
                <w:sz w:val="22"/>
                <w:szCs w:val="22"/>
                <w:lang w:val="uk-UA"/>
              </w:rPr>
            </w:pPr>
            <w:r w:rsidRPr="00201953">
              <w:rPr>
                <w:b/>
                <w:sz w:val="22"/>
                <w:szCs w:val="22"/>
                <w:lang w:val="uk-UA"/>
              </w:rPr>
              <w:t>Призначення</w:t>
            </w:r>
            <w:r w:rsidRPr="00201953">
              <w:rPr>
                <w:sz w:val="22"/>
                <w:szCs w:val="22"/>
                <w:lang w:val="uk-UA"/>
              </w:rPr>
              <w:t xml:space="preserve"> – для використання з системою COSAL.</w:t>
            </w:r>
          </w:p>
        </w:tc>
      </w:tr>
    </w:tbl>
    <w:p w:rsidR="009165D1" w:rsidRPr="00201953" w:rsidRDefault="009165D1" w:rsidP="009165D1">
      <w:pPr>
        <w:jc w:val="both"/>
        <w:rPr>
          <w:b/>
          <w:bCs/>
          <w:sz w:val="22"/>
          <w:szCs w:val="22"/>
          <w:lang w:val="uk-UA" w:eastAsia="uk-UA"/>
        </w:rPr>
      </w:pPr>
      <w:r w:rsidRPr="00201953">
        <w:rPr>
          <w:b/>
          <w:bCs/>
          <w:sz w:val="22"/>
          <w:szCs w:val="22"/>
          <w:lang w:val="uk-UA"/>
        </w:rPr>
        <w:t>Додаткова інформація.</w:t>
      </w:r>
    </w:p>
    <w:p w:rsidR="009165D1" w:rsidRPr="00201953" w:rsidRDefault="009165D1" w:rsidP="009165D1">
      <w:pPr>
        <w:jc w:val="both"/>
        <w:rPr>
          <w:sz w:val="22"/>
          <w:szCs w:val="22"/>
          <w:lang w:val="uk-UA"/>
        </w:rPr>
      </w:pPr>
      <w:r w:rsidRPr="00201953">
        <w:rPr>
          <w:b/>
          <w:bCs/>
          <w:sz w:val="22"/>
          <w:szCs w:val="22"/>
          <w:lang w:val="uk-UA"/>
        </w:rPr>
        <w:t>1.</w:t>
      </w:r>
      <w:r w:rsidRPr="00201953">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01953">
        <w:rPr>
          <w:b/>
          <w:bCs/>
          <w:sz w:val="22"/>
          <w:szCs w:val="22"/>
          <w:lang w:val="uk-UA"/>
        </w:rPr>
        <w:t>біля кожного такого посилання вважати вираз «або еквівалент»</w:t>
      </w:r>
      <w:r w:rsidRPr="00201953">
        <w:rPr>
          <w:sz w:val="22"/>
          <w:szCs w:val="22"/>
          <w:lang w:val="uk-UA"/>
        </w:rPr>
        <w:t xml:space="preserve">. Таким чином вважається, що до кожного посилання додається вираз </w:t>
      </w:r>
      <w:r w:rsidRPr="00201953">
        <w:rPr>
          <w:b/>
          <w:bCs/>
          <w:sz w:val="22"/>
          <w:szCs w:val="22"/>
          <w:lang w:val="uk-UA"/>
        </w:rPr>
        <w:t>«або еквівалент»</w:t>
      </w:r>
      <w:r w:rsidRPr="00201953">
        <w:rPr>
          <w:sz w:val="22"/>
          <w:szCs w:val="22"/>
          <w:lang w:val="uk-UA"/>
        </w:rPr>
        <w:t xml:space="preserve">. </w:t>
      </w:r>
    </w:p>
    <w:p w:rsidR="009165D1" w:rsidRPr="00201953" w:rsidRDefault="009165D1" w:rsidP="009165D1">
      <w:pPr>
        <w:jc w:val="both"/>
        <w:rPr>
          <w:sz w:val="22"/>
          <w:szCs w:val="22"/>
          <w:lang w:val="uk-UA"/>
        </w:rPr>
      </w:pPr>
      <w:r w:rsidRPr="00201953">
        <w:rPr>
          <w:sz w:val="22"/>
          <w:szCs w:val="22"/>
          <w:lang w:val="uk-UA"/>
        </w:rPr>
        <w:t xml:space="preserve">У місцях, де технічна специфікація містить посилання </w:t>
      </w:r>
      <w:r w:rsidRPr="00201953">
        <w:rPr>
          <w:sz w:val="22"/>
          <w:szCs w:val="22"/>
          <w:vertAlign w:val="superscript"/>
          <w:lang w:val="uk-UA"/>
        </w:rPr>
        <w:t>1)</w:t>
      </w:r>
      <w:r w:rsidRPr="00201953">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201953">
        <w:rPr>
          <w:b/>
          <w:bCs/>
          <w:sz w:val="22"/>
          <w:szCs w:val="22"/>
          <w:lang w:val="uk-UA"/>
        </w:rPr>
        <w:t>вважати наявним вираз «або еквівалент»</w:t>
      </w:r>
      <w:r w:rsidRPr="00201953">
        <w:rPr>
          <w:sz w:val="22"/>
          <w:szCs w:val="22"/>
          <w:lang w:val="uk-UA"/>
        </w:rPr>
        <w:t xml:space="preserve">. Таким чином вважається, що до кожного посилання додається вираз «або еквівалент» </w:t>
      </w:r>
      <w:r w:rsidRPr="00201953">
        <w:rPr>
          <w:b/>
          <w:bCs/>
          <w:i/>
          <w:iCs/>
          <w:sz w:val="22"/>
          <w:szCs w:val="22"/>
          <w:lang w:val="uk-UA"/>
        </w:rPr>
        <w:t>(</w:t>
      </w:r>
      <w:r w:rsidRPr="00201953">
        <w:rPr>
          <w:b/>
          <w:bCs/>
          <w:i/>
          <w:iCs/>
          <w:sz w:val="22"/>
          <w:szCs w:val="22"/>
          <w:vertAlign w:val="superscript"/>
          <w:lang w:val="uk-UA"/>
        </w:rPr>
        <w:t>1)</w:t>
      </w:r>
      <w:r w:rsidRPr="00201953">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201953">
        <w:rPr>
          <w:sz w:val="22"/>
          <w:szCs w:val="22"/>
          <w:lang w:val="uk-UA"/>
        </w:rPr>
        <w:t xml:space="preserve">. </w:t>
      </w:r>
    </w:p>
    <w:p w:rsidR="00A256E7" w:rsidRPr="007101A5" w:rsidRDefault="009165D1" w:rsidP="00201953">
      <w:pPr>
        <w:autoSpaceDE w:val="0"/>
        <w:autoSpaceDN w:val="0"/>
        <w:ind w:firstLine="709"/>
        <w:jc w:val="both"/>
        <w:rPr>
          <w:color w:val="000000"/>
          <w:sz w:val="26"/>
          <w:szCs w:val="26"/>
          <w:lang w:val="uk-UA"/>
        </w:rPr>
      </w:pPr>
      <w:r w:rsidRPr="00201953">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201953">
        <w:rPr>
          <w:b/>
          <w:bCs/>
          <w:sz w:val="22"/>
          <w:szCs w:val="22"/>
          <w:lang w:val="uk-UA"/>
        </w:rPr>
        <w:t>Додатку 1</w:t>
      </w:r>
      <w:r w:rsidRPr="00201953">
        <w:rPr>
          <w:sz w:val="22"/>
          <w:szCs w:val="22"/>
          <w:lang w:val="uk-UA"/>
        </w:rPr>
        <w:t xml:space="preserve"> технічним та якісним характеристикам предмета закупівлі).</w:t>
      </w: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7B" w:rsidRDefault="00783A7B">
      <w:r>
        <w:separator/>
      </w:r>
    </w:p>
  </w:endnote>
  <w:endnote w:type="continuationSeparator" w:id="0">
    <w:p w:rsidR="00783A7B" w:rsidRDefault="0078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F6DF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AACE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A42B5">
      <w:rPr>
        <w:sz w:val="20"/>
        <w:szCs w:val="20"/>
        <w:lang w:val="uk-UA"/>
      </w:rPr>
      <w:t>Модулі перемикання, код ДК 021:2015 - 34960000-4 - Аеропортове обладнання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7140FF">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7140FF">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7B" w:rsidRDefault="00783A7B">
      <w:r>
        <w:separator/>
      </w:r>
    </w:p>
  </w:footnote>
  <w:footnote w:type="continuationSeparator" w:id="0">
    <w:p w:rsidR="00783A7B" w:rsidRDefault="0078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F6DF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B681F2"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1F6DFC"/>
    <w:rsid w:val="002005FF"/>
    <w:rsid w:val="00200A40"/>
    <w:rsid w:val="00201953"/>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42B5"/>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235"/>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0FF"/>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A7B"/>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1701C"/>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0F59"/>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366833-2A97-42AA-A189-80525CD8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81701C"/>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8FBB-A16E-4414-9D1F-47A67FBF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3701</Words>
  <Characters>2110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2023-08-29T09:54:00Z</dcterms:created>
  <dcterms:modified xsi:type="dcterms:W3CDTF">2023-09-04T13:18:00Z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