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7099F"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221E2" w:rsidRDefault="004072F7" w:rsidP="0097099F">
            <w:pPr>
              <w:widowControl w:val="0"/>
              <w:ind w:right="-11"/>
              <w:jc w:val="center"/>
              <w:rPr>
                <w:sz w:val="22"/>
                <w:szCs w:val="22"/>
                <w:lang w:val="uk-UA" w:eastAsia="uk-UA"/>
              </w:rPr>
            </w:pPr>
            <w:r w:rsidRPr="002221E2">
              <w:rPr>
                <w:sz w:val="22"/>
                <w:szCs w:val="22"/>
                <w:lang w:val="uk-UA"/>
              </w:rPr>
              <w:t>п.</w:t>
            </w:r>
            <w:r w:rsidR="00A76484" w:rsidRPr="002221E2">
              <w:rPr>
                <w:sz w:val="22"/>
                <w:szCs w:val="22"/>
                <w:lang w:val="uk-UA"/>
              </w:rPr>
              <w:t xml:space="preserve"> </w:t>
            </w:r>
            <w:r w:rsidR="00CF5C3A" w:rsidRPr="002221E2">
              <w:rPr>
                <w:sz w:val="22"/>
                <w:szCs w:val="22"/>
                <w:lang w:val="uk-UA"/>
              </w:rPr>
              <w:t xml:space="preserve">19.03 </w:t>
            </w:r>
            <w:r w:rsidR="00BD6E95" w:rsidRPr="002221E2">
              <w:rPr>
                <w:sz w:val="22"/>
                <w:szCs w:val="22"/>
                <w:lang w:val="uk-UA" w:eastAsia="uk-UA"/>
              </w:rPr>
              <w:t>(202</w:t>
            </w:r>
            <w:r w:rsidR="004E76E1" w:rsidRPr="002221E2">
              <w:rPr>
                <w:sz w:val="22"/>
                <w:szCs w:val="22"/>
                <w:lang w:val="uk-UA" w:eastAsia="uk-UA"/>
              </w:rPr>
              <w:t>3</w:t>
            </w:r>
            <w:r w:rsidR="00A76484" w:rsidRPr="002221E2">
              <w:rPr>
                <w:sz w:val="22"/>
                <w:szCs w:val="22"/>
                <w:lang w:val="uk-UA" w:eastAsia="uk-UA"/>
              </w:rPr>
              <w:t>)</w:t>
            </w:r>
          </w:p>
        </w:tc>
        <w:tc>
          <w:tcPr>
            <w:tcW w:w="1527" w:type="pct"/>
          </w:tcPr>
          <w:p w:rsidR="00A76484" w:rsidRPr="002221E2" w:rsidRDefault="00CF5C3A" w:rsidP="00A12478">
            <w:pPr>
              <w:widowControl w:val="0"/>
              <w:rPr>
                <w:bCs/>
                <w:sz w:val="22"/>
                <w:szCs w:val="22"/>
                <w:lang w:val="uk-UA"/>
              </w:rPr>
            </w:pPr>
            <w:r w:rsidRPr="002221E2">
              <w:rPr>
                <w:b/>
                <w:sz w:val="22"/>
                <w:szCs w:val="22"/>
                <w:lang w:val="uk-UA"/>
              </w:rPr>
              <w:t xml:space="preserve">Послуги із здійснення операцій поводження з небезпечними відходами та хімічними речовинами, </w:t>
            </w:r>
            <w:r w:rsidRPr="002221E2">
              <w:rPr>
                <w:sz w:val="22"/>
                <w:szCs w:val="22"/>
                <w:lang w:val="uk-UA"/>
              </w:rPr>
              <w:t>код ДК 021:2015 - 90520000-8 - Послуги у сфері поводження з радіоактивними, токсичними, медичними та небезпечними відходами</w:t>
            </w:r>
          </w:p>
        </w:tc>
        <w:tc>
          <w:tcPr>
            <w:tcW w:w="947" w:type="pct"/>
          </w:tcPr>
          <w:p w:rsidR="00A76484" w:rsidRPr="002221E2" w:rsidRDefault="00CF5C3A" w:rsidP="002D4D30">
            <w:pPr>
              <w:widowControl w:val="0"/>
              <w:jc w:val="center"/>
              <w:rPr>
                <w:sz w:val="22"/>
                <w:szCs w:val="22"/>
                <w:lang w:val="uk-UA"/>
              </w:rPr>
            </w:pPr>
            <w:r w:rsidRPr="002221E2">
              <w:rPr>
                <w:sz w:val="22"/>
                <w:szCs w:val="22"/>
                <w:lang w:val="uk-UA"/>
              </w:rPr>
              <w:t>122 825,95</w:t>
            </w:r>
            <w:r w:rsidR="00A76484" w:rsidRPr="002221E2">
              <w:rPr>
                <w:sz w:val="22"/>
                <w:szCs w:val="22"/>
                <w:lang w:val="uk-UA"/>
              </w:rPr>
              <w:t xml:space="preserve"> </w:t>
            </w:r>
          </w:p>
          <w:p w:rsidR="00A76484" w:rsidRPr="002221E2" w:rsidRDefault="00A76484" w:rsidP="002D4D30">
            <w:pPr>
              <w:widowControl w:val="0"/>
              <w:jc w:val="center"/>
              <w:rPr>
                <w:sz w:val="22"/>
                <w:szCs w:val="22"/>
                <w:lang w:val="uk-UA"/>
              </w:rPr>
            </w:pPr>
            <w:r w:rsidRPr="002221E2">
              <w:rPr>
                <w:sz w:val="22"/>
                <w:szCs w:val="22"/>
                <w:lang w:val="uk-UA"/>
              </w:rPr>
              <w:t>грн. з ПДВ</w:t>
            </w:r>
          </w:p>
        </w:tc>
        <w:tc>
          <w:tcPr>
            <w:tcW w:w="1102" w:type="pct"/>
          </w:tcPr>
          <w:p w:rsidR="00A76484" w:rsidRPr="002221E2" w:rsidRDefault="0097099F" w:rsidP="002D4D30">
            <w:pPr>
              <w:widowControl w:val="0"/>
              <w:jc w:val="center"/>
              <w:rPr>
                <w:sz w:val="22"/>
                <w:szCs w:val="22"/>
                <w:lang w:val="uk-UA"/>
              </w:rPr>
            </w:pPr>
            <w:r w:rsidRPr="002221E2">
              <w:rPr>
                <w:sz w:val="22"/>
                <w:szCs w:val="22"/>
                <w:lang w:val="uk-UA"/>
              </w:rPr>
              <w:t>102354,96</w:t>
            </w:r>
          </w:p>
          <w:p w:rsidR="00A76484" w:rsidRPr="002221E2" w:rsidRDefault="00A76484" w:rsidP="002D4D30">
            <w:pPr>
              <w:widowControl w:val="0"/>
              <w:jc w:val="center"/>
              <w:rPr>
                <w:sz w:val="22"/>
                <w:szCs w:val="22"/>
                <w:lang w:val="uk-UA"/>
              </w:rPr>
            </w:pPr>
            <w:r w:rsidRPr="002221E2">
              <w:rPr>
                <w:sz w:val="22"/>
                <w:szCs w:val="22"/>
                <w:lang w:val="uk-UA"/>
              </w:rPr>
              <w:t xml:space="preserve">грн. без ПДВ </w:t>
            </w:r>
          </w:p>
        </w:tc>
        <w:tc>
          <w:tcPr>
            <w:tcW w:w="936" w:type="pct"/>
          </w:tcPr>
          <w:p w:rsidR="00A76484" w:rsidRPr="007101A5" w:rsidRDefault="00CF5C3A" w:rsidP="002D4D30">
            <w:pPr>
              <w:widowControl w:val="0"/>
              <w:jc w:val="center"/>
              <w:rPr>
                <w:color w:val="0000FF"/>
                <w:sz w:val="22"/>
                <w:szCs w:val="22"/>
                <w:lang w:val="uk-UA"/>
              </w:rPr>
            </w:pPr>
            <w:r w:rsidRPr="002221E2">
              <w:rPr>
                <w:b/>
                <w:sz w:val="22"/>
                <w:szCs w:val="22"/>
                <w:lang w:val="uk-UA"/>
              </w:rPr>
              <w:t>UA-2023-09-07-013567-a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221E2" w:rsidRPr="002221E2" w:rsidTr="002221E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lang w:val="uk-UA"/>
              </w:rPr>
            </w:pPr>
            <w:r w:rsidRPr="002221E2">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lang w:val="uk-UA"/>
              </w:rPr>
            </w:pPr>
            <w:r w:rsidRPr="002221E2">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221E2" w:rsidRPr="002221E2" w:rsidRDefault="002221E2" w:rsidP="002221E2">
            <w:pPr>
              <w:widowControl w:val="0"/>
              <w:jc w:val="both"/>
              <w:rPr>
                <w:b/>
                <w:color w:val="000000"/>
                <w:lang w:val="uk-UA"/>
              </w:rPr>
            </w:pPr>
            <w:r w:rsidRPr="002221E2">
              <w:rPr>
                <w:b/>
                <w:color w:val="000000"/>
                <w:lang w:val="uk-UA"/>
              </w:rPr>
              <w:t>Визначення потреби в закупівлі:</w:t>
            </w:r>
          </w:p>
          <w:p w:rsidR="002221E2" w:rsidRPr="002221E2" w:rsidRDefault="002221E2" w:rsidP="002221E2">
            <w:pPr>
              <w:widowControl w:val="0"/>
              <w:jc w:val="both"/>
              <w:rPr>
                <w:color w:val="000000"/>
                <w:lang w:val="uk-UA"/>
              </w:rPr>
            </w:pPr>
            <w:r w:rsidRPr="002221E2">
              <w:rPr>
                <w:color w:val="000000"/>
                <w:lang w:val="uk-UA"/>
              </w:rPr>
              <w:t xml:space="preserve">Виконання </w:t>
            </w:r>
            <w:r w:rsidRPr="002221E2">
              <w:rPr>
                <w:lang w:val="uk-UA"/>
              </w:rPr>
              <w:t>вимог пункту 3 другої частини статті 16, пункту 2 другої частини статті 27 Закону України  «Про управління відходами» та дотримання</w:t>
            </w:r>
            <w:r w:rsidRPr="002221E2">
              <w:rPr>
                <w:i/>
                <w:lang w:val="uk-UA"/>
              </w:rPr>
              <w:t xml:space="preserve"> </w:t>
            </w:r>
            <w:r w:rsidRPr="002221E2">
              <w:rPr>
                <w:color w:val="000000"/>
                <w:lang w:val="uk-UA"/>
              </w:rPr>
              <w:t xml:space="preserve">терміну зберігання відходів Замовником відповідно </w:t>
            </w:r>
            <w:r w:rsidRPr="002221E2">
              <w:rPr>
                <w:lang w:val="uk-UA"/>
              </w:rPr>
              <w:t>пункту 1 другої частини статті 44 Закону України «Про управління відходами».</w:t>
            </w:r>
          </w:p>
          <w:p w:rsidR="002221E2" w:rsidRPr="002221E2" w:rsidRDefault="002221E2" w:rsidP="002221E2">
            <w:pPr>
              <w:widowControl w:val="0"/>
              <w:jc w:val="both"/>
              <w:rPr>
                <w:lang w:val="uk-UA"/>
              </w:rPr>
            </w:pPr>
            <w:r w:rsidRPr="002221E2">
              <w:rPr>
                <w:lang w:val="uk-UA"/>
              </w:rPr>
              <w:t>Перевезення відходів Замовника здійснюється відповідно до вимог пункт 24 частини першої статті 7 Закону України «Про ліцензування видів господарської діяльності»; постанови КМУ від 09.12.2015 № 1168 «Про затвердження Ліцензійних умов провадження господарської діяльності з перевезення пасажирів, небезпечних вантажів та небезпечних відходів залізничним транспортом»).</w:t>
            </w:r>
          </w:p>
          <w:p w:rsidR="002221E2" w:rsidRPr="002221E2" w:rsidRDefault="002221E2" w:rsidP="002221E2">
            <w:pPr>
              <w:widowControl w:val="0"/>
              <w:jc w:val="both"/>
              <w:rPr>
                <w:i/>
                <w:lang w:val="uk-UA"/>
              </w:rPr>
            </w:pPr>
            <w:r w:rsidRPr="002221E2">
              <w:rPr>
                <w:b/>
                <w:color w:val="000000"/>
                <w:lang w:val="uk-UA"/>
              </w:rPr>
              <w:t>Обґрунтування технічних та якісних характеристик предмета закупівлі:</w:t>
            </w:r>
            <w:r w:rsidRPr="002221E2">
              <w:rPr>
                <w:color w:val="000000"/>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2221E2">
              <w:rPr>
                <w:i/>
                <w:lang w:val="uk-UA"/>
              </w:rPr>
              <w:t xml:space="preserve">  </w:t>
            </w:r>
          </w:p>
        </w:tc>
      </w:tr>
      <w:tr w:rsidR="002221E2" w:rsidRPr="002221E2" w:rsidTr="002221E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bCs/>
                <w:lang w:val="uk-UA"/>
              </w:rPr>
            </w:pPr>
            <w:r w:rsidRPr="002221E2">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lang w:val="uk-UA"/>
              </w:rPr>
            </w:pPr>
            <w:r w:rsidRPr="002221E2">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221E2" w:rsidRPr="002221E2" w:rsidRDefault="002221E2" w:rsidP="002221E2">
            <w:pPr>
              <w:widowControl w:val="0"/>
              <w:jc w:val="both"/>
              <w:rPr>
                <w:color w:val="000000"/>
                <w:lang w:val="uk-UA"/>
              </w:rPr>
            </w:pPr>
            <w:r w:rsidRPr="002221E2">
              <w:rPr>
                <w:b/>
                <w:color w:val="000000"/>
                <w:lang w:val="uk-UA"/>
              </w:rPr>
              <w:t>Обґрунтування очікуваної вартості предмета закупівлі:</w:t>
            </w:r>
            <w:r w:rsidRPr="002221E2">
              <w:rPr>
                <w:color w:val="000000"/>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2221E2" w:rsidRPr="002221E2" w:rsidRDefault="002221E2" w:rsidP="002221E2">
            <w:pPr>
              <w:widowControl w:val="0"/>
              <w:jc w:val="both"/>
              <w:rPr>
                <w:color w:val="000000"/>
                <w:lang w:val="uk-UA"/>
              </w:rPr>
            </w:pPr>
            <w:r w:rsidRPr="002221E2">
              <w:rPr>
                <w:color w:val="000000"/>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p>
          <w:p w:rsidR="002221E2" w:rsidRPr="002221E2" w:rsidRDefault="002221E2" w:rsidP="002221E2">
            <w:pPr>
              <w:widowControl w:val="0"/>
              <w:jc w:val="both"/>
              <w:rPr>
                <w:color w:val="000000"/>
                <w:lang w:val="uk-UA"/>
              </w:rPr>
            </w:pPr>
            <w:r w:rsidRPr="002221E2">
              <w:rPr>
                <w:b/>
                <w:color w:val="000000"/>
                <w:lang w:val="uk-UA"/>
              </w:rPr>
              <w:t>Обґрунтування обсягів закупівлі:</w:t>
            </w:r>
            <w:r w:rsidRPr="002221E2">
              <w:rPr>
                <w:color w:val="000000"/>
                <w:lang w:val="uk-UA"/>
              </w:rPr>
              <w:t xml:space="preserve"> </w:t>
            </w:r>
          </w:p>
          <w:p w:rsidR="002221E2" w:rsidRPr="002221E2" w:rsidRDefault="002221E2" w:rsidP="002221E2">
            <w:pPr>
              <w:widowControl w:val="0"/>
              <w:jc w:val="both"/>
              <w:rPr>
                <w:i/>
                <w:lang w:val="uk-UA"/>
              </w:rPr>
            </w:pPr>
            <w:r w:rsidRPr="002221E2">
              <w:rPr>
                <w:color w:val="000000"/>
                <w:lang w:val="uk-UA"/>
              </w:rPr>
              <w:t>Обсяги визначено відповідно до очікуваної потреби.</w:t>
            </w:r>
          </w:p>
        </w:tc>
      </w:tr>
      <w:tr w:rsidR="002221E2" w:rsidRPr="002221E2" w:rsidTr="002221E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bCs/>
                <w:lang w:val="uk-UA"/>
              </w:rPr>
            </w:pPr>
            <w:r w:rsidRPr="002221E2">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21E2" w:rsidRPr="002221E2" w:rsidRDefault="002221E2" w:rsidP="002221E2">
            <w:pPr>
              <w:rPr>
                <w:lang w:val="uk-UA"/>
              </w:rPr>
            </w:pPr>
            <w:r w:rsidRPr="002221E2">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221E2" w:rsidRPr="002221E2" w:rsidRDefault="002221E2" w:rsidP="002221E2">
            <w:pPr>
              <w:widowControl w:val="0"/>
              <w:jc w:val="both"/>
              <w:rPr>
                <w:b/>
                <w:color w:val="000000"/>
                <w:lang w:val="uk-UA"/>
              </w:rPr>
            </w:pPr>
            <w:r w:rsidRPr="002221E2">
              <w:rPr>
                <w:b/>
                <w:color w:val="000000"/>
                <w:lang w:val="uk-UA"/>
              </w:rPr>
              <w:t>Спосіб проведення моніторингу ринку:</w:t>
            </w:r>
          </w:p>
          <w:p w:rsidR="002221E2" w:rsidRPr="002221E2" w:rsidRDefault="002221E2" w:rsidP="002221E2">
            <w:pPr>
              <w:widowControl w:val="0"/>
              <w:jc w:val="both"/>
              <w:rPr>
                <w:lang w:val="uk-UA"/>
              </w:rPr>
            </w:pPr>
            <w:r w:rsidRPr="002221E2">
              <w:rPr>
                <w:color w:val="000000"/>
                <w:lang w:val="uk-UA"/>
              </w:rPr>
              <w:t xml:space="preserve"> Моніторинг ринку поведено на підставі цінових пропозицій підприємств, що виконують відповідні послуги в межах Київської області. Також враховано досвід попередніх </w:t>
            </w:r>
            <w:proofErr w:type="spellStart"/>
            <w:r w:rsidRPr="002221E2">
              <w:rPr>
                <w:color w:val="000000"/>
                <w:lang w:val="uk-UA"/>
              </w:rPr>
              <w:t>закупівель</w:t>
            </w:r>
            <w:proofErr w:type="spellEnd"/>
            <w:r w:rsidRPr="002221E2">
              <w:rPr>
                <w:color w:val="000000"/>
                <w:lang w:val="uk-UA"/>
              </w:rPr>
              <w:t xml:space="preserve"> ДП МА «Бориспіль» (договір № 35.1-14/8.7-00015 від 03.10.2022).</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6"/>
        <w:gridCol w:w="2041"/>
        <w:gridCol w:w="1796"/>
        <w:gridCol w:w="987"/>
        <w:gridCol w:w="1134"/>
        <w:gridCol w:w="3974"/>
      </w:tblGrid>
      <w:tr w:rsidR="002221E2" w:rsidRPr="00315EB9" w:rsidTr="00A77899">
        <w:trPr>
          <w:tblHeader/>
          <w:jc w:val="center"/>
        </w:trPr>
        <w:tc>
          <w:tcPr>
            <w:tcW w:w="826" w:type="dxa"/>
            <w:shd w:val="clear" w:color="auto" w:fill="D9D9D9" w:themeFill="background1" w:themeFillShade="D9"/>
          </w:tcPr>
          <w:p w:rsidR="002221E2" w:rsidRPr="004A7B36" w:rsidRDefault="002221E2" w:rsidP="00A77899">
            <w:pPr>
              <w:widowControl w:val="0"/>
              <w:spacing w:line="259" w:lineRule="auto"/>
              <w:contextualSpacing/>
              <w:rPr>
                <w:b/>
                <w:sz w:val="20"/>
                <w:szCs w:val="20"/>
                <w:lang w:val="uk-UA"/>
              </w:rPr>
            </w:pPr>
            <w:r w:rsidRPr="004A7B36">
              <w:rPr>
                <w:b/>
                <w:sz w:val="20"/>
                <w:szCs w:val="20"/>
                <w:lang w:val="uk-UA"/>
              </w:rPr>
              <w:t>№ п/п</w:t>
            </w:r>
          </w:p>
        </w:tc>
        <w:tc>
          <w:tcPr>
            <w:tcW w:w="2041" w:type="dxa"/>
            <w:shd w:val="clear" w:color="auto" w:fill="D9D9D9" w:themeFill="background1" w:themeFillShade="D9"/>
          </w:tcPr>
          <w:p w:rsidR="002221E2" w:rsidRPr="004A7B36" w:rsidRDefault="002221E2" w:rsidP="00A77899">
            <w:pPr>
              <w:widowControl w:val="0"/>
              <w:contextualSpacing/>
              <w:jc w:val="center"/>
              <w:rPr>
                <w:b/>
                <w:sz w:val="20"/>
                <w:szCs w:val="20"/>
                <w:lang w:val="uk-UA"/>
              </w:rPr>
            </w:pPr>
            <w:r w:rsidRPr="004A7B36">
              <w:rPr>
                <w:b/>
                <w:sz w:val="20"/>
                <w:szCs w:val="20"/>
                <w:lang w:val="uk-UA"/>
              </w:rPr>
              <w:t xml:space="preserve">Найменування послуги </w:t>
            </w:r>
          </w:p>
        </w:tc>
        <w:tc>
          <w:tcPr>
            <w:tcW w:w="1796" w:type="dxa"/>
            <w:shd w:val="clear" w:color="auto" w:fill="D9D9D9" w:themeFill="background1" w:themeFillShade="D9"/>
          </w:tcPr>
          <w:p w:rsidR="002221E2" w:rsidRPr="00315EB9" w:rsidRDefault="002221E2" w:rsidP="00A77899">
            <w:pPr>
              <w:widowControl w:val="0"/>
              <w:contextualSpacing/>
              <w:jc w:val="center"/>
              <w:rPr>
                <w:b/>
                <w:sz w:val="20"/>
                <w:szCs w:val="20"/>
                <w:lang w:val="uk-UA"/>
              </w:rPr>
            </w:pPr>
            <w:r w:rsidRPr="00315EB9">
              <w:rPr>
                <w:b/>
                <w:sz w:val="20"/>
                <w:szCs w:val="20"/>
                <w:lang w:val="uk-UA"/>
              </w:rPr>
              <w:t xml:space="preserve">Код та назва відходу за </w:t>
            </w:r>
          </w:p>
          <w:p w:rsidR="002221E2" w:rsidRPr="00315EB9" w:rsidRDefault="002221E2" w:rsidP="00A77899">
            <w:pPr>
              <w:widowControl w:val="0"/>
              <w:contextualSpacing/>
              <w:jc w:val="center"/>
              <w:rPr>
                <w:b/>
                <w:sz w:val="20"/>
                <w:szCs w:val="20"/>
                <w:lang w:val="uk-UA"/>
              </w:rPr>
            </w:pPr>
            <w:r w:rsidRPr="00315EB9">
              <w:rPr>
                <w:b/>
                <w:sz w:val="20"/>
                <w:szCs w:val="20"/>
                <w:lang w:val="uk-UA"/>
              </w:rPr>
              <w:t>Національним переліком відходів</w:t>
            </w:r>
          </w:p>
        </w:tc>
        <w:tc>
          <w:tcPr>
            <w:tcW w:w="987" w:type="dxa"/>
            <w:shd w:val="clear" w:color="auto" w:fill="D9D9D9" w:themeFill="background1" w:themeFillShade="D9"/>
            <w:hideMark/>
          </w:tcPr>
          <w:p w:rsidR="002221E2" w:rsidRPr="00315EB9" w:rsidRDefault="002221E2" w:rsidP="00A77899">
            <w:pPr>
              <w:widowControl w:val="0"/>
              <w:contextualSpacing/>
              <w:jc w:val="center"/>
              <w:rPr>
                <w:b/>
                <w:sz w:val="20"/>
                <w:szCs w:val="20"/>
                <w:lang w:val="uk-UA"/>
              </w:rPr>
            </w:pPr>
            <w:r w:rsidRPr="00315EB9">
              <w:rPr>
                <w:b/>
                <w:sz w:val="20"/>
                <w:szCs w:val="20"/>
                <w:lang w:val="uk-UA"/>
              </w:rPr>
              <w:t>Од.</w:t>
            </w:r>
          </w:p>
          <w:p w:rsidR="002221E2" w:rsidRPr="00315EB9" w:rsidRDefault="002221E2" w:rsidP="00A77899">
            <w:pPr>
              <w:widowControl w:val="0"/>
              <w:contextualSpacing/>
              <w:jc w:val="center"/>
              <w:rPr>
                <w:b/>
                <w:sz w:val="20"/>
                <w:szCs w:val="20"/>
                <w:lang w:val="uk-UA"/>
              </w:rPr>
            </w:pPr>
            <w:r w:rsidRPr="00315EB9">
              <w:rPr>
                <w:b/>
                <w:sz w:val="20"/>
                <w:szCs w:val="20"/>
                <w:lang w:val="uk-UA"/>
              </w:rPr>
              <w:t>виміру</w:t>
            </w:r>
          </w:p>
        </w:tc>
        <w:tc>
          <w:tcPr>
            <w:tcW w:w="1134" w:type="dxa"/>
            <w:shd w:val="clear" w:color="auto" w:fill="D9D9D9" w:themeFill="background1" w:themeFillShade="D9"/>
          </w:tcPr>
          <w:p w:rsidR="002221E2" w:rsidRPr="00315EB9" w:rsidRDefault="002221E2" w:rsidP="00A77899">
            <w:pPr>
              <w:widowControl w:val="0"/>
              <w:contextualSpacing/>
              <w:jc w:val="center"/>
              <w:rPr>
                <w:b/>
                <w:sz w:val="20"/>
                <w:szCs w:val="20"/>
                <w:lang w:val="uk-UA"/>
              </w:rPr>
            </w:pPr>
            <w:r w:rsidRPr="00315EB9">
              <w:rPr>
                <w:b/>
                <w:sz w:val="20"/>
                <w:szCs w:val="20"/>
                <w:lang w:val="uk-UA"/>
              </w:rPr>
              <w:t>Кількість</w:t>
            </w:r>
          </w:p>
          <w:p w:rsidR="002221E2" w:rsidRPr="00315EB9" w:rsidRDefault="002221E2" w:rsidP="00A77899">
            <w:pPr>
              <w:widowControl w:val="0"/>
              <w:contextualSpacing/>
              <w:jc w:val="center"/>
              <w:rPr>
                <w:b/>
                <w:sz w:val="20"/>
                <w:szCs w:val="20"/>
                <w:lang w:val="uk-UA"/>
              </w:rPr>
            </w:pPr>
          </w:p>
        </w:tc>
        <w:tc>
          <w:tcPr>
            <w:tcW w:w="3974" w:type="dxa"/>
            <w:shd w:val="clear" w:color="auto" w:fill="D9D9D9" w:themeFill="background1" w:themeFillShade="D9"/>
            <w:hideMark/>
          </w:tcPr>
          <w:p w:rsidR="002221E2" w:rsidRPr="005E58C1" w:rsidRDefault="002221E2" w:rsidP="00A77899">
            <w:pPr>
              <w:widowControl w:val="0"/>
              <w:jc w:val="center"/>
              <w:rPr>
                <w:b/>
                <w:sz w:val="20"/>
                <w:szCs w:val="20"/>
                <w:lang w:val="uk-UA"/>
              </w:rPr>
            </w:pPr>
            <w:r w:rsidRPr="005E58C1">
              <w:rPr>
                <w:b/>
                <w:sz w:val="20"/>
                <w:szCs w:val="20"/>
                <w:lang w:val="uk-UA"/>
              </w:rPr>
              <w:t>Технічні та якісні характеристики предмета закупівлі</w:t>
            </w:r>
          </w:p>
          <w:p w:rsidR="002221E2" w:rsidRPr="005E58C1" w:rsidRDefault="002221E2" w:rsidP="00A77899">
            <w:pPr>
              <w:widowControl w:val="0"/>
              <w:jc w:val="center"/>
              <w:rPr>
                <w:b/>
                <w:sz w:val="20"/>
                <w:szCs w:val="20"/>
                <w:lang w:val="uk-UA"/>
              </w:rPr>
            </w:pPr>
            <w:r w:rsidRPr="005E58C1">
              <w:rPr>
                <w:b/>
                <w:sz w:val="20"/>
                <w:szCs w:val="20"/>
                <w:lang w:val="uk-UA"/>
              </w:rPr>
              <w:t>(Технічна специфікація)</w:t>
            </w:r>
          </w:p>
          <w:p w:rsidR="002221E2" w:rsidRPr="00315EB9" w:rsidRDefault="002221E2" w:rsidP="00A77899">
            <w:pPr>
              <w:widowControl w:val="0"/>
              <w:contextualSpacing/>
              <w:jc w:val="center"/>
              <w:rPr>
                <w:b/>
                <w:sz w:val="20"/>
                <w:szCs w:val="20"/>
                <w:lang w:val="uk-UA"/>
              </w:rPr>
            </w:pPr>
            <w:r w:rsidRPr="00315EB9">
              <w:rPr>
                <w:b/>
                <w:sz w:val="20"/>
                <w:szCs w:val="20"/>
                <w:lang w:val="uk-UA"/>
              </w:rPr>
              <w:t xml:space="preserve"> (</w:t>
            </w:r>
            <w:r w:rsidRPr="00315EB9">
              <w:rPr>
                <w:b/>
                <w:i/>
                <w:sz w:val="20"/>
                <w:szCs w:val="20"/>
                <w:lang w:val="uk-UA"/>
              </w:rPr>
              <w:t xml:space="preserve">Найменування відходу відповідно до </w:t>
            </w:r>
            <w:r w:rsidRPr="00315EB9">
              <w:rPr>
                <w:b/>
                <w:i/>
                <w:color w:val="000000"/>
                <w:sz w:val="20"/>
                <w:szCs w:val="20"/>
                <w:lang w:val="uk-UA"/>
              </w:rPr>
              <w:t>Переліку видів небезпечних відходів, на поводження з якими видана ліцензія</w:t>
            </w:r>
            <w:r w:rsidRPr="00315EB9">
              <w:rPr>
                <w:b/>
                <w:color w:val="000000"/>
                <w:sz w:val="20"/>
                <w:szCs w:val="20"/>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bCs/>
                <w:sz w:val="20"/>
                <w:szCs w:val="20"/>
                <w:lang w:val="uk-UA"/>
              </w:rPr>
              <w:t xml:space="preserve">Відпрацьовані  масляні фільтри </w:t>
            </w:r>
          </w:p>
        </w:tc>
        <w:tc>
          <w:tcPr>
            <w:tcW w:w="1796" w:type="dxa"/>
          </w:tcPr>
          <w:p w:rsidR="002221E2" w:rsidRPr="00315EB9" w:rsidRDefault="002221E2" w:rsidP="00A77899">
            <w:pPr>
              <w:tabs>
                <w:tab w:val="left" w:pos="27"/>
              </w:tabs>
              <w:suppressAutoHyphens/>
              <w:spacing w:line="240" w:lineRule="atLeast"/>
              <w:ind w:left="27"/>
              <w:contextualSpacing/>
              <w:rPr>
                <w:color w:val="000000"/>
                <w:sz w:val="20"/>
                <w:szCs w:val="20"/>
                <w:lang w:val="uk-UA" w:eastAsia="uk-UA"/>
              </w:rPr>
            </w:pPr>
            <w:r w:rsidRPr="00315EB9">
              <w:rPr>
                <w:color w:val="000000"/>
                <w:sz w:val="20"/>
                <w:szCs w:val="20"/>
                <w:lang w:val="uk-UA" w:eastAsia="uk-UA"/>
              </w:rPr>
              <w:t>16 01 07*</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Масляні фільтри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i/>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w:t>
            </w:r>
            <w:r>
              <w:rPr>
                <w:i/>
                <w:color w:val="FF0000"/>
                <w:sz w:val="18"/>
                <w:szCs w:val="18"/>
                <w:shd w:val="clear" w:color="auto" w:fill="FFFFFF"/>
                <w:lang w:val="uk-UA"/>
              </w:rPr>
              <w:lastRenderedPageBreak/>
              <w:t xml:space="preserve">частині) </w:t>
            </w:r>
            <w:r w:rsidRPr="00315EB9">
              <w:rPr>
                <w:i/>
                <w:color w:val="FF0000"/>
                <w:sz w:val="18"/>
                <w:szCs w:val="18"/>
                <w:shd w:val="clear" w:color="auto" w:fill="FFFFFF"/>
                <w:lang w:val="uk-UA"/>
              </w:rPr>
              <w:t xml:space="preserve"> зазначає </w:t>
            </w:r>
          </w:p>
          <w:p w:rsidR="002221E2" w:rsidRPr="0043536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 xml:space="preserve">Ліцензії на провадження господарської діяльності з поводження з небезпечними </w:t>
            </w:r>
            <w:r w:rsidRPr="00435362">
              <w:rPr>
                <w:i/>
                <w:color w:val="FF0000"/>
                <w:sz w:val="18"/>
                <w:szCs w:val="18"/>
                <w:shd w:val="clear" w:color="auto" w:fill="FFFFFF"/>
                <w:lang w:val="uk-UA"/>
              </w:rPr>
              <w:t>відходами,</w:t>
            </w:r>
            <w:r w:rsidRPr="00435362">
              <w:rPr>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435362">
              <w:rPr>
                <w:i/>
                <w:color w:val="FF0000"/>
                <w:sz w:val="18"/>
                <w:szCs w:val="18"/>
                <w:lang w:val="uk-UA"/>
              </w:rPr>
              <w:t>та</w:t>
            </w:r>
            <w:r w:rsidRPr="00435362">
              <w:rPr>
                <w:b/>
                <w:bCs/>
                <w:i/>
                <w:color w:val="FF0000"/>
                <w:sz w:val="18"/>
                <w:szCs w:val="18"/>
                <w:lang w:val="uk-UA"/>
              </w:rPr>
              <w:t xml:space="preserve"> операції поводження </w:t>
            </w:r>
            <w:r w:rsidRPr="00435362">
              <w:rPr>
                <w:i/>
                <w:color w:val="FF0000"/>
                <w:sz w:val="18"/>
                <w:szCs w:val="18"/>
                <w:lang w:val="uk-UA"/>
              </w:rPr>
              <w:t>з відходом</w:t>
            </w:r>
            <w:r w:rsidRPr="00435362">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bCs/>
                <w:sz w:val="20"/>
                <w:szCs w:val="20"/>
                <w:lang w:val="uk-UA"/>
              </w:rPr>
              <w:t xml:space="preserve">Відпрацьований абсорбент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15 02 02 *</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0,13</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bCs/>
                <w:sz w:val="20"/>
                <w:szCs w:val="20"/>
                <w:lang w:val="uk-UA"/>
              </w:rPr>
              <w:t xml:space="preserve">Пісок з домішками нафтопродуктів </w:t>
            </w:r>
            <w:r w:rsidRPr="005E58C1">
              <w:rPr>
                <w:bCs/>
                <w:sz w:val="20"/>
                <w:szCs w:val="20"/>
                <w:lang w:val="uk-UA"/>
              </w:rPr>
              <w:t>(відпрацьований абсорбент)</w:t>
            </w:r>
            <w:r w:rsidRPr="00315EB9">
              <w:rPr>
                <w:bCs/>
                <w:sz w:val="20"/>
                <w:szCs w:val="20"/>
                <w:lang w:val="uk-UA"/>
              </w:rPr>
              <w:t xml:space="preserve">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15 02 02 *</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 xml:space="preserve">Абсорбенти, фільтрувальні матеріали (включаючи оливні фільтри інакше не зазначені), обтиральне ганчір’я та захисний одяг, забруднені небезпечними </w:t>
            </w:r>
            <w:r w:rsidRPr="00315EB9">
              <w:rPr>
                <w:color w:val="000000"/>
                <w:sz w:val="20"/>
                <w:szCs w:val="20"/>
                <w:lang w:val="uk-UA" w:eastAsia="uk-UA"/>
              </w:rPr>
              <w:lastRenderedPageBreak/>
              <w:t>речовинами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lastRenderedPageBreak/>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0,16</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lastRenderedPageBreak/>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bCs/>
                <w:sz w:val="20"/>
                <w:szCs w:val="20"/>
                <w:lang w:val="uk-UA"/>
              </w:rPr>
              <w:t xml:space="preserve">Відпрацьовані </w:t>
            </w:r>
            <w:proofErr w:type="spellStart"/>
            <w:r w:rsidRPr="00315EB9">
              <w:rPr>
                <w:bCs/>
                <w:sz w:val="20"/>
                <w:szCs w:val="20"/>
                <w:lang w:val="uk-UA"/>
              </w:rPr>
              <w:t>фільтроелементи</w:t>
            </w:r>
            <w:proofErr w:type="spellEnd"/>
            <w:r w:rsidRPr="00315EB9">
              <w:rPr>
                <w:bCs/>
                <w:sz w:val="20"/>
                <w:szCs w:val="20"/>
                <w:lang w:val="uk-UA"/>
              </w:rPr>
              <w:t xml:space="preserve"> </w:t>
            </w:r>
          </w:p>
        </w:tc>
        <w:tc>
          <w:tcPr>
            <w:tcW w:w="1796" w:type="dxa"/>
          </w:tcPr>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16 07 09*</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Відходи, що містять інші небезпечні речовини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 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bCs/>
                <w:sz w:val="20"/>
                <w:szCs w:val="20"/>
                <w:lang w:val="uk-UA"/>
              </w:rPr>
              <w:t xml:space="preserve">Ганчір’я, забруднене ПММ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15 02 02*</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0,24</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нафтопродукти, не придатні для використання за призначенням (у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Відпрацьовані нафтопродукти, не придатні для</w:t>
            </w:r>
            <w:r>
              <w:rPr>
                <w:sz w:val="20"/>
                <w:szCs w:val="20"/>
                <w:lang w:val="uk-UA"/>
              </w:rPr>
              <w:t xml:space="preserve"> використання за призначенням (</w:t>
            </w:r>
            <w:r w:rsidRPr="00315EB9">
              <w:rPr>
                <w:sz w:val="20"/>
                <w:szCs w:val="20"/>
                <w:lang w:val="uk-UA"/>
              </w:rPr>
              <w:t xml:space="preserve">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Відпрацьовані люмінесцентні лампи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20 01 21*</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 xml:space="preserve">Люмінесцентні лампи та інші </w:t>
            </w:r>
            <w:proofErr w:type="spellStart"/>
            <w:r w:rsidRPr="00315EB9">
              <w:rPr>
                <w:color w:val="000000"/>
                <w:sz w:val="20"/>
                <w:szCs w:val="20"/>
                <w:lang w:val="uk-UA" w:eastAsia="uk-UA"/>
              </w:rPr>
              <w:t>ртутьвмісні</w:t>
            </w:r>
            <w:proofErr w:type="spellEnd"/>
            <w:r w:rsidRPr="00315EB9">
              <w:rPr>
                <w:color w:val="000000"/>
                <w:sz w:val="20"/>
                <w:szCs w:val="20"/>
                <w:lang w:val="uk-UA" w:eastAsia="uk-UA"/>
              </w:rPr>
              <w:t xml:space="preserve"> відходи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шт.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10000</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що містять як складові або забруднювачі ртуть, сполуки ртуті (у </w:t>
            </w:r>
            <w:proofErr w:type="spellStart"/>
            <w:r w:rsidRPr="00315EB9">
              <w:rPr>
                <w:sz w:val="20"/>
                <w:szCs w:val="20"/>
                <w:lang w:val="uk-UA"/>
              </w:rPr>
              <w:t>т.ч</w:t>
            </w:r>
            <w:proofErr w:type="spellEnd"/>
            <w:r w:rsidRPr="00315EB9">
              <w:rPr>
                <w:sz w:val="20"/>
                <w:szCs w:val="20"/>
                <w:lang w:val="uk-UA"/>
              </w:rPr>
              <w:t xml:space="preserve">. відпрацьовані люмінесцентні лампи та ртутні лампи)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Відходи, що містять як складові або забруднювачі ртуть, сполуки ртуті (у </w:t>
            </w:r>
            <w:proofErr w:type="spellStart"/>
            <w:r w:rsidRPr="00315EB9">
              <w:rPr>
                <w:sz w:val="20"/>
                <w:szCs w:val="20"/>
                <w:lang w:val="uk-UA"/>
              </w:rPr>
              <w:t>т.ч</w:t>
            </w:r>
            <w:proofErr w:type="spellEnd"/>
            <w:r w:rsidRPr="00315EB9">
              <w:rPr>
                <w:sz w:val="20"/>
                <w:szCs w:val="20"/>
                <w:lang w:val="uk-UA"/>
              </w:rPr>
              <w:t>. відпрацьовані люмінесцентні лампи та прилади, що містять ртуть)</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Відходи, що містять як складові або забруднювачі ртуть, сполуки ртуті</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Ртуть, сполуки ртуті</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А1030 (Відходи, що включають в якості складових елементів або забруднювачів ртуть; сполуки ртуті)</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lastRenderedPageBreak/>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Залишки очищення резервуарів</w:t>
            </w:r>
          </w:p>
          <w:p w:rsidR="002221E2" w:rsidRPr="00315EB9" w:rsidRDefault="002221E2" w:rsidP="00A77899">
            <w:pPr>
              <w:widowControl w:val="0"/>
              <w:spacing w:line="259" w:lineRule="auto"/>
              <w:contextualSpacing/>
              <w:jc w:val="both"/>
              <w:rPr>
                <w:bCs/>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ind w:left="27"/>
              <w:contextualSpacing/>
              <w:rPr>
                <w:sz w:val="20"/>
                <w:szCs w:val="20"/>
                <w:lang w:val="uk-UA" w:eastAsia="uk-UA"/>
              </w:rPr>
            </w:pPr>
            <w:r w:rsidRPr="00315EB9">
              <w:rPr>
                <w:sz w:val="20"/>
                <w:szCs w:val="20"/>
                <w:lang w:val="uk-UA" w:eastAsia="uk-UA"/>
              </w:rPr>
              <w:t xml:space="preserve">16 07 08* </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eastAsia="uk-UA"/>
              </w:rPr>
              <w:t>Відходи, що містять оливи та нафтопродукти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0,4</w:t>
            </w:r>
          </w:p>
        </w:tc>
        <w:tc>
          <w:tcPr>
            <w:tcW w:w="3974" w:type="dxa"/>
          </w:tcPr>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Відпрацьовані нафтопродукти, не придатні для використання за приз</w:t>
            </w:r>
            <w:r>
              <w:rPr>
                <w:sz w:val="20"/>
                <w:szCs w:val="20"/>
                <w:lang w:val="uk-UA"/>
              </w:rPr>
              <w:t>наченням (</w:t>
            </w:r>
            <w:r w:rsidRPr="00315EB9">
              <w:rPr>
                <w:sz w:val="20"/>
                <w:szCs w:val="20"/>
                <w:lang w:val="uk-UA"/>
              </w:rPr>
              <w:t xml:space="preserve">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Відходи сумішей масло/вода, вуглеводні/вода, емульсії</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Відпрацьовані нафтопродукти, не придатні для</w:t>
            </w:r>
            <w:r>
              <w:rPr>
                <w:sz w:val="20"/>
                <w:szCs w:val="20"/>
                <w:lang w:val="uk-UA"/>
              </w:rPr>
              <w:t xml:space="preserve"> використання за призначенням (</w:t>
            </w:r>
            <w:r w:rsidRPr="00315EB9">
              <w:rPr>
                <w:sz w:val="20"/>
                <w:szCs w:val="20"/>
                <w:lang w:val="uk-UA"/>
              </w:rPr>
              <w:t xml:space="preserve">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keepNext/>
              <w:keepLines/>
              <w:spacing w:line="259" w:lineRule="auto"/>
              <w:contextualSpacing/>
              <w:jc w:val="both"/>
              <w:rPr>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4A7B36" w:rsidRDefault="002221E2" w:rsidP="00A77899">
            <w:pPr>
              <w:spacing w:line="259" w:lineRule="auto"/>
              <w:contextualSpacing/>
              <w:jc w:val="both"/>
              <w:rPr>
                <w:sz w:val="20"/>
                <w:szCs w:val="20"/>
                <w:lang w:val="uk-UA"/>
              </w:rPr>
            </w:pPr>
            <w:r w:rsidRPr="00315EB9">
              <w:rPr>
                <w:sz w:val="20"/>
                <w:szCs w:val="20"/>
                <w:lang w:val="uk-UA"/>
              </w:rPr>
              <w:t xml:space="preserve">Використані вироби  медичного </w:t>
            </w:r>
            <w:r w:rsidRPr="00315EB9">
              <w:rPr>
                <w:sz w:val="20"/>
                <w:szCs w:val="20"/>
                <w:lang w:val="uk-UA"/>
              </w:rPr>
              <w:lastRenderedPageBreak/>
              <w:t xml:space="preserve">призначення інші </w:t>
            </w:r>
            <w:r w:rsidRPr="004A7B36">
              <w:rPr>
                <w:sz w:val="20"/>
                <w:szCs w:val="20"/>
                <w:lang w:val="uk-UA"/>
              </w:rPr>
              <w:t xml:space="preserve">(у </w:t>
            </w:r>
            <w:proofErr w:type="spellStart"/>
            <w:r w:rsidRPr="004A7B36">
              <w:rPr>
                <w:sz w:val="20"/>
                <w:szCs w:val="20"/>
                <w:lang w:val="uk-UA"/>
              </w:rPr>
              <w:t>т.ч</w:t>
            </w:r>
            <w:proofErr w:type="spellEnd"/>
            <w:r w:rsidRPr="004A7B36">
              <w:rPr>
                <w:sz w:val="20"/>
                <w:szCs w:val="20"/>
                <w:lang w:val="uk-UA"/>
              </w:rPr>
              <w:t xml:space="preserve">. шприці) </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lastRenderedPageBreak/>
              <w:t>18 02 03</w:t>
            </w:r>
          </w:p>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 xml:space="preserve">Відходи, збирання та видалення яких обумовлено спеціальними вимогами для запобігання </w:t>
            </w:r>
            <w:r w:rsidRPr="00315EB9">
              <w:rPr>
                <w:color w:val="000000"/>
                <w:sz w:val="20"/>
                <w:szCs w:val="20"/>
                <w:lang w:val="uk-UA" w:eastAsia="uk-UA"/>
              </w:rPr>
              <w:lastRenderedPageBreak/>
              <w:t>виникненню інфекції</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w:t>
            </w:r>
            <w:r w:rsidRPr="00315EB9">
              <w:rPr>
                <w:sz w:val="20"/>
                <w:szCs w:val="20"/>
                <w:lang w:val="uk-UA"/>
              </w:rPr>
              <w:t>Медичні відходи категорії В)</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lastRenderedPageBreak/>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0,008</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w:t>
            </w:r>
            <w:r w:rsidRPr="00315EB9">
              <w:rPr>
                <w:sz w:val="20"/>
                <w:szCs w:val="20"/>
                <w:lang w:val="uk-UA"/>
              </w:rPr>
              <w:lastRenderedPageBreak/>
              <w:t xml:space="preserve">тобто відходи, які утворюються внаслідок медичної, </w:t>
            </w:r>
            <w:proofErr w:type="spellStart"/>
            <w:r w:rsidRPr="00315EB9">
              <w:rPr>
                <w:sz w:val="20"/>
                <w:szCs w:val="20"/>
                <w:lang w:val="uk-UA"/>
              </w:rPr>
              <w:t>парамедичної</w:t>
            </w:r>
            <w:proofErr w:type="spellEnd"/>
            <w:r w:rsidRPr="00315EB9">
              <w:rPr>
                <w:sz w:val="20"/>
                <w:szCs w:val="20"/>
                <w:lang w:val="uk-UA"/>
              </w:rPr>
              <w:t>, зуболікарської,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4A7B36" w:rsidRDefault="002221E2" w:rsidP="00A77899">
            <w:pPr>
              <w:spacing w:line="259" w:lineRule="auto"/>
              <w:contextualSpacing/>
              <w:jc w:val="both"/>
              <w:rPr>
                <w:sz w:val="20"/>
                <w:szCs w:val="20"/>
                <w:lang w:val="uk-UA"/>
              </w:rPr>
            </w:pPr>
            <w:r w:rsidRPr="00315EB9">
              <w:rPr>
                <w:sz w:val="20"/>
                <w:szCs w:val="20"/>
                <w:lang w:val="uk-UA"/>
              </w:rPr>
              <w:t xml:space="preserve">Використані вироби медичного призначення інші </w:t>
            </w:r>
            <w:r w:rsidRPr="004A7B36">
              <w:rPr>
                <w:sz w:val="20"/>
                <w:szCs w:val="20"/>
                <w:lang w:val="uk-UA"/>
              </w:rPr>
              <w:t xml:space="preserve">(у </w:t>
            </w:r>
            <w:proofErr w:type="spellStart"/>
            <w:r w:rsidRPr="004A7B36">
              <w:rPr>
                <w:sz w:val="20"/>
                <w:szCs w:val="20"/>
                <w:lang w:val="uk-UA"/>
              </w:rPr>
              <w:t>т.ч</w:t>
            </w:r>
            <w:proofErr w:type="spellEnd"/>
            <w:r w:rsidRPr="004A7B36">
              <w:rPr>
                <w:sz w:val="20"/>
                <w:szCs w:val="20"/>
                <w:lang w:val="uk-UA"/>
              </w:rPr>
              <w:t xml:space="preserve">. латексні рукавиці) </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18 02 03</w:t>
            </w:r>
          </w:p>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Відходи, збирання та видалення яких обумовлено спеціальними вимогами для запобігання виникненню інфекції</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w:t>
            </w:r>
            <w:r w:rsidRPr="00315EB9">
              <w:rPr>
                <w:sz w:val="20"/>
                <w:szCs w:val="20"/>
                <w:lang w:val="uk-UA"/>
              </w:rPr>
              <w:t>Медичні відходи категорії В)</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0,009</w:t>
            </w:r>
          </w:p>
        </w:tc>
        <w:tc>
          <w:tcPr>
            <w:tcW w:w="3974" w:type="dxa"/>
          </w:tcPr>
          <w:p w:rsidR="002221E2" w:rsidRPr="00315EB9" w:rsidRDefault="002221E2" w:rsidP="00A77899">
            <w:pPr>
              <w:widowControl w:val="0"/>
              <w:spacing w:line="259" w:lineRule="auto"/>
              <w:contextualSpacing/>
              <w:jc w:val="both"/>
              <w:rPr>
                <w:i/>
                <w:sz w:val="20"/>
                <w:szCs w:val="20"/>
                <w:lang w:val="uk-UA"/>
              </w:rPr>
            </w:pPr>
            <w:r w:rsidRPr="00315EB9">
              <w:rPr>
                <w:sz w:val="20"/>
                <w:szCs w:val="20"/>
                <w:lang w:val="uk-UA"/>
              </w:rPr>
              <w:t>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w:t>
            </w:r>
            <w:r w:rsidRPr="00315EB9">
              <w:rPr>
                <w:i/>
                <w:sz w:val="20"/>
                <w:szCs w:val="20"/>
                <w:lang w:val="uk-UA"/>
              </w:rPr>
              <w:t xml:space="preserve">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тобто відходи, які утворюються внаслідок медичної, </w:t>
            </w:r>
            <w:proofErr w:type="spellStart"/>
            <w:r w:rsidRPr="00315EB9">
              <w:rPr>
                <w:sz w:val="20"/>
                <w:szCs w:val="20"/>
                <w:lang w:val="uk-UA"/>
              </w:rPr>
              <w:t>парамедичної</w:t>
            </w:r>
            <w:proofErr w:type="spellEnd"/>
            <w:r w:rsidRPr="00315EB9">
              <w:rPr>
                <w:sz w:val="20"/>
                <w:szCs w:val="20"/>
                <w:lang w:val="uk-UA"/>
              </w:rPr>
              <w:t>, зуболікарської,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spacing w:line="259" w:lineRule="auto"/>
              <w:contextualSpacing/>
              <w:jc w:val="both"/>
              <w:rPr>
                <w:sz w:val="20"/>
                <w:szCs w:val="20"/>
                <w:lang w:val="uk-UA"/>
              </w:rPr>
            </w:pPr>
            <w:r w:rsidRPr="00315EB9">
              <w:rPr>
                <w:sz w:val="20"/>
                <w:szCs w:val="20"/>
                <w:lang w:val="uk-UA"/>
              </w:rPr>
              <w:t>Голки медичні використані</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18 02 01</w:t>
            </w:r>
          </w:p>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Гострі інструменти (за винятком 18 02 02)</w:t>
            </w:r>
          </w:p>
          <w:p w:rsidR="002221E2" w:rsidRPr="00315EB9" w:rsidRDefault="002221E2" w:rsidP="00A77899">
            <w:pPr>
              <w:widowControl w:val="0"/>
              <w:spacing w:line="259" w:lineRule="auto"/>
              <w:ind w:left="27"/>
              <w:contextualSpacing/>
              <w:jc w:val="both"/>
              <w:rPr>
                <w:sz w:val="20"/>
                <w:szCs w:val="20"/>
                <w:lang w:val="uk-UA"/>
              </w:rPr>
            </w:pPr>
            <w:r w:rsidRPr="00315EB9">
              <w:rPr>
                <w:sz w:val="20"/>
                <w:szCs w:val="20"/>
                <w:lang w:val="uk-UA"/>
              </w:rPr>
              <w:t>(Медичні відходи категорії В (гострі предмети)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тобто відходи, які утворюються внаслідок </w:t>
            </w:r>
            <w:r w:rsidRPr="00315EB9">
              <w:rPr>
                <w:sz w:val="20"/>
                <w:szCs w:val="20"/>
                <w:lang w:val="uk-UA"/>
              </w:rPr>
              <w:lastRenderedPageBreak/>
              <w:t xml:space="preserve">медичної, </w:t>
            </w:r>
            <w:proofErr w:type="spellStart"/>
            <w:r w:rsidRPr="00315EB9">
              <w:rPr>
                <w:sz w:val="20"/>
                <w:szCs w:val="20"/>
                <w:lang w:val="uk-UA"/>
              </w:rPr>
              <w:t>парамедичної</w:t>
            </w:r>
            <w:proofErr w:type="spellEnd"/>
            <w:r w:rsidRPr="00315EB9">
              <w:rPr>
                <w:sz w:val="20"/>
                <w:szCs w:val="20"/>
                <w:lang w:val="uk-UA"/>
              </w:rPr>
              <w:t>, зуболікарської,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spacing w:line="259" w:lineRule="auto"/>
              <w:contextualSpacing/>
              <w:jc w:val="both"/>
              <w:rPr>
                <w:sz w:val="20"/>
                <w:szCs w:val="20"/>
                <w:lang w:val="uk-UA"/>
              </w:rPr>
            </w:pPr>
            <w:r w:rsidRPr="00315EB9">
              <w:rPr>
                <w:sz w:val="20"/>
                <w:szCs w:val="20"/>
                <w:lang w:val="uk-UA"/>
              </w:rPr>
              <w:t xml:space="preserve">Використані одноразові вироби діагностичного обладнання </w:t>
            </w:r>
            <w:r w:rsidRPr="004A7B36">
              <w:rPr>
                <w:sz w:val="20"/>
                <w:szCs w:val="20"/>
                <w:lang w:val="uk-UA"/>
              </w:rPr>
              <w:t xml:space="preserve">(мундштуки до </w:t>
            </w:r>
            <w:proofErr w:type="spellStart"/>
            <w:r w:rsidRPr="004A7B36">
              <w:rPr>
                <w:sz w:val="20"/>
                <w:szCs w:val="20"/>
                <w:lang w:val="uk-UA"/>
              </w:rPr>
              <w:t>алкотестерів</w:t>
            </w:r>
            <w:proofErr w:type="spellEnd"/>
            <w:r w:rsidRPr="004A7B36">
              <w:rPr>
                <w:sz w:val="20"/>
                <w:szCs w:val="20"/>
                <w:lang w:val="uk-UA"/>
              </w:rPr>
              <w:t>)</w:t>
            </w:r>
            <w:r w:rsidRPr="00315EB9">
              <w:rPr>
                <w:sz w:val="20"/>
                <w:szCs w:val="20"/>
                <w:lang w:val="uk-UA"/>
              </w:rPr>
              <w:t xml:space="preserve">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18 02 03</w:t>
            </w:r>
          </w:p>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Відходи, збирання та видалення яких обумовлено спеціальними вимогами для запобігання виникненню інфекції</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w:t>
            </w:r>
            <w:r w:rsidRPr="00315EB9">
              <w:rPr>
                <w:sz w:val="20"/>
                <w:szCs w:val="20"/>
                <w:lang w:val="uk-UA"/>
              </w:rPr>
              <w:t>Медичні відходи категорії В)</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тобто відходи, які утворюються внаслідок медичної, </w:t>
            </w:r>
            <w:proofErr w:type="spellStart"/>
            <w:r w:rsidRPr="00315EB9">
              <w:rPr>
                <w:sz w:val="20"/>
                <w:szCs w:val="20"/>
                <w:lang w:val="uk-UA"/>
              </w:rPr>
              <w:t>парамедичної</w:t>
            </w:r>
            <w:proofErr w:type="spellEnd"/>
            <w:r w:rsidRPr="00315EB9">
              <w:rPr>
                <w:sz w:val="20"/>
                <w:szCs w:val="20"/>
                <w:lang w:val="uk-UA"/>
              </w:rPr>
              <w:t>, зуболікарської,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spacing w:line="259" w:lineRule="auto"/>
              <w:contextualSpacing/>
              <w:jc w:val="both"/>
              <w:rPr>
                <w:sz w:val="20"/>
                <w:szCs w:val="20"/>
                <w:lang w:val="uk-UA"/>
              </w:rPr>
            </w:pPr>
            <w:r w:rsidRPr="00315EB9">
              <w:rPr>
                <w:sz w:val="20"/>
                <w:szCs w:val="20"/>
                <w:lang w:val="uk-UA"/>
              </w:rPr>
              <w:t xml:space="preserve">Флакони, туби, пусті ампули </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18 02 03</w:t>
            </w:r>
          </w:p>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Відходи, збирання та видалення яких обумовлено спеціальними вимогами для запобігання виникненню інфекції</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w:t>
            </w:r>
            <w:r w:rsidRPr="00315EB9">
              <w:rPr>
                <w:sz w:val="20"/>
                <w:szCs w:val="20"/>
                <w:lang w:val="uk-UA"/>
              </w:rPr>
              <w:t xml:space="preserve">Медичні відходи </w:t>
            </w:r>
            <w:r w:rsidRPr="00315EB9">
              <w:rPr>
                <w:sz w:val="20"/>
                <w:szCs w:val="20"/>
                <w:lang w:val="uk-UA"/>
              </w:rPr>
              <w:lastRenderedPageBreak/>
              <w:t>категорії В)</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lastRenderedPageBreak/>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0,045</w:t>
            </w:r>
          </w:p>
        </w:tc>
        <w:tc>
          <w:tcPr>
            <w:tcW w:w="3974" w:type="dxa"/>
          </w:tcPr>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тобто відходи, які утворюються внаслідок медичної, </w:t>
            </w:r>
            <w:proofErr w:type="spellStart"/>
            <w:r w:rsidRPr="00315EB9">
              <w:rPr>
                <w:sz w:val="20"/>
                <w:szCs w:val="20"/>
                <w:lang w:val="uk-UA"/>
              </w:rPr>
              <w:t>парамедичної</w:t>
            </w:r>
            <w:proofErr w:type="spellEnd"/>
            <w:r w:rsidRPr="00315EB9">
              <w:rPr>
                <w:sz w:val="20"/>
                <w:szCs w:val="20"/>
                <w:lang w:val="uk-UA"/>
              </w:rPr>
              <w:t xml:space="preserve">, зуболікарської, </w:t>
            </w:r>
            <w:r w:rsidRPr="00315EB9">
              <w:rPr>
                <w:sz w:val="20"/>
                <w:szCs w:val="20"/>
                <w:lang w:val="uk-UA"/>
              </w:rPr>
              <w:lastRenderedPageBreak/>
              <w:t>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keepNext/>
              <w:keepLines/>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Чохол на медичну кушетку </w:t>
            </w:r>
          </w:p>
        </w:tc>
        <w:tc>
          <w:tcPr>
            <w:tcW w:w="1796" w:type="dxa"/>
          </w:tcPr>
          <w:p w:rsidR="002221E2" w:rsidRPr="00315EB9" w:rsidRDefault="002221E2" w:rsidP="00A77899">
            <w:pPr>
              <w:tabs>
                <w:tab w:val="left" w:pos="993"/>
                <w:tab w:val="left" w:pos="1276"/>
              </w:tabs>
              <w:suppressAutoHyphens/>
              <w:spacing w:line="240" w:lineRule="atLeast"/>
              <w:contextualSpacing/>
              <w:rPr>
                <w:color w:val="000000"/>
                <w:sz w:val="20"/>
                <w:szCs w:val="20"/>
                <w:lang w:val="uk-UA" w:eastAsia="uk-UA"/>
              </w:rPr>
            </w:pPr>
            <w:r w:rsidRPr="00315EB9">
              <w:rPr>
                <w:color w:val="000000"/>
                <w:sz w:val="20"/>
                <w:szCs w:val="20"/>
                <w:lang w:val="uk-UA" w:eastAsia="uk-UA"/>
              </w:rPr>
              <w:t>18 01 04</w:t>
            </w:r>
          </w:p>
          <w:p w:rsidR="002221E2" w:rsidRPr="00315EB9" w:rsidRDefault="002221E2" w:rsidP="00A77899">
            <w:pPr>
              <w:widowControl w:val="0"/>
              <w:spacing w:line="259" w:lineRule="auto"/>
              <w:contextualSpacing/>
              <w:jc w:val="both"/>
              <w:rPr>
                <w:sz w:val="20"/>
                <w:szCs w:val="20"/>
                <w:lang w:val="uk-UA"/>
              </w:rPr>
            </w:pPr>
            <w:r w:rsidRPr="00315EB9">
              <w:rPr>
                <w:color w:val="000000"/>
                <w:sz w:val="20"/>
                <w:szCs w:val="20"/>
                <w:lang w:val="uk-UA" w:eastAsia="uk-UA"/>
              </w:rPr>
              <w:t>Відходи, збирання та видалення яких обумовлено спеціальними вимогами для запобігання виникненню інфекції (наприклад: перев’язувальний матеріал, гіпсові пов’язки, простирадла, одноразовий одяг, підгузки тощо) (</w:t>
            </w:r>
            <w:r w:rsidRPr="00315EB9">
              <w:rPr>
                <w:sz w:val="20"/>
                <w:szCs w:val="20"/>
                <w:lang w:val="uk-UA"/>
              </w:rPr>
              <w:t>Медичні відходи категорії В)</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А4020 (Клінічні та пов’язані з цим відходи; тобто відходи, які утворюються внаслідок медичної, </w:t>
            </w:r>
            <w:proofErr w:type="spellStart"/>
            <w:r w:rsidRPr="00315EB9">
              <w:rPr>
                <w:sz w:val="20"/>
                <w:szCs w:val="20"/>
                <w:lang w:val="uk-UA"/>
              </w:rPr>
              <w:t>парамедичної</w:t>
            </w:r>
            <w:proofErr w:type="spellEnd"/>
            <w:r w:rsidRPr="00315EB9">
              <w:rPr>
                <w:sz w:val="20"/>
                <w:szCs w:val="20"/>
                <w:lang w:val="uk-UA"/>
              </w:rPr>
              <w:t>, зуболікарської, ветеринарної чи подібної практики, та відходи, що накопичуються у лікарнях й інших установах в ході оглядів та лікування пацієнтів або ж здійснення науково-дослідних проектів)</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jc w:val="both"/>
              <w:rPr>
                <w:i/>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widowControl w:val="0"/>
              <w:spacing w:line="259" w:lineRule="auto"/>
              <w:contextualSpacing/>
              <w:rPr>
                <w:sz w:val="20"/>
                <w:szCs w:val="20"/>
                <w:lang w:val="uk-UA"/>
              </w:rPr>
            </w:pPr>
            <w:r w:rsidRPr="00315EB9">
              <w:rPr>
                <w:sz w:val="20"/>
                <w:szCs w:val="20"/>
                <w:lang w:val="uk-UA"/>
              </w:rPr>
              <w:t xml:space="preserve">Готові лікарські засоби непридатні </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18 02 08</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Лікарські препарати інші ніж зазначені в 18 02 07 (Медичні відходи категорії А)</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0,003996</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Відходи виробництва, одержання і застосування фармацевтичних препаратів</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Відходи виробництва, одержання і застосування фармацевтичних препаратів, за винятком відходів, зазначених у Зеленому переліку відходів</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 xml:space="preserve">або </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А4010 (Відходи виробництва, одержання і застосування фармацевтичних препаратів,, за винятком відходів, зазначених у переліку Б)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lastRenderedPageBreak/>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widowControl w:val="0"/>
              <w:spacing w:line="259" w:lineRule="auto"/>
              <w:contextualSpacing/>
              <w:rPr>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r w:rsidRPr="00315EB9">
              <w:rPr>
                <w:sz w:val="20"/>
                <w:szCs w:val="20"/>
                <w:lang w:val="uk-UA"/>
              </w:rPr>
              <w:t>Перелік готових лікарських засобів, що підлягають утилізації:</w:t>
            </w:r>
          </w:p>
          <w:p w:rsidR="002221E2" w:rsidRPr="00315EB9" w:rsidRDefault="002221E2" w:rsidP="00A77899">
            <w:pPr>
              <w:spacing w:line="259" w:lineRule="auto"/>
              <w:contextualSpacing/>
              <w:rPr>
                <w:b/>
                <w:bCs/>
                <w:sz w:val="20"/>
                <w:szCs w:val="20"/>
                <w:lang w:val="uk-UA"/>
              </w:rPr>
            </w:pPr>
            <w:r w:rsidRPr="00315EB9">
              <w:rPr>
                <w:b/>
                <w:bCs/>
                <w:sz w:val="20"/>
                <w:szCs w:val="20"/>
                <w:lang w:val="uk-UA"/>
              </w:rPr>
              <w:t xml:space="preserve">1) розчини для ін’єкцій: </w:t>
            </w:r>
          </w:p>
          <w:p w:rsidR="002221E2" w:rsidRPr="00315EB9" w:rsidRDefault="002221E2" w:rsidP="00A77899">
            <w:pPr>
              <w:jc w:val="both"/>
              <w:rPr>
                <w:sz w:val="20"/>
                <w:szCs w:val="20"/>
                <w:lang w:val="uk-UA"/>
              </w:rPr>
            </w:pPr>
            <w:proofErr w:type="spellStart"/>
            <w:r w:rsidRPr="00315EB9">
              <w:rPr>
                <w:sz w:val="20"/>
                <w:szCs w:val="20"/>
                <w:lang w:val="uk-UA"/>
              </w:rPr>
              <w:t>Кавінтон</w:t>
            </w:r>
            <w:proofErr w:type="spellEnd"/>
            <w:r w:rsidRPr="00315EB9">
              <w:rPr>
                <w:sz w:val="20"/>
                <w:szCs w:val="20"/>
                <w:lang w:val="uk-UA"/>
              </w:rPr>
              <w:t xml:space="preserve"> 2 мл №10 </w:t>
            </w:r>
            <w:proofErr w:type="spellStart"/>
            <w:r w:rsidRPr="00315EB9">
              <w:rPr>
                <w:sz w:val="20"/>
                <w:szCs w:val="20"/>
                <w:lang w:val="uk-UA"/>
              </w:rPr>
              <w:t>амп</w:t>
            </w:r>
            <w:proofErr w:type="spellEnd"/>
            <w:r w:rsidRPr="00315EB9">
              <w:rPr>
                <w:sz w:val="20"/>
                <w:szCs w:val="20"/>
                <w:lang w:val="uk-UA"/>
              </w:rPr>
              <w:t>, (</w:t>
            </w:r>
            <w:proofErr w:type="spellStart"/>
            <w:r w:rsidRPr="00315EB9">
              <w:rPr>
                <w:sz w:val="20"/>
                <w:szCs w:val="20"/>
                <w:lang w:val="uk-UA"/>
              </w:rPr>
              <w:t>Сavinton</w:t>
            </w:r>
            <w:proofErr w:type="spellEnd"/>
            <w:r w:rsidRPr="00315EB9">
              <w:rPr>
                <w:sz w:val="20"/>
                <w:szCs w:val="20"/>
                <w:lang w:val="uk-UA"/>
              </w:rPr>
              <w:t>),</w:t>
            </w:r>
          </w:p>
          <w:p w:rsidR="002221E2" w:rsidRPr="00315EB9" w:rsidRDefault="002221E2" w:rsidP="00A77899">
            <w:pPr>
              <w:ind w:left="-21"/>
              <w:jc w:val="both"/>
              <w:rPr>
                <w:sz w:val="20"/>
                <w:szCs w:val="20"/>
                <w:lang w:val="uk-UA"/>
              </w:rPr>
            </w:pPr>
            <w:r w:rsidRPr="00315EB9">
              <w:rPr>
                <w:sz w:val="20"/>
                <w:szCs w:val="20"/>
                <w:lang w:val="uk-UA"/>
              </w:rPr>
              <w:t xml:space="preserve">Кальцію </w:t>
            </w:r>
            <w:proofErr w:type="spellStart"/>
            <w:r w:rsidRPr="00315EB9">
              <w:rPr>
                <w:sz w:val="20"/>
                <w:szCs w:val="20"/>
                <w:lang w:val="uk-UA"/>
              </w:rPr>
              <w:t>глюконат</w:t>
            </w:r>
            <w:proofErr w:type="spellEnd"/>
            <w:r w:rsidRPr="00315EB9">
              <w:rPr>
                <w:sz w:val="20"/>
                <w:szCs w:val="20"/>
                <w:lang w:val="uk-UA"/>
              </w:rPr>
              <w:t xml:space="preserve"> 20% р-н фл-100 мл (</w:t>
            </w:r>
            <w:proofErr w:type="spellStart"/>
            <w:r w:rsidRPr="00315EB9">
              <w:rPr>
                <w:sz w:val="20"/>
                <w:szCs w:val="20"/>
                <w:lang w:val="uk-UA"/>
              </w:rPr>
              <w:t>Calcium</w:t>
            </w:r>
            <w:proofErr w:type="spellEnd"/>
            <w:r w:rsidRPr="00315EB9">
              <w:rPr>
                <w:sz w:val="20"/>
                <w:szCs w:val="20"/>
                <w:lang w:val="uk-UA"/>
              </w:rPr>
              <w:t xml:space="preserve"> </w:t>
            </w:r>
            <w:proofErr w:type="spellStart"/>
            <w:r w:rsidRPr="00315EB9">
              <w:rPr>
                <w:sz w:val="20"/>
                <w:szCs w:val="20"/>
                <w:lang w:val="uk-UA"/>
              </w:rPr>
              <w:t>gluconate</w:t>
            </w:r>
            <w:proofErr w:type="spellEnd"/>
            <w:r w:rsidRPr="00315EB9">
              <w:rPr>
                <w:sz w:val="20"/>
                <w:szCs w:val="20"/>
                <w:lang w:val="uk-UA"/>
              </w:rPr>
              <w:t>),</w:t>
            </w:r>
          </w:p>
          <w:p w:rsidR="002221E2" w:rsidRPr="00315EB9" w:rsidRDefault="002221E2" w:rsidP="00A77899">
            <w:pPr>
              <w:jc w:val="both"/>
              <w:rPr>
                <w:bCs/>
                <w:sz w:val="20"/>
                <w:szCs w:val="20"/>
                <w:lang w:val="uk-UA"/>
              </w:rPr>
            </w:pPr>
            <w:proofErr w:type="spellStart"/>
            <w:r w:rsidRPr="00315EB9">
              <w:rPr>
                <w:sz w:val="20"/>
                <w:szCs w:val="20"/>
                <w:lang w:val="uk-UA"/>
              </w:rPr>
              <w:t>Ксилазин</w:t>
            </w:r>
            <w:proofErr w:type="spellEnd"/>
            <w:r w:rsidRPr="00315EB9">
              <w:rPr>
                <w:sz w:val="20"/>
                <w:szCs w:val="20"/>
                <w:lang w:val="uk-UA"/>
              </w:rPr>
              <w:t xml:space="preserve"> 2% 30 мл (</w:t>
            </w:r>
            <w:proofErr w:type="spellStart"/>
            <w:r w:rsidRPr="00315EB9">
              <w:rPr>
                <w:bCs/>
                <w:sz w:val="20"/>
                <w:szCs w:val="20"/>
                <w:lang w:val="uk-UA"/>
              </w:rPr>
              <w:t>Xylazine</w:t>
            </w:r>
            <w:proofErr w:type="spellEnd"/>
            <w:r w:rsidRPr="00315EB9">
              <w:rPr>
                <w:bCs/>
                <w:sz w:val="20"/>
                <w:szCs w:val="20"/>
                <w:lang w:val="uk-UA"/>
              </w:rPr>
              <w:t>)</w:t>
            </w:r>
            <w:r w:rsidRPr="00315EB9">
              <w:rPr>
                <w:sz w:val="20"/>
                <w:szCs w:val="20"/>
                <w:lang w:val="uk-UA"/>
              </w:rPr>
              <w:t>,</w:t>
            </w:r>
          </w:p>
          <w:p w:rsidR="002221E2" w:rsidRPr="00315EB9" w:rsidRDefault="002221E2" w:rsidP="00A77899">
            <w:pPr>
              <w:jc w:val="both"/>
              <w:rPr>
                <w:sz w:val="20"/>
                <w:szCs w:val="20"/>
                <w:lang w:val="uk-UA"/>
              </w:rPr>
            </w:pPr>
            <w:proofErr w:type="spellStart"/>
            <w:r w:rsidRPr="00315EB9">
              <w:rPr>
                <w:sz w:val="20"/>
                <w:szCs w:val="20"/>
                <w:lang w:val="uk-UA"/>
              </w:rPr>
              <w:t>Медісон</w:t>
            </w:r>
            <w:proofErr w:type="spellEnd"/>
            <w:r w:rsidRPr="00315EB9">
              <w:rPr>
                <w:sz w:val="20"/>
                <w:szCs w:val="20"/>
                <w:lang w:val="uk-UA"/>
              </w:rPr>
              <w:t xml:space="preserve"> 10 мл (</w:t>
            </w:r>
            <w:r w:rsidRPr="00315EB9">
              <w:rPr>
                <w:sz w:val="20"/>
                <w:szCs w:val="20"/>
                <w:lang w:val="en-US"/>
              </w:rPr>
              <w:t>M</w:t>
            </w:r>
            <w:proofErr w:type="spellStart"/>
            <w:r w:rsidRPr="00315EB9">
              <w:rPr>
                <w:sz w:val="20"/>
                <w:szCs w:val="20"/>
                <w:lang w:val="uk-UA"/>
              </w:rPr>
              <w:t>edetomidine</w:t>
            </w:r>
            <w:proofErr w:type="spellEnd"/>
            <w:r w:rsidRPr="00315EB9">
              <w:rPr>
                <w:sz w:val="20"/>
                <w:szCs w:val="20"/>
                <w:lang w:val="uk-UA"/>
              </w:rPr>
              <w:t xml:space="preserve"> </w:t>
            </w:r>
            <w:proofErr w:type="spellStart"/>
            <w:r w:rsidRPr="00315EB9">
              <w:rPr>
                <w:sz w:val="20"/>
                <w:szCs w:val="20"/>
                <w:lang w:val="uk-UA"/>
              </w:rPr>
              <w:t>hydrochloride</w:t>
            </w:r>
            <w:proofErr w:type="spellEnd"/>
            <w:r w:rsidRPr="00315EB9">
              <w:rPr>
                <w:sz w:val="20"/>
                <w:szCs w:val="20"/>
                <w:lang w:val="uk-UA"/>
              </w:rPr>
              <w:t xml:space="preserve">), </w:t>
            </w:r>
          </w:p>
          <w:p w:rsidR="002221E2" w:rsidRPr="00315EB9" w:rsidRDefault="002221E2" w:rsidP="00A77899">
            <w:pPr>
              <w:jc w:val="both"/>
              <w:rPr>
                <w:sz w:val="20"/>
                <w:szCs w:val="20"/>
                <w:lang w:val="uk-UA"/>
              </w:rPr>
            </w:pPr>
            <w:r w:rsidRPr="00315EB9">
              <w:rPr>
                <w:sz w:val="20"/>
                <w:szCs w:val="20"/>
                <w:lang w:val="uk-UA"/>
              </w:rPr>
              <w:t>Новокаїн р-н д/</w:t>
            </w:r>
            <w:proofErr w:type="spellStart"/>
            <w:r w:rsidRPr="00315EB9">
              <w:rPr>
                <w:sz w:val="20"/>
                <w:szCs w:val="20"/>
                <w:lang w:val="uk-UA"/>
              </w:rPr>
              <w:t>інф</w:t>
            </w:r>
            <w:proofErr w:type="spellEnd"/>
            <w:r w:rsidRPr="00315EB9">
              <w:rPr>
                <w:sz w:val="20"/>
                <w:szCs w:val="20"/>
                <w:lang w:val="uk-UA"/>
              </w:rPr>
              <w:t>. 0,5% 200 мл (</w:t>
            </w:r>
            <w:proofErr w:type="spellStart"/>
            <w:r w:rsidRPr="00315EB9">
              <w:rPr>
                <w:sz w:val="20"/>
                <w:szCs w:val="20"/>
                <w:lang w:val="uk-UA"/>
              </w:rPr>
              <w:t>Procaine</w:t>
            </w:r>
            <w:proofErr w:type="spellEnd"/>
            <w:r w:rsidRPr="00315EB9">
              <w:rPr>
                <w:sz w:val="20"/>
                <w:szCs w:val="20"/>
                <w:lang w:val="uk-UA"/>
              </w:rPr>
              <w:t>),</w:t>
            </w:r>
          </w:p>
          <w:p w:rsidR="002221E2" w:rsidRPr="00315EB9" w:rsidRDefault="002221E2" w:rsidP="00A7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lang w:val="uk-UA" w:eastAsia="uk-UA"/>
              </w:rPr>
            </w:pPr>
            <w:r w:rsidRPr="00315EB9">
              <w:rPr>
                <w:sz w:val="20"/>
                <w:szCs w:val="20"/>
                <w:lang w:val="uk-UA"/>
              </w:rPr>
              <w:t xml:space="preserve">ФАРМАТИЛ-50 </w:t>
            </w:r>
            <w:proofErr w:type="spellStart"/>
            <w:r w:rsidRPr="00315EB9">
              <w:rPr>
                <w:sz w:val="20"/>
                <w:szCs w:val="20"/>
                <w:lang w:val="uk-UA"/>
              </w:rPr>
              <w:t>розч</w:t>
            </w:r>
            <w:proofErr w:type="spellEnd"/>
            <w:r w:rsidRPr="00315EB9">
              <w:rPr>
                <w:sz w:val="20"/>
                <w:szCs w:val="20"/>
                <w:lang w:val="uk-UA"/>
              </w:rPr>
              <w:t>, фл-50 мл (</w:t>
            </w:r>
            <w:r w:rsidRPr="00315EB9">
              <w:rPr>
                <w:color w:val="202124"/>
                <w:sz w:val="20"/>
                <w:szCs w:val="20"/>
                <w:bdr w:val="none" w:sz="0" w:space="0" w:color="auto" w:frame="1"/>
                <w:lang w:val="en-US" w:eastAsia="uk-UA"/>
              </w:rPr>
              <w:t>T</w:t>
            </w:r>
            <w:r w:rsidRPr="00315EB9">
              <w:rPr>
                <w:color w:val="202124"/>
                <w:sz w:val="20"/>
                <w:szCs w:val="20"/>
                <w:bdr w:val="none" w:sz="0" w:space="0" w:color="auto" w:frame="1"/>
                <w:lang w:val="la-Latn" w:eastAsia="uk-UA"/>
              </w:rPr>
              <w:t>ylosin tartrate</w:t>
            </w:r>
            <w:r w:rsidRPr="00315EB9">
              <w:rPr>
                <w:color w:val="202124"/>
                <w:sz w:val="20"/>
                <w:szCs w:val="20"/>
                <w:bdr w:val="none" w:sz="0" w:space="0" w:color="auto" w:frame="1"/>
                <w:lang w:val="uk-UA" w:eastAsia="uk-UA"/>
              </w:rPr>
              <w:t>),</w:t>
            </w:r>
          </w:p>
          <w:p w:rsidR="002221E2" w:rsidRPr="00315EB9" w:rsidRDefault="002221E2" w:rsidP="00A77899">
            <w:pPr>
              <w:jc w:val="both"/>
              <w:rPr>
                <w:sz w:val="20"/>
                <w:szCs w:val="20"/>
                <w:lang w:val="uk-UA"/>
              </w:rPr>
            </w:pPr>
            <w:proofErr w:type="spellStart"/>
            <w:r w:rsidRPr="00315EB9">
              <w:rPr>
                <w:sz w:val="20"/>
                <w:szCs w:val="20"/>
                <w:lang w:val="uk-UA"/>
              </w:rPr>
              <w:t>Комбістрес</w:t>
            </w:r>
            <w:proofErr w:type="spellEnd"/>
            <w:r w:rsidRPr="00315EB9">
              <w:rPr>
                <w:sz w:val="20"/>
                <w:szCs w:val="20"/>
                <w:lang w:val="uk-UA"/>
              </w:rPr>
              <w:t xml:space="preserve">  </w:t>
            </w:r>
            <w:proofErr w:type="spellStart"/>
            <w:r w:rsidRPr="00315EB9">
              <w:rPr>
                <w:sz w:val="20"/>
                <w:szCs w:val="20"/>
                <w:lang w:val="uk-UA"/>
              </w:rPr>
              <w:t>розч</w:t>
            </w:r>
            <w:proofErr w:type="spellEnd"/>
            <w:r w:rsidRPr="00315EB9">
              <w:rPr>
                <w:sz w:val="20"/>
                <w:szCs w:val="20"/>
                <w:lang w:val="uk-UA"/>
              </w:rPr>
              <w:t>, фл-50 мл (</w:t>
            </w:r>
            <w:proofErr w:type="spellStart"/>
            <w:r w:rsidRPr="00315EB9">
              <w:rPr>
                <w:sz w:val="20"/>
                <w:szCs w:val="20"/>
                <w:lang w:val="uk-UA"/>
              </w:rPr>
              <w:t>Combistress</w:t>
            </w:r>
            <w:proofErr w:type="spellEnd"/>
            <w:r w:rsidRPr="00315EB9">
              <w:rPr>
                <w:sz w:val="20"/>
                <w:szCs w:val="20"/>
                <w:lang w:val="uk-UA"/>
              </w:rPr>
              <w:t xml:space="preserve">); </w:t>
            </w:r>
          </w:p>
          <w:p w:rsidR="002221E2" w:rsidRPr="00315EB9" w:rsidRDefault="002221E2" w:rsidP="00A77899">
            <w:pPr>
              <w:spacing w:line="259" w:lineRule="auto"/>
              <w:contextualSpacing/>
              <w:rPr>
                <w:b/>
                <w:bCs/>
                <w:sz w:val="20"/>
                <w:szCs w:val="20"/>
                <w:lang w:val="uk-UA"/>
              </w:rPr>
            </w:pPr>
            <w:r w:rsidRPr="00315EB9">
              <w:rPr>
                <w:b/>
                <w:bCs/>
                <w:sz w:val="20"/>
                <w:szCs w:val="20"/>
                <w:lang w:val="uk-UA"/>
              </w:rPr>
              <w:t xml:space="preserve">2) порошкоподібні ліки: </w:t>
            </w:r>
          </w:p>
          <w:p w:rsidR="002221E2" w:rsidRPr="00315EB9" w:rsidRDefault="002221E2" w:rsidP="00A77899">
            <w:pPr>
              <w:ind w:left="-21"/>
              <w:jc w:val="both"/>
              <w:rPr>
                <w:sz w:val="20"/>
                <w:szCs w:val="20"/>
                <w:lang w:val="uk-UA"/>
              </w:rPr>
            </w:pPr>
            <w:proofErr w:type="spellStart"/>
            <w:r w:rsidRPr="00315EB9">
              <w:rPr>
                <w:sz w:val="20"/>
                <w:szCs w:val="20"/>
                <w:lang w:val="uk-UA"/>
              </w:rPr>
              <w:t>Азідін-вет</w:t>
            </w:r>
            <w:proofErr w:type="spellEnd"/>
            <w:r w:rsidRPr="00315EB9">
              <w:rPr>
                <w:sz w:val="20"/>
                <w:szCs w:val="20"/>
                <w:lang w:val="uk-UA"/>
              </w:rPr>
              <w:t xml:space="preserve"> 0,24 г (</w:t>
            </w:r>
            <w:proofErr w:type="spellStart"/>
            <w:r w:rsidRPr="00315EB9">
              <w:rPr>
                <w:sz w:val="20"/>
                <w:szCs w:val="20"/>
                <w:lang w:val="uk-UA"/>
              </w:rPr>
              <w:t>диміназену</w:t>
            </w:r>
            <w:proofErr w:type="spellEnd"/>
            <w:r w:rsidRPr="00315EB9">
              <w:rPr>
                <w:sz w:val="20"/>
                <w:szCs w:val="20"/>
                <w:lang w:val="uk-UA"/>
              </w:rPr>
              <w:t xml:space="preserve"> </w:t>
            </w:r>
            <w:proofErr w:type="spellStart"/>
            <w:r w:rsidRPr="00315EB9">
              <w:rPr>
                <w:sz w:val="20"/>
                <w:szCs w:val="20"/>
                <w:lang w:val="uk-UA"/>
              </w:rPr>
              <w:t>ацетурат</w:t>
            </w:r>
            <w:proofErr w:type="spellEnd"/>
            <w:r w:rsidRPr="00315EB9">
              <w:rPr>
                <w:sz w:val="20"/>
                <w:szCs w:val="20"/>
                <w:lang w:val="uk-UA"/>
              </w:rPr>
              <w:t xml:space="preserve">, </w:t>
            </w:r>
            <w:proofErr w:type="spellStart"/>
            <w:r w:rsidRPr="00315EB9">
              <w:rPr>
                <w:sz w:val="20"/>
                <w:szCs w:val="20"/>
                <w:lang w:val="uk-UA"/>
              </w:rPr>
              <w:t>феназон</w:t>
            </w:r>
            <w:proofErr w:type="spellEnd"/>
            <w:r w:rsidRPr="00315EB9">
              <w:rPr>
                <w:sz w:val="20"/>
                <w:szCs w:val="20"/>
                <w:lang w:val="uk-UA"/>
              </w:rPr>
              <w:t>) (</w:t>
            </w:r>
            <w:r w:rsidRPr="00315EB9">
              <w:rPr>
                <w:sz w:val="20"/>
                <w:szCs w:val="20"/>
                <w:lang w:val="en-US"/>
              </w:rPr>
              <w:t>D</w:t>
            </w:r>
            <w:r w:rsidRPr="00315EB9">
              <w:rPr>
                <w:sz w:val="20"/>
                <w:szCs w:val="20"/>
                <w:lang w:val="la-Latn"/>
              </w:rPr>
              <w:t>iminuzene aceturate</w:t>
            </w:r>
            <w:r w:rsidRPr="00315EB9">
              <w:rPr>
                <w:sz w:val="20"/>
                <w:szCs w:val="20"/>
                <w:lang w:val="uk-UA"/>
              </w:rPr>
              <w:t>),</w:t>
            </w:r>
          </w:p>
          <w:p w:rsidR="002221E2" w:rsidRPr="00315EB9" w:rsidRDefault="002221E2" w:rsidP="00A77899">
            <w:pPr>
              <w:ind w:left="-53"/>
              <w:jc w:val="both"/>
              <w:rPr>
                <w:sz w:val="20"/>
                <w:szCs w:val="20"/>
                <w:lang w:val="uk-UA"/>
              </w:rPr>
            </w:pPr>
            <w:proofErr w:type="spellStart"/>
            <w:r w:rsidRPr="00315EB9">
              <w:rPr>
                <w:sz w:val="20"/>
                <w:szCs w:val="20"/>
                <w:lang w:val="uk-UA"/>
              </w:rPr>
              <w:t>Цефтріаксон</w:t>
            </w:r>
            <w:proofErr w:type="spellEnd"/>
            <w:r w:rsidRPr="00315EB9">
              <w:rPr>
                <w:sz w:val="20"/>
                <w:szCs w:val="20"/>
                <w:lang w:val="uk-UA"/>
              </w:rPr>
              <w:t>-Дарниця 1г №1 (C</w:t>
            </w:r>
            <w:proofErr w:type="spellStart"/>
            <w:r w:rsidRPr="00315EB9">
              <w:rPr>
                <w:sz w:val="20"/>
                <w:szCs w:val="20"/>
                <w:lang w:val="en-US"/>
              </w:rPr>
              <w:t>eftriaxonum</w:t>
            </w:r>
            <w:proofErr w:type="spellEnd"/>
            <w:r w:rsidRPr="00315EB9">
              <w:rPr>
                <w:sz w:val="20"/>
                <w:szCs w:val="20"/>
                <w:lang w:val="uk-UA"/>
              </w:rPr>
              <w:t>);</w:t>
            </w:r>
          </w:p>
          <w:p w:rsidR="002221E2" w:rsidRPr="00315EB9" w:rsidRDefault="002221E2" w:rsidP="00A77899">
            <w:pPr>
              <w:spacing w:line="259" w:lineRule="auto"/>
              <w:contextualSpacing/>
              <w:rPr>
                <w:b/>
                <w:bCs/>
                <w:sz w:val="20"/>
                <w:szCs w:val="20"/>
                <w:lang w:val="uk-UA"/>
              </w:rPr>
            </w:pPr>
            <w:r w:rsidRPr="00315EB9">
              <w:rPr>
                <w:b/>
                <w:bCs/>
                <w:sz w:val="20"/>
                <w:szCs w:val="20"/>
                <w:lang w:val="uk-UA"/>
              </w:rPr>
              <w:t>3) вакцини:</w:t>
            </w:r>
          </w:p>
          <w:p w:rsidR="002221E2" w:rsidRPr="00315EB9" w:rsidRDefault="002221E2" w:rsidP="00A77899">
            <w:pPr>
              <w:spacing w:line="259" w:lineRule="auto"/>
              <w:contextualSpacing/>
              <w:rPr>
                <w:sz w:val="20"/>
                <w:szCs w:val="20"/>
                <w:lang w:val="uk-UA"/>
              </w:rPr>
            </w:pPr>
            <w:proofErr w:type="spellStart"/>
            <w:r w:rsidRPr="00315EB9">
              <w:rPr>
                <w:sz w:val="20"/>
                <w:szCs w:val="20"/>
                <w:lang w:val="uk-UA"/>
              </w:rPr>
              <w:t>Нобівак</w:t>
            </w:r>
            <w:proofErr w:type="spellEnd"/>
            <w:r w:rsidRPr="00315EB9">
              <w:rPr>
                <w:sz w:val="20"/>
                <w:szCs w:val="20"/>
                <w:lang w:val="uk-UA"/>
              </w:rPr>
              <w:t xml:space="preserve"> РАБІЄС (</w:t>
            </w:r>
            <w:r w:rsidRPr="00315EB9">
              <w:rPr>
                <w:sz w:val="20"/>
                <w:szCs w:val="20"/>
                <w:lang w:val="en-US"/>
              </w:rPr>
              <w:t>V</w:t>
            </w:r>
            <w:r w:rsidRPr="00315EB9">
              <w:rPr>
                <w:sz w:val="20"/>
                <w:szCs w:val="20"/>
                <w:lang w:val="la-Latn"/>
              </w:rPr>
              <w:t>accinum</w:t>
            </w:r>
            <w:r w:rsidRPr="00315EB9">
              <w:rPr>
                <w:sz w:val="20"/>
                <w:szCs w:val="20"/>
                <w:lang w:val="uk-UA"/>
              </w:rPr>
              <w:t>);</w:t>
            </w:r>
          </w:p>
          <w:p w:rsidR="002221E2" w:rsidRPr="00315EB9" w:rsidRDefault="002221E2" w:rsidP="00A77899">
            <w:pPr>
              <w:spacing w:line="259" w:lineRule="auto"/>
              <w:contextualSpacing/>
              <w:rPr>
                <w:b/>
                <w:bCs/>
                <w:sz w:val="20"/>
                <w:szCs w:val="20"/>
                <w:lang w:val="uk-UA"/>
              </w:rPr>
            </w:pPr>
            <w:r w:rsidRPr="00315EB9">
              <w:rPr>
                <w:b/>
                <w:sz w:val="20"/>
                <w:szCs w:val="20"/>
                <w:lang w:val="uk-UA"/>
              </w:rPr>
              <w:t>4) аерозолі:</w:t>
            </w:r>
          </w:p>
          <w:p w:rsidR="002221E2" w:rsidRPr="00315EB9" w:rsidRDefault="002221E2" w:rsidP="00A77899">
            <w:pPr>
              <w:jc w:val="both"/>
              <w:rPr>
                <w:sz w:val="20"/>
                <w:szCs w:val="20"/>
                <w:lang w:val="uk-UA"/>
              </w:rPr>
            </w:pPr>
            <w:proofErr w:type="spellStart"/>
            <w:r w:rsidRPr="00315EB9">
              <w:rPr>
                <w:sz w:val="20"/>
                <w:szCs w:val="20"/>
                <w:lang w:val="uk-UA"/>
              </w:rPr>
              <w:t>Дезі</w:t>
            </w:r>
            <w:proofErr w:type="spellEnd"/>
            <w:r w:rsidRPr="00315EB9">
              <w:rPr>
                <w:sz w:val="20"/>
                <w:szCs w:val="20"/>
                <w:lang w:val="uk-UA"/>
              </w:rPr>
              <w:t xml:space="preserve"> </w:t>
            </w:r>
            <w:proofErr w:type="spellStart"/>
            <w:r w:rsidRPr="00315EB9">
              <w:rPr>
                <w:sz w:val="20"/>
                <w:szCs w:val="20"/>
                <w:lang w:val="uk-UA"/>
              </w:rPr>
              <w:t>спрей</w:t>
            </w:r>
            <w:proofErr w:type="spellEnd"/>
            <w:r w:rsidRPr="00315EB9">
              <w:rPr>
                <w:sz w:val="20"/>
                <w:szCs w:val="20"/>
                <w:lang w:val="uk-UA"/>
              </w:rPr>
              <w:t xml:space="preserve"> аерозоль 200мл O.L.KAR (</w:t>
            </w:r>
            <w:r w:rsidRPr="00315EB9">
              <w:rPr>
                <w:sz w:val="20"/>
                <w:szCs w:val="20"/>
                <w:lang w:val="en-US"/>
              </w:rPr>
              <w:t>O</w:t>
            </w:r>
            <w:r w:rsidRPr="00315EB9">
              <w:rPr>
                <w:sz w:val="20"/>
                <w:szCs w:val="20"/>
                <w:lang w:val="la-Latn"/>
              </w:rPr>
              <w:t>xytetracycline hydrochloride</w:t>
            </w:r>
            <w:r w:rsidRPr="00315EB9">
              <w:rPr>
                <w:sz w:val="20"/>
                <w:szCs w:val="20"/>
                <w:lang w:val="uk-UA"/>
              </w:rPr>
              <w:t xml:space="preserve">-2.5 </w:t>
            </w:r>
            <w:r w:rsidRPr="00315EB9">
              <w:rPr>
                <w:sz w:val="20"/>
                <w:szCs w:val="20"/>
                <w:lang w:val="en-US"/>
              </w:rPr>
              <w:t>G</w:t>
            </w:r>
            <w:r w:rsidRPr="00315EB9">
              <w:rPr>
                <w:sz w:val="20"/>
                <w:szCs w:val="20"/>
                <w:lang w:val="la-Latn"/>
              </w:rPr>
              <w:t>entian violaceum</w:t>
            </w:r>
            <w:r w:rsidRPr="00315EB9">
              <w:rPr>
                <w:sz w:val="20"/>
                <w:szCs w:val="20"/>
                <w:lang w:val="uk-UA"/>
              </w:rPr>
              <w:t xml:space="preserve"> -0.5),</w:t>
            </w:r>
          </w:p>
          <w:p w:rsidR="002221E2" w:rsidRPr="00315EB9" w:rsidRDefault="002221E2" w:rsidP="00A77899">
            <w:pPr>
              <w:jc w:val="both"/>
              <w:rPr>
                <w:b/>
                <w:sz w:val="28"/>
                <w:szCs w:val="28"/>
                <w:lang w:val="uk-UA"/>
              </w:rPr>
            </w:pPr>
            <w:proofErr w:type="spellStart"/>
            <w:r w:rsidRPr="00315EB9">
              <w:rPr>
                <w:sz w:val="20"/>
                <w:szCs w:val="20"/>
              </w:rPr>
              <w:t>Кубатол</w:t>
            </w:r>
            <w:proofErr w:type="spellEnd"/>
            <w:r w:rsidRPr="00315EB9">
              <w:rPr>
                <w:sz w:val="20"/>
                <w:szCs w:val="20"/>
                <w:lang w:val="en-US"/>
              </w:rPr>
              <w:t xml:space="preserve"> </w:t>
            </w:r>
            <w:r w:rsidRPr="00315EB9">
              <w:rPr>
                <w:sz w:val="20"/>
                <w:szCs w:val="20"/>
              </w:rPr>
              <w:t>РІХ</w:t>
            </w:r>
            <w:r w:rsidRPr="00315EB9">
              <w:rPr>
                <w:sz w:val="20"/>
                <w:szCs w:val="20"/>
                <w:lang w:val="en-US"/>
              </w:rPr>
              <w:t xml:space="preserve"> </w:t>
            </w:r>
            <w:r w:rsidRPr="00315EB9">
              <w:rPr>
                <w:sz w:val="20"/>
                <w:szCs w:val="20"/>
              </w:rPr>
              <w:t>спрей</w:t>
            </w:r>
            <w:r w:rsidRPr="00315EB9">
              <w:rPr>
                <w:sz w:val="20"/>
                <w:szCs w:val="20"/>
                <w:lang w:val="en-US"/>
              </w:rPr>
              <w:t xml:space="preserve"> 150</w:t>
            </w:r>
            <w:r w:rsidRPr="00315EB9">
              <w:rPr>
                <w:sz w:val="20"/>
                <w:szCs w:val="20"/>
                <w:lang w:val="uk-UA"/>
              </w:rPr>
              <w:t xml:space="preserve"> </w:t>
            </w:r>
            <w:r w:rsidRPr="00315EB9">
              <w:rPr>
                <w:sz w:val="20"/>
                <w:szCs w:val="20"/>
              </w:rPr>
              <w:t>мл</w:t>
            </w:r>
            <w:r w:rsidRPr="00315EB9">
              <w:rPr>
                <w:sz w:val="20"/>
                <w:szCs w:val="20"/>
                <w:lang w:val="en-US"/>
              </w:rPr>
              <w:t xml:space="preserve"> </w:t>
            </w:r>
            <w:r w:rsidRPr="00315EB9">
              <w:rPr>
                <w:sz w:val="20"/>
                <w:szCs w:val="20"/>
                <w:lang w:val="uk-UA"/>
              </w:rPr>
              <w:t>(</w:t>
            </w:r>
            <w:r w:rsidRPr="00315EB9">
              <w:rPr>
                <w:sz w:val="20"/>
                <w:szCs w:val="20"/>
                <w:lang w:val="en-US"/>
              </w:rPr>
              <w:t>F</w:t>
            </w:r>
            <w:r w:rsidRPr="00315EB9">
              <w:rPr>
                <w:sz w:val="20"/>
                <w:szCs w:val="20"/>
                <w:lang w:val="la-Latn"/>
              </w:rPr>
              <w:t>ago pice refertas</w:t>
            </w:r>
            <w:r w:rsidRPr="00315EB9">
              <w:rPr>
                <w:sz w:val="20"/>
                <w:szCs w:val="20"/>
                <w:lang w:val="uk-UA"/>
              </w:rPr>
              <w:t>)</w:t>
            </w:r>
            <w:r w:rsidRPr="00315EB9">
              <w:rPr>
                <w:sz w:val="28"/>
                <w:szCs w:val="28"/>
                <w:lang w:val="uk-UA"/>
              </w:rPr>
              <w:t>,</w:t>
            </w:r>
          </w:p>
          <w:p w:rsidR="002221E2" w:rsidRPr="00315EB9" w:rsidRDefault="002221E2" w:rsidP="00A77899">
            <w:pPr>
              <w:jc w:val="both"/>
              <w:rPr>
                <w:sz w:val="20"/>
                <w:szCs w:val="20"/>
                <w:lang w:val="uk-UA"/>
              </w:rPr>
            </w:pPr>
            <w:r w:rsidRPr="00315EB9">
              <w:rPr>
                <w:sz w:val="20"/>
                <w:szCs w:val="20"/>
                <w:lang w:val="uk-UA"/>
              </w:rPr>
              <w:t xml:space="preserve">Флокси </w:t>
            </w:r>
            <w:proofErr w:type="spellStart"/>
            <w:r w:rsidRPr="00315EB9">
              <w:rPr>
                <w:sz w:val="20"/>
                <w:szCs w:val="20"/>
                <w:lang w:val="uk-UA"/>
              </w:rPr>
              <w:t>спрей</w:t>
            </w:r>
            <w:proofErr w:type="spellEnd"/>
            <w:r w:rsidRPr="00315EB9">
              <w:rPr>
                <w:sz w:val="20"/>
                <w:szCs w:val="20"/>
                <w:lang w:val="uk-UA"/>
              </w:rPr>
              <w:t xml:space="preserve"> МАКС 100 мл (</w:t>
            </w:r>
            <w:r w:rsidRPr="00315EB9">
              <w:rPr>
                <w:sz w:val="20"/>
                <w:szCs w:val="20"/>
                <w:lang w:val="en-US"/>
              </w:rPr>
              <w:t>F</w:t>
            </w:r>
            <w:r w:rsidRPr="00315EB9">
              <w:rPr>
                <w:sz w:val="20"/>
                <w:szCs w:val="20"/>
                <w:lang w:val="la-Latn"/>
              </w:rPr>
              <w:t>luorfenicol</w:t>
            </w:r>
            <w:r w:rsidRPr="00315EB9">
              <w:rPr>
                <w:sz w:val="20"/>
                <w:szCs w:val="20"/>
                <w:lang w:val="uk-UA"/>
              </w:rPr>
              <w:t xml:space="preserve"> - 2.5 </w:t>
            </w:r>
            <w:r w:rsidRPr="00315EB9">
              <w:rPr>
                <w:sz w:val="20"/>
                <w:szCs w:val="20"/>
                <w:lang w:val="en-US"/>
              </w:rPr>
              <w:t>A</w:t>
            </w:r>
            <w:r w:rsidRPr="00315EB9">
              <w:rPr>
                <w:sz w:val="20"/>
                <w:szCs w:val="20"/>
                <w:lang w:val="la-Latn"/>
              </w:rPr>
              <w:t>cetate prednisolone</w:t>
            </w:r>
            <w:r w:rsidRPr="00315EB9">
              <w:rPr>
                <w:sz w:val="20"/>
                <w:szCs w:val="20"/>
                <w:lang w:val="uk-UA"/>
              </w:rPr>
              <w:t xml:space="preserve"> - 0.1)</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keepNext/>
              <w:keepLines/>
              <w:spacing w:line="259" w:lineRule="auto"/>
              <w:contextualSpacing/>
              <w:jc w:val="both"/>
              <w:rPr>
                <w:bCs/>
                <w:sz w:val="20"/>
                <w:szCs w:val="20"/>
                <w:lang w:val="uk-UA"/>
              </w:rPr>
            </w:pPr>
            <w:r w:rsidRPr="00315EB9">
              <w:rPr>
                <w:bCs/>
                <w:sz w:val="20"/>
                <w:szCs w:val="20"/>
                <w:shd w:val="clear" w:color="auto" w:fill="FFFFFF"/>
                <w:lang w:val="uk-UA"/>
              </w:rPr>
              <w:t>Операції з управління небезпечними відходами (збирання, зберігання, оброблення):</w:t>
            </w:r>
          </w:p>
          <w:p w:rsidR="002221E2" w:rsidRPr="00315EB9" w:rsidRDefault="002221E2" w:rsidP="00A77899">
            <w:pPr>
              <w:keepNext/>
              <w:keepLines/>
              <w:spacing w:line="259" w:lineRule="auto"/>
              <w:contextualSpacing/>
              <w:rPr>
                <w:sz w:val="20"/>
                <w:szCs w:val="20"/>
                <w:lang w:val="uk-UA"/>
              </w:rPr>
            </w:pPr>
            <w:r w:rsidRPr="00315EB9">
              <w:rPr>
                <w:sz w:val="20"/>
                <w:szCs w:val="20"/>
                <w:lang w:val="uk-UA"/>
              </w:rPr>
              <w:t>Відстій з відходів нафтопродуктів</w:t>
            </w:r>
          </w:p>
          <w:p w:rsidR="002221E2" w:rsidRPr="00315EB9" w:rsidRDefault="002221E2" w:rsidP="00A77899">
            <w:pPr>
              <w:widowControl w:val="0"/>
              <w:spacing w:line="259" w:lineRule="auto"/>
              <w:contextualSpacing/>
              <w:jc w:val="both"/>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contextualSpacing/>
              <w:rPr>
                <w:sz w:val="20"/>
                <w:szCs w:val="20"/>
                <w:lang w:val="uk-UA"/>
              </w:rPr>
            </w:pPr>
            <w:r w:rsidRPr="00315EB9">
              <w:rPr>
                <w:sz w:val="20"/>
                <w:szCs w:val="20"/>
                <w:lang w:val="uk-UA"/>
              </w:rPr>
              <w:t xml:space="preserve">13 08 99* </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Інші відходи цієї підгрупи (Відходи нафтопродуктів інші, не визначені в інших підгрупах цієї групи)</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Відпрацьовані нафтопродукти, не придатні для</w:t>
            </w:r>
            <w:r>
              <w:rPr>
                <w:sz w:val="20"/>
                <w:szCs w:val="20"/>
                <w:lang w:val="uk-UA"/>
              </w:rPr>
              <w:t xml:space="preserve"> використання за призначенням (</w:t>
            </w:r>
            <w:r w:rsidRPr="00315EB9">
              <w:rPr>
                <w:sz w:val="20"/>
                <w:szCs w:val="20"/>
                <w:lang w:val="uk-UA"/>
              </w:rPr>
              <w:t xml:space="preserve">у </w:t>
            </w:r>
            <w:proofErr w:type="spellStart"/>
            <w:r w:rsidRPr="00315EB9">
              <w:rPr>
                <w:sz w:val="20"/>
                <w:szCs w:val="20"/>
                <w:lang w:val="uk-UA"/>
              </w:rPr>
              <w:t>т.ч</w:t>
            </w:r>
            <w:proofErr w:type="spellEnd"/>
            <w:r w:rsidRPr="00315EB9">
              <w:rPr>
                <w:sz w:val="20"/>
                <w:szCs w:val="20"/>
                <w:lang w:val="uk-UA"/>
              </w:rPr>
              <w:t>.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2221E2" w:rsidRPr="00315EB9" w:rsidRDefault="002221E2" w:rsidP="00A77899">
            <w:pPr>
              <w:keepNext/>
              <w:keepLines/>
              <w:spacing w:line="259" w:lineRule="auto"/>
              <w:contextualSpacing/>
              <w:jc w:val="center"/>
              <w:rPr>
                <w:i/>
                <w:sz w:val="20"/>
                <w:szCs w:val="20"/>
                <w:lang w:val="uk-UA"/>
              </w:rPr>
            </w:pPr>
            <w:r w:rsidRPr="00315EB9">
              <w:rPr>
                <w:i/>
                <w:sz w:val="20"/>
                <w:szCs w:val="20"/>
                <w:lang w:val="uk-UA"/>
              </w:rPr>
              <w:lastRenderedPageBreak/>
              <w:t>або</w:t>
            </w:r>
          </w:p>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 xml:space="preserve">Відходи сумішей масло/вода, вуглеводні/вода, емульсії (у </w:t>
            </w:r>
            <w:proofErr w:type="spellStart"/>
            <w:r w:rsidRPr="00315EB9">
              <w:rPr>
                <w:sz w:val="20"/>
                <w:szCs w:val="20"/>
                <w:lang w:val="uk-UA"/>
              </w:rPr>
              <w:t>т.ч</w:t>
            </w:r>
            <w:proofErr w:type="spellEnd"/>
            <w:r w:rsidRPr="00315EB9">
              <w:rPr>
                <w:sz w:val="20"/>
                <w:szCs w:val="20"/>
                <w:lang w:val="uk-UA"/>
              </w:rPr>
              <w:t>. відходи забруднені нафтопродуктами –  промаслені ганчір’я, пісок, деревина, тирса, папір, фільтри)</w:t>
            </w:r>
          </w:p>
          <w:p w:rsidR="002221E2" w:rsidRPr="00315EB9" w:rsidRDefault="002221E2" w:rsidP="00A77899">
            <w:pPr>
              <w:keepNext/>
              <w:keepLines/>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keepNext/>
              <w:keepLines/>
              <w:spacing w:line="259" w:lineRule="auto"/>
              <w:contextualSpacing/>
              <w:jc w:val="both"/>
              <w:rPr>
                <w:sz w:val="20"/>
                <w:szCs w:val="20"/>
                <w:lang w:val="uk-UA"/>
              </w:rPr>
            </w:pPr>
            <w:r w:rsidRPr="00315EB9">
              <w:rPr>
                <w:sz w:val="20"/>
                <w:szCs w:val="20"/>
                <w:lang w:val="uk-UA"/>
              </w:rPr>
              <w:t>Відходи сумішей масло/вода, вуглеводні/вода, емульсії</w:t>
            </w:r>
          </w:p>
          <w:p w:rsidR="002221E2" w:rsidRPr="00315EB9" w:rsidRDefault="002221E2" w:rsidP="00A77899">
            <w:pPr>
              <w:widowControl w:val="0"/>
              <w:spacing w:line="259" w:lineRule="auto"/>
              <w:contextualSpacing/>
              <w:jc w:val="center"/>
              <w:rPr>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 xml:space="preserve">А3020 (Відходи мінеральних </w:t>
            </w:r>
            <w:proofErr w:type="spellStart"/>
            <w:r w:rsidRPr="00315EB9">
              <w:rPr>
                <w:sz w:val="20"/>
                <w:szCs w:val="20"/>
                <w:lang w:val="uk-UA"/>
              </w:rPr>
              <w:t>масел</w:t>
            </w:r>
            <w:proofErr w:type="spellEnd"/>
            <w:r w:rsidRPr="00315EB9">
              <w:rPr>
                <w:sz w:val="20"/>
                <w:szCs w:val="20"/>
                <w:lang w:val="uk-UA"/>
              </w:rPr>
              <w:t>, не придатні для використання за призначенням)</w:t>
            </w:r>
          </w:p>
          <w:p w:rsidR="002221E2" w:rsidRPr="00315EB9" w:rsidRDefault="002221E2" w:rsidP="00A77899">
            <w:pPr>
              <w:widowControl w:val="0"/>
              <w:spacing w:line="259" w:lineRule="auto"/>
              <w:contextualSpacing/>
              <w:jc w:val="center"/>
              <w:rPr>
                <w:i/>
                <w:sz w:val="20"/>
                <w:szCs w:val="20"/>
                <w:lang w:val="uk-UA"/>
              </w:rPr>
            </w:pPr>
            <w:r w:rsidRPr="00315EB9">
              <w:rPr>
                <w:i/>
                <w:sz w:val="20"/>
                <w:szCs w:val="20"/>
                <w:lang w:val="uk-UA"/>
              </w:rPr>
              <w:t>або</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Відпрацьовані нафтопродукти, не придатні для</w:t>
            </w:r>
            <w:r>
              <w:rPr>
                <w:sz w:val="20"/>
                <w:szCs w:val="20"/>
                <w:lang w:val="uk-UA"/>
              </w:rPr>
              <w:t xml:space="preserve"> використання за призначенням (</w:t>
            </w:r>
            <w:r w:rsidRPr="00315EB9">
              <w:rPr>
                <w:sz w:val="20"/>
                <w:szCs w:val="20"/>
                <w:lang w:val="uk-UA"/>
              </w:rPr>
              <w:t xml:space="preserve">у </w:t>
            </w:r>
            <w:proofErr w:type="spellStart"/>
            <w:r w:rsidRPr="00315EB9">
              <w:rPr>
                <w:sz w:val="20"/>
                <w:szCs w:val="20"/>
                <w:lang w:val="uk-UA"/>
              </w:rPr>
              <w:t>т.ч</w:t>
            </w:r>
            <w:proofErr w:type="spellEnd"/>
            <w:r w:rsidRPr="00315EB9">
              <w:rPr>
                <w:sz w:val="20"/>
                <w:szCs w:val="20"/>
                <w:lang w:val="uk-UA"/>
              </w:rPr>
              <w:t xml:space="preserve">. відпрацьовані моторні, індустріальні масла та їх суміші) </w:t>
            </w:r>
          </w:p>
          <w:p w:rsidR="002221E2" w:rsidRDefault="002221E2" w:rsidP="00A77899">
            <w:pPr>
              <w:widowControl w:val="0"/>
              <w:spacing w:line="259" w:lineRule="auto"/>
              <w:contextualSpacing/>
              <w:jc w:val="both"/>
              <w:rPr>
                <w:i/>
                <w:color w:val="FF0000"/>
                <w:sz w:val="18"/>
                <w:szCs w:val="18"/>
                <w:shd w:val="clear" w:color="auto" w:fill="FFFFFF"/>
                <w:lang w:val="uk-UA"/>
              </w:rPr>
            </w:pPr>
            <w:r>
              <w:rPr>
                <w:i/>
                <w:color w:val="FF0000"/>
                <w:sz w:val="18"/>
                <w:szCs w:val="18"/>
                <w:shd w:val="clear" w:color="auto" w:fill="FFFFFF"/>
                <w:lang w:val="uk-UA"/>
              </w:rPr>
              <w:t>(Важливо!</w:t>
            </w:r>
          </w:p>
          <w:p w:rsidR="002221E2" w:rsidRDefault="002221E2" w:rsidP="00A77899">
            <w:pPr>
              <w:widowControl w:val="0"/>
              <w:spacing w:line="259" w:lineRule="auto"/>
              <w:contextualSpacing/>
              <w:jc w:val="both"/>
              <w:rPr>
                <w:i/>
                <w:color w:val="FF0000"/>
                <w:sz w:val="18"/>
                <w:szCs w:val="18"/>
                <w:shd w:val="clear" w:color="auto" w:fill="FFFFFF"/>
                <w:lang w:val="uk-UA"/>
              </w:rPr>
            </w:pPr>
            <w:r w:rsidRPr="00315EB9">
              <w:rPr>
                <w:i/>
                <w:color w:val="FF0000"/>
                <w:sz w:val="18"/>
                <w:szCs w:val="18"/>
                <w:shd w:val="clear" w:color="auto" w:fill="FFFFFF"/>
                <w:lang w:val="uk-UA"/>
              </w:rPr>
              <w:t xml:space="preserve"> Учасник</w:t>
            </w:r>
            <w:r>
              <w:rPr>
                <w:i/>
                <w:color w:val="FF0000"/>
                <w:sz w:val="18"/>
                <w:szCs w:val="18"/>
                <w:shd w:val="clear" w:color="auto" w:fill="FFFFFF"/>
                <w:lang w:val="uk-UA"/>
              </w:rPr>
              <w:t xml:space="preserve"> в Тендерній пропозиції (технічній частині) </w:t>
            </w:r>
            <w:r w:rsidRPr="00315EB9">
              <w:rPr>
                <w:i/>
                <w:color w:val="FF0000"/>
                <w:sz w:val="18"/>
                <w:szCs w:val="18"/>
                <w:shd w:val="clear" w:color="auto" w:fill="FFFFFF"/>
                <w:lang w:val="uk-UA"/>
              </w:rPr>
              <w:t xml:space="preserve"> зазначає </w:t>
            </w:r>
          </w:p>
          <w:p w:rsidR="002221E2" w:rsidRDefault="002221E2" w:rsidP="00A77899">
            <w:pPr>
              <w:widowControl w:val="0"/>
              <w:spacing w:line="259" w:lineRule="auto"/>
              <w:contextualSpacing/>
              <w:jc w:val="both"/>
              <w:rPr>
                <w:i/>
                <w:color w:val="FF0000"/>
                <w:sz w:val="18"/>
                <w:szCs w:val="18"/>
                <w:lang w:val="uk-UA"/>
              </w:rPr>
            </w:pPr>
            <w:r w:rsidRPr="00315EB9">
              <w:rPr>
                <w:b/>
                <w:bCs/>
                <w:i/>
                <w:color w:val="FF0000"/>
                <w:sz w:val="18"/>
                <w:szCs w:val="18"/>
                <w:shd w:val="clear" w:color="auto" w:fill="FFFFFF"/>
                <w:lang w:val="uk-UA"/>
              </w:rPr>
              <w:t>одну</w:t>
            </w:r>
            <w:r w:rsidRPr="00315EB9">
              <w:rPr>
                <w:i/>
                <w:color w:val="FF0000"/>
                <w:sz w:val="18"/>
                <w:szCs w:val="18"/>
                <w:shd w:val="clear" w:color="auto" w:fill="FFFFFF"/>
                <w:lang w:val="uk-UA"/>
              </w:rPr>
              <w:t xml:space="preserve"> </w:t>
            </w:r>
            <w:r w:rsidRPr="00315EB9">
              <w:rPr>
                <w:b/>
                <w:bCs/>
                <w:i/>
                <w:color w:val="FF0000"/>
                <w:sz w:val="18"/>
                <w:szCs w:val="18"/>
                <w:lang w:val="uk-UA"/>
              </w:rPr>
              <w:t xml:space="preserve">назву </w:t>
            </w:r>
            <w:r w:rsidRPr="00315EB9">
              <w:rPr>
                <w:bCs/>
                <w:i/>
                <w:color w:val="FF0000"/>
                <w:sz w:val="18"/>
                <w:szCs w:val="18"/>
                <w:lang w:val="uk-UA"/>
              </w:rPr>
              <w:t>з наведеного</w:t>
            </w:r>
            <w:r w:rsidRPr="00315EB9">
              <w:rPr>
                <w:b/>
                <w:bCs/>
                <w:i/>
                <w:color w:val="FF0000"/>
                <w:sz w:val="18"/>
                <w:szCs w:val="18"/>
                <w:lang w:val="uk-UA"/>
              </w:rPr>
              <w:t xml:space="preserve"> </w:t>
            </w:r>
            <w:r w:rsidRPr="00315EB9">
              <w:rPr>
                <w:bCs/>
                <w:i/>
                <w:color w:val="FF0000"/>
                <w:sz w:val="18"/>
                <w:szCs w:val="18"/>
                <w:lang w:val="uk-UA"/>
              </w:rPr>
              <w:t xml:space="preserve">переліку, що </w:t>
            </w:r>
            <w:r w:rsidRPr="00315EB9">
              <w:rPr>
                <w:i/>
                <w:color w:val="FF0000"/>
                <w:sz w:val="18"/>
                <w:szCs w:val="18"/>
                <w:lang w:val="uk-UA"/>
              </w:rPr>
              <w:t xml:space="preserve"> </w:t>
            </w:r>
            <w:r w:rsidRPr="00315EB9">
              <w:rPr>
                <w:bCs/>
                <w:i/>
                <w:color w:val="FF0000"/>
                <w:sz w:val="18"/>
                <w:szCs w:val="18"/>
                <w:lang w:val="uk-UA"/>
              </w:rPr>
              <w:t>відповідає  пункту</w:t>
            </w:r>
            <w:r w:rsidRPr="00315EB9">
              <w:rPr>
                <w:b/>
                <w:bCs/>
                <w:i/>
                <w:color w:val="FF0000"/>
                <w:sz w:val="18"/>
                <w:szCs w:val="18"/>
                <w:lang w:val="uk-UA"/>
              </w:rPr>
              <w:t xml:space="preserve"> </w:t>
            </w:r>
            <w:r w:rsidRPr="00315EB9">
              <w:rPr>
                <w:i/>
                <w:color w:val="FF0000"/>
                <w:sz w:val="18"/>
                <w:szCs w:val="18"/>
                <w:shd w:val="clear" w:color="auto" w:fill="FFFFFF"/>
                <w:lang w:val="uk-UA"/>
              </w:rPr>
              <w:t>Ліцензії на провадження господарської діяльності з поводження з небезпечними відходами,</w:t>
            </w:r>
            <w:r w:rsidRPr="00315EB9">
              <w:rPr>
                <w:i/>
                <w:color w:val="FF0000"/>
                <w:sz w:val="18"/>
                <w:szCs w:val="18"/>
                <w:lang w:val="uk-UA"/>
              </w:rPr>
              <w:t xml:space="preserve"> </w:t>
            </w:r>
          </w:p>
          <w:p w:rsidR="002221E2" w:rsidRDefault="002221E2" w:rsidP="00A77899">
            <w:pPr>
              <w:widowControl w:val="0"/>
              <w:spacing w:line="259" w:lineRule="auto"/>
              <w:contextualSpacing/>
              <w:jc w:val="both"/>
              <w:rPr>
                <w:b/>
                <w:bCs/>
                <w:i/>
                <w:color w:val="FF0000"/>
                <w:sz w:val="18"/>
                <w:szCs w:val="18"/>
                <w:lang w:val="uk-UA"/>
              </w:rPr>
            </w:pPr>
            <w:r w:rsidRPr="00315EB9">
              <w:rPr>
                <w:i/>
                <w:color w:val="FF0000"/>
                <w:sz w:val="18"/>
                <w:szCs w:val="18"/>
                <w:lang w:val="uk-UA"/>
              </w:rPr>
              <w:t>та</w:t>
            </w:r>
            <w:r w:rsidRPr="00315EB9">
              <w:rPr>
                <w:b/>
                <w:bCs/>
                <w:i/>
                <w:color w:val="FF0000"/>
                <w:sz w:val="18"/>
                <w:szCs w:val="18"/>
                <w:lang w:val="uk-UA"/>
              </w:rPr>
              <w:t xml:space="preserve"> </w:t>
            </w:r>
          </w:p>
          <w:p w:rsidR="002221E2" w:rsidRPr="00315EB9" w:rsidRDefault="002221E2" w:rsidP="00A77899">
            <w:pPr>
              <w:keepNext/>
              <w:keepLines/>
              <w:spacing w:line="259" w:lineRule="auto"/>
              <w:contextualSpacing/>
              <w:jc w:val="both"/>
              <w:rPr>
                <w:sz w:val="20"/>
                <w:szCs w:val="20"/>
                <w:lang w:val="uk-UA"/>
              </w:rPr>
            </w:pPr>
            <w:r w:rsidRPr="00315EB9">
              <w:rPr>
                <w:b/>
                <w:bCs/>
                <w:i/>
                <w:color w:val="FF0000"/>
                <w:sz w:val="18"/>
                <w:szCs w:val="18"/>
                <w:lang w:val="uk-UA"/>
              </w:rPr>
              <w:t xml:space="preserve">операції поводження </w:t>
            </w:r>
            <w:r w:rsidRPr="00315EB9">
              <w:rPr>
                <w:i/>
                <w:color w:val="FF0000"/>
                <w:sz w:val="18"/>
                <w:szCs w:val="18"/>
                <w:lang w:val="uk-UA"/>
              </w:rPr>
              <w:t>з відходом</w:t>
            </w:r>
            <w:r w:rsidRPr="00315EB9">
              <w:rPr>
                <w:i/>
                <w:color w:val="FF0000"/>
                <w:sz w:val="18"/>
                <w:szCs w:val="18"/>
                <w:shd w:val="clear" w:color="auto" w:fill="FFFFFF"/>
                <w:lang w:val="uk-UA"/>
              </w:rPr>
              <w:t>)</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Збирання безпечних відходів:</w:t>
            </w:r>
            <w:r w:rsidRPr="00315EB9">
              <w:rPr>
                <w:b/>
                <w:sz w:val="20"/>
                <w:szCs w:val="20"/>
                <w:lang w:val="uk-UA"/>
              </w:rPr>
              <w:t xml:space="preserve"> </w:t>
            </w:r>
            <w:r w:rsidRPr="00315EB9">
              <w:rPr>
                <w:bCs/>
                <w:sz w:val="20"/>
                <w:szCs w:val="20"/>
                <w:lang w:val="uk-UA"/>
              </w:rPr>
              <w:t xml:space="preserve">Відпрацьовані гумові вироби </w:t>
            </w:r>
          </w:p>
        </w:tc>
        <w:tc>
          <w:tcPr>
            <w:tcW w:w="1796" w:type="dxa"/>
          </w:tcPr>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20 01 99</w:t>
            </w:r>
          </w:p>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Інші відходи цієї підгрупи (Окремо зібрані фракції (за винятком 15 01)</w:t>
            </w:r>
          </w:p>
          <w:p w:rsidR="002221E2" w:rsidRPr="00315EB9" w:rsidRDefault="002221E2" w:rsidP="00A77899">
            <w:pPr>
              <w:widowControl w:val="0"/>
              <w:spacing w:line="259" w:lineRule="auto"/>
              <w:contextualSpacing/>
              <w:jc w:val="both"/>
              <w:rPr>
                <w:sz w:val="20"/>
                <w:szCs w:val="20"/>
                <w:lang w:val="uk-UA"/>
              </w:rPr>
            </w:pP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0,012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38.11 Збирання безпечних відходів</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4A7B36" w:rsidRDefault="002221E2" w:rsidP="00A77899">
            <w:pPr>
              <w:keepNext/>
              <w:keepLines/>
              <w:spacing w:line="259" w:lineRule="auto"/>
              <w:contextualSpacing/>
              <w:jc w:val="both"/>
              <w:rPr>
                <w:bCs/>
                <w:sz w:val="20"/>
                <w:szCs w:val="20"/>
                <w:lang w:val="uk-UA"/>
              </w:rPr>
            </w:pPr>
            <w:r w:rsidRPr="00315EB9">
              <w:rPr>
                <w:sz w:val="20"/>
                <w:szCs w:val="20"/>
                <w:lang w:val="uk-UA"/>
              </w:rPr>
              <w:t>Збирання безпечних відходів:</w:t>
            </w:r>
            <w:r w:rsidRPr="00315EB9">
              <w:rPr>
                <w:b/>
                <w:sz w:val="20"/>
                <w:szCs w:val="20"/>
                <w:lang w:val="uk-UA"/>
              </w:rPr>
              <w:t xml:space="preserve"> </w:t>
            </w:r>
            <w:r w:rsidRPr="00315EB9">
              <w:rPr>
                <w:bCs/>
                <w:sz w:val="20"/>
                <w:szCs w:val="20"/>
                <w:lang w:val="uk-UA"/>
              </w:rPr>
              <w:t xml:space="preserve">Відпрацьовані гумові вироби  </w:t>
            </w:r>
            <w:r w:rsidRPr="004A7B36">
              <w:rPr>
                <w:bCs/>
                <w:sz w:val="20"/>
                <w:szCs w:val="20"/>
                <w:lang w:val="uk-UA"/>
              </w:rPr>
              <w:t>(матеріали)</w:t>
            </w:r>
          </w:p>
          <w:p w:rsidR="002221E2" w:rsidRPr="00315EB9" w:rsidRDefault="002221E2" w:rsidP="00A77899">
            <w:pPr>
              <w:widowControl w:val="0"/>
              <w:spacing w:line="259" w:lineRule="auto"/>
              <w:contextualSpacing/>
              <w:rPr>
                <w:sz w:val="20"/>
                <w:szCs w:val="20"/>
                <w:lang w:val="uk-UA"/>
              </w:rPr>
            </w:pPr>
          </w:p>
        </w:tc>
        <w:tc>
          <w:tcPr>
            <w:tcW w:w="1796" w:type="dxa"/>
          </w:tcPr>
          <w:p w:rsidR="002221E2" w:rsidRPr="00315EB9" w:rsidRDefault="002221E2" w:rsidP="00A77899">
            <w:pPr>
              <w:tabs>
                <w:tab w:val="left" w:pos="993"/>
                <w:tab w:val="left" w:pos="1276"/>
              </w:tabs>
              <w:suppressAutoHyphens/>
              <w:spacing w:line="240" w:lineRule="atLeast"/>
              <w:ind w:left="27"/>
              <w:contextualSpacing/>
              <w:rPr>
                <w:sz w:val="20"/>
                <w:szCs w:val="20"/>
                <w:lang w:val="uk-UA"/>
              </w:rPr>
            </w:pPr>
            <w:r w:rsidRPr="00315EB9">
              <w:rPr>
                <w:sz w:val="20"/>
                <w:szCs w:val="20"/>
                <w:lang w:val="uk-UA"/>
              </w:rPr>
              <w:t>07 02 99</w:t>
            </w:r>
          </w:p>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Інші відходи цієї підгрупи</w:t>
            </w:r>
            <w:r w:rsidRPr="00315EB9">
              <w:rPr>
                <w:sz w:val="16"/>
                <w:szCs w:val="16"/>
                <w:lang w:val="uk-UA"/>
              </w:rPr>
              <w:t xml:space="preserve"> (</w:t>
            </w:r>
            <w:r w:rsidRPr="00315EB9">
              <w:rPr>
                <w:sz w:val="20"/>
                <w:szCs w:val="20"/>
                <w:lang w:val="uk-UA"/>
              </w:rPr>
              <w:t>Відходи виробництва, приготування, постачання та використання пластмас, синтетичного каучуку, та штучних волокон)</w:t>
            </w:r>
            <w:r w:rsidRPr="00315EB9">
              <w:rPr>
                <w:bCs/>
                <w:sz w:val="20"/>
                <w:szCs w:val="20"/>
                <w:lang w:val="uk-UA"/>
              </w:rPr>
              <w:t xml:space="preserve"> </w:t>
            </w:r>
          </w:p>
        </w:tc>
        <w:tc>
          <w:tcPr>
            <w:tcW w:w="987"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т</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0,02</w:t>
            </w:r>
          </w:p>
        </w:tc>
        <w:tc>
          <w:tcPr>
            <w:tcW w:w="3974" w:type="dxa"/>
          </w:tcPr>
          <w:p w:rsidR="002221E2" w:rsidRPr="00315EB9" w:rsidRDefault="002221E2" w:rsidP="00A77899">
            <w:pPr>
              <w:widowControl w:val="0"/>
              <w:spacing w:line="259" w:lineRule="auto"/>
              <w:contextualSpacing/>
              <w:jc w:val="both"/>
              <w:rPr>
                <w:sz w:val="20"/>
                <w:szCs w:val="20"/>
                <w:lang w:val="uk-UA"/>
              </w:rPr>
            </w:pPr>
            <w:r w:rsidRPr="00315EB9">
              <w:rPr>
                <w:sz w:val="20"/>
                <w:szCs w:val="20"/>
                <w:lang w:val="uk-UA"/>
              </w:rPr>
              <w:t>38.11 Збирання безпечних відходів</w:t>
            </w:r>
          </w:p>
        </w:tc>
      </w:tr>
      <w:tr w:rsidR="002221E2" w:rsidRPr="00315EB9" w:rsidTr="00A77899">
        <w:trPr>
          <w:trHeight w:val="335"/>
          <w:jc w:val="center"/>
        </w:trPr>
        <w:tc>
          <w:tcPr>
            <w:tcW w:w="826" w:type="dxa"/>
          </w:tcPr>
          <w:p w:rsidR="002221E2" w:rsidRPr="00315EB9" w:rsidRDefault="002221E2" w:rsidP="002221E2">
            <w:pPr>
              <w:widowControl w:val="0"/>
              <w:numPr>
                <w:ilvl w:val="0"/>
                <w:numId w:val="26"/>
              </w:numPr>
              <w:spacing w:line="259" w:lineRule="auto"/>
              <w:contextualSpacing/>
              <w:rPr>
                <w:sz w:val="20"/>
                <w:szCs w:val="20"/>
                <w:lang w:val="uk-UA"/>
              </w:rPr>
            </w:pPr>
          </w:p>
        </w:tc>
        <w:tc>
          <w:tcPr>
            <w:tcW w:w="2041" w:type="dxa"/>
          </w:tcPr>
          <w:p w:rsidR="002221E2" w:rsidRPr="00315EB9" w:rsidRDefault="002221E2" w:rsidP="00A77899">
            <w:pPr>
              <w:widowControl w:val="0"/>
              <w:spacing w:line="259" w:lineRule="auto"/>
              <w:contextualSpacing/>
              <w:rPr>
                <w:sz w:val="20"/>
                <w:szCs w:val="20"/>
                <w:lang w:val="uk-UA"/>
              </w:rPr>
            </w:pPr>
            <w:r w:rsidRPr="00315EB9">
              <w:rPr>
                <w:sz w:val="20"/>
                <w:szCs w:val="20"/>
                <w:lang w:val="uk-UA"/>
              </w:rPr>
              <w:t>Транспортні послуги</w:t>
            </w:r>
          </w:p>
        </w:tc>
        <w:tc>
          <w:tcPr>
            <w:tcW w:w="1796" w:type="dxa"/>
          </w:tcPr>
          <w:p w:rsidR="002221E2" w:rsidRPr="00315EB9" w:rsidRDefault="002221E2" w:rsidP="00A77899">
            <w:pPr>
              <w:widowControl w:val="0"/>
              <w:spacing w:line="259" w:lineRule="auto"/>
              <w:contextualSpacing/>
              <w:jc w:val="center"/>
              <w:rPr>
                <w:sz w:val="20"/>
                <w:szCs w:val="20"/>
                <w:lang w:val="uk-UA"/>
              </w:rPr>
            </w:pPr>
          </w:p>
        </w:tc>
        <w:tc>
          <w:tcPr>
            <w:tcW w:w="987" w:type="dxa"/>
          </w:tcPr>
          <w:p w:rsidR="002221E2" w:rsidRPr="00315EB9" w:rsidRDefault="002221E2" w:rsidP="00A77899">
            <w:pPr>
              <w:widowControl w:val="0"/>
              <w:spacing w:line="259" w:lineRule="auto"/>
              <w:contextualSpacing/>
              <w:jc w:val="center"/>
              <w:rPr>
                <w:sz w:val="20"/>
                <w:szCs w:val="20"/>
                <w:lang w:val="uk-UA"/>
              </w:rPr>
            </w:pPr>
            <w:r>
              <w:rPr>
                <w:sz w:val="20"/>
                <w:szCs w:val="20"/>
                <w:lang w:val="uk-UA"/>
              </w:rPr>
              <w:t>послуга</w:t>
            </w:r>
          </w:p>
        </w:tc>
        <w:tc>
          <w:tcPr>
            <w:tcW w:w="1134" w:type="dxa"/>
          </w:tcPr>
          <w:p w:rsidR="002221E2" w:rsidRPr="00315EB9" w:rsidRDefault="002221E2" w:rsidP="00A77899">
            <w:pPr>
              <w:widowControl w:val="0"/>
              <w:spacing w:line="259" w:lineRule="auto"/>
              <w:contextualSpacing/>
              <w:jc w:val="center"/>
              <w:rPr>
                <w:sz w:val="20"/>
                <w:szCs w:val="20"/>
                <w:lang w:val="uk-UA"/>
              </w:rPr>
            </w:pPr>
            <w:r w:rsidRPr="00315EB9">
              <w:rPr>
                <w:sz w:val="20"/>
                <w:szCs w:val="20"/>
                <w:lang w:val="uk-UA"/>
              </w:rPr>
              <w:t>2</w:t>
            </w:r>
          </w:p>
        </w:tc>
        <w:tc>
          <w:tcPr>
            <w:tcW w:w="3974" w:type="dxa"/>
          </w:tcPr>
          <w:p w:rsidR="002221E2" w:rsidRPr="00315EB9" w:rsidRDefault="002221E2" w:rsidP="00A77899">
            <w:pPr>
              <w:widowControl w:val="0"/>
              <w:spacing w:line="259" w:lineRule="auto"/>
              <w:contextualSpacing/>
              <w:jc w:val="both"/>
              <w:rPr>
                <w:i/>
                <w:sz w:val="20"/>
                <w:szCs w:val="20"/>
                <w:lang w:val="uk-UA"/>
              </w:rPr>
            </w:pPr>
            <w:r w:rsidRPr="00315EB9">
              <w:rPr>
                <w:sz w:val="20"/>
                <w:szCs w:val="20"/>
                <w:shd w:val="clear" w:color="auto" w:fill="FFFFFF"/>
                <w:lang w:val="uk-UA"/>
              </w:rPr>
              <w:t>Здійснення перевезення небезпечних відходів вантажними автомобілями</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69" w:rsidRDefault="00E54F69">
      <w:r>
        <w:separator/>
      </w:r>
    </w:p>
  </w:endnote>
  <w:endnote w:type="continuationSeparator" w:id="0">
    <w:p w:rsidR="00E54F69" w:rsidRDefault="00E5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7099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E46B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F5C3A">
      <w:rPr>
        <w:sz w:val="20"/>
        <w:szCs w:val="20"/>
        <w:lang w:val="uk-UA"/>
      </w:rPr>
      <w:t>Послуги із здійснення операцій поводження з небезпечними відходами та хімічними речовинами, код ДК 021:2015 - 90520000-8 - Послуги у сфері поводження з радіоактивними, токсичними, медичними та небезпечними відходами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221E2">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221E2">
      <w:rPr>
        <w:bCs/>
        <w:noProof/>
        <w:sz w:val="20"/>
        <w:szCs w:val="20"/>
      </w:rPr>
      <w:t>11</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69" w:rsidRDefault="00E54F69">
      <w:r>
        <w:separator/>
      </w:r>
    </w:p>
  </w:footnote>
  <w:footnote w:type="continuationSeparator" w:id="0">
    <w:p w:rsidR="00E54F69" w:rsidRDefault="00E5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7099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659A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C0FF6"/>
    <w:multiLevelType w:val="hybridMultilevel"/>
    <w:tmpl w:val="0D4A3F1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1E2"/>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099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5C3A"/>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4F69"/>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76945"/>
  <w15:chartTrackingRefBased/>
  <w15:docId w15:val="{CDD2DCFF-0A50-4AE0-90B0-0FBCEA2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26BF-378D-46BF-A38C-9BD4D52B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13692</Words>
  <Characters>7806</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2023-09-07T14:31:00Z</dcterms:created>
  <dcterms:modified xsi:type="dcterms:W3CDTF">2023-09-07T14:33:00Z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