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1A47CA" w:rsidTr="001021AF">
        <w:tc>
          <w:tcPr>
            <w:tcW w:w="4683" w:type="dxa"/>
          </w:tcPr>
          <w:p w:rsidR="00825A6B" w:rsidRPr="001A47CA" w:rsidRDefault="009171E5" w:rsidP="006926A0">
            <w:pPr>
              <w:pStyle w:val="a3"/>
              <w:widowControl w:val="0"/>
              <w:rPr>
                <w:szCs w:val="17"/>
                <w:lang w:val="uk-UA"/>
              </w:rPr>
            </w:pPr>
            <w:r w:rsidRPr="001A47CA">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1A47CA" w:rsidRDefault="006926A0" w:rsidP="006926A0">
            <w:pPr>
              <w:widowControl w:val="0"/>
              <w:autoSpaceDE w:val="0"/>
              <w:autoSpaceDN w:val="0"/>
              <w:adjustRightInd w:val="0"/>
              <w:rPr>
                <w:rFonts w:ascii="Times New Roman CYR" w:hAnsi="Times New Roman CYR"/>
                <w:b/>
              </w:rPr>
            </w:pPr>
            <w:r w:rsidRPr="001A47CA">
              <w:rPr>
                <w:rFonts w:ascii="Times New Roman CYR" w:hAnsi="Times New Roman CYR"/>
                <w:b/>
              </w:rPr>
              <w:t>ДЕРЖАВНЕ ПІДПРИЄМСТВО</w:t>
            </w:r>
          </w:p>
          <w:p w:rsidR="00DD71E4" w:rsidRPr="001A47CA" w:rsidRDefault="006926A0" w:rsidP="006926A0">
            <w:pPr>
              <w:widowControl w:val="0"/>
              <w:autoSpaceDE w:val="0"/>
              <w:autoSpaceDN w:val="0"/>
              <w:adjustRightInd w:val="0"/>
            </w:pPr>
            <w:r w:rsidRPr="001A47CA">
              <w:rPr>
                <w:rFonts w:ascii="Times New Roman CYR" w:hAnsi="Times New Roman CYR"/>
                <w:b/>
              </w:rPr>
              <w:t>«</w:t>
            </w:r>
            <w:r w:rsidRPr="001A47CA">
              <w:rPr>
                <w:b/>
              </w:rPr>
              <w:t>МІЖНАРОДНИЙ АЕРОПОРТ «БОРИСПІЛЬ»</w:t>
            </w:r>
            <w:r w:rsidRPr="001A47CA">
              <w:t xml:space="preserve"> </w:t>
            </w:r>
          </w:p>
          <w:p w:rsidR="006926A0" w:rsidRPr="001A47CA" w:rsidRDefault="006926A0" w:rsidP="006926A0">
            <w:pPr>
              <w:widowControl w:val="0"/>
              <w:autoSpaceDE w:val="0"/>
              <w:autoSpaceDN w:val="0"/>
              <w:adjustRightInd w:val="0"/>
            </w:pPr>
            <w:r w:rsidRPr="001A47CA">
              <w:t>08300, Україна, Київська обл., Бориспільський рай</w:t>
            </w:r>
            <w:r w:rsidR="000A4798" w:rsidRPr="001A47CA">
              <w:t>он, село Гора, вулиця Бориспіль</w:t>
            </w:r>
            <w:r w:rsidRPr="001A47CA">
              <w:t xml:space="preserve">-7, код 20572069, </w:t>
            </w:r>
          </w:p>
          <w:p w:rsidR="00825A6B" w:rsidRPr="001A47CA" w:rsidRDefault="006926A0" w:rsidP="006926A0">
            <w:pPr>
              <w:pStyle w:val="4"/>
              <w:keepNext w:val="0"/>
              <w:widowControl w:val="0"/>
              <w:ind w:left="0"/>
              <w:jc w:val="left"/>
            </w:pPr>
            <w:r w:rsidRPr="001A47CA">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1A47CA">
              <w:rPr>
                <w:color w:val="000000"/>
              </w:rPr>
              <w:t>»</w:t>
            </w:r>
          </w:p>
        </w:tc>
      </w:tr>
      <w:tr w:rsidR="001021AF" w:rsidRPr="001A47CA" w:rsidTr="00C62708">
        <w:tc>
          <w:tcPr>
            <w:tcW w:w="9854" w:type="dxa"/>
            <w:gridSpan w:val="2"/>
          </w:tcPr>
          <w:p w:rsidR="003C4B6B" w:rsidRPr="001A47CA" w:rsidRDefault="003C4B6B" w:rsidP="007D7B6F">
            <w:pPr>
              <w:pStyle w:val="1"/>
              <w:keepNext w:val="0"/>
              <w:widowControl w:val="0"/>
              <w:rPr>
                <w:sz w:val="28"/>
                <w:szCs w:val="28"/>
              </w:rPr>
            </w:pPr>
          </w:p>
          <w:p w:rsidR="001021AF" w:rsidRPr="001A47CA" w:rsidRDefault="007D7B6F" w:rsidP="007D7B6F">
            <w:pPr>
              <w:pStyle w:val="1"/>
              <w:keepNext w:val="0"/>
              <w:widowControl w:val="0"/>
            </w:pPr>
            <w:r w:rsidRPr="001A47CA">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1A47CA" w:rsidRDefault="005F3529" w:rsidP="0063471D">
      <w:pPr>
        <w:pStyle w:val="a3"/>
        <w:widowControl w:val="0"/>
        <w:jc w:val="both"/>
        <w:rPr>
          <w:sz w:val="24"/>
          <w:szCs w:val="24"/>
          <w:lang w:val="uk-UA"/>
        </w:rPr>
      </w:pPr>
    </w:p>
    <w:p w:rsidR="007D7B6F" w:rsidRPr="001A47CA" w:rsidRDefault="003C4B6B" w:rsidP="0063471D">
      <w:pPr>
        <w:pStyle w:val="a3"/>
        <w:widowControl w:val="0"/>
        <w:jc w:val="both"/>
        <w:rPr>
          <w:sz w:val="24"/>
          <w:szCs w:val="24"/>
          <w:lang w:val="uk-UA"/>
        </w:rPr>
      </w:pPr>
      <w:r w:rsidRPr="001A47CA">
        <w:rPr>
          <w:sz w:val="24"/>
          <w:szCs w:val="24"/>
          <w:lang w:val="uk-UA"/>
        </w:rPr>
        <w:t xml:space="preserve">Підстава: </w:t>
      </w:r>
      <w:r w:rsidR="007D7B6F" w:rsidRPr="001A47CA">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1A47CA"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1A47CA" w:rsidTr="00271F26">
        <w:tc>
          <w:tcPr>
            <w:tcW w:w="487" w:type="pct"/>
            <w:shd w:val="clear" w:color="auto" w:fill="DEEAF6"/>
          </w:tcPr>
          <w:p w:rsidR="00A76484" w:rsidRPr="001A47CA" w:rsidRDefault="00A76484" w:rsidP="002D4D30">
            <w:pPr>
              <w:widowControl w:val="0"/>
              <w:contextualSpacing/>
              <w:jc w:val="center"/>
              <w:rPr>
                <w:b/>
                <w:sz w:val="22"/>
                <w:szCs w:val="22"/>
              </w:rPr>
            </w:pPr>
            <w:r w:rsidRPr="001A47CA">
              <w:rPr>
                <w:b/>
                <w:sz w:val="22"/>
                <w:szCs w:val="22"/>
              </w:rPr>
              <w:t>Пункт Кошторису</w:t>
            </w:r>
          </w:p>
        </w:tc>
        <w:tc>
          <w:tcPr>
            <w:tcW w:w="1527" w:type="pct"/>
            <w:shd w:val="clear" w:color="auto" w:fill="DEEAF6"/>
          </w:tcPr>
          <w:p w:rsidR="00A76484" w:rsidRPr="001A47CA" w:rsidRDefault="00A76484" w:rsidP="002D4D30">
            <w:pPr>
              <w:widowControl w:val="0"/>
              <w:contextualSpacing/>
              <w:jc w:val="center"/>
              <w:rPr>
                <w:b/>
                <w:sz w:val="22"/>
                <w:szCs w:val="22"/>
              </w:rPr>
            </w:pPr>
            <w:r w:rsidRPr="001A47CA">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1A47CA" w:rsidRDefault="00A76484" w:rsidP="00DB2D70">
            <w:pPr>
              <w:widowControl w:val="0"/>
              <w:contextualSpacing/>
              <w:jc w:val="center"/>
              <w:rPr>
                <w:b/>
                <w:sz w:val="22"/>
                <w:szCs w:val="22"/>
              </w:rPr>
            </w:pPr>
            <w:r w:rsidRPr="001A47CA">
              <w:rPr>
                <w:b/>
                <w:sz w:val="22"/>
                <w:szCs w:val="22"/>
              </w:rPr>
              <w:t>Очікувана варт</w:t>
            </w:r>
            <w:r w:rsidR="00DB2D70" w:rsidRPr="001A47CA">
              <w:rPr>
                <w:b/>
                <w:sz w:val="22"/>
                <w:szCs w:val="22"/>
              </w:rPr>
              <w:t>ість предмета закупівлі згідно р</w:t>
            </w:r>
            <w:r w:rsidRPr="001A47CA">
              <w:rPr>
                <w:b/>
                <w:sz w:val="22"/>
                <w:szCs w:val="22"/>
              </w:rPr>
              <w:t xml:space="preserve">ічного плану </w:t>
            </w:r>
            <w:proofErr w:type="spellStart"/>
            <w:r w:rsidRPr="001A47CA">
              <w:rPr>
                <w:b/>
                <w:sz w:val="22"/>
                <w:szCs w:val="22"/>
              </w:rPr>
              <w:t>закупівель</w:t>
            </w:r>
            <w:proofErr w:type="spellEnd"/>
          </w:p>
        </w:tc>
        <w:tc>
          <w:tcPr>
            <w:tcW w:w="1102" w:type="pct"/>
            <w:shd w:val="clear" w:color="auto" w:fill="DEEAF6"/>
          </w:tcPr>
          <w:p w:rsidR="00A76484" w:rsidRPr="001A47CA" w:rsidRDefault="00A76484" w:rsidP="002D4D30">
            <w:pPr>
              <w:widowControl w:val="0"/>
              <w:contextualSpacing/>
              <w:jc w:val="center"/>
              <w:rPr>
                <w:b/>
                <w:sz w:val="22"/>
                <w:szCs w:val="22"/>
              </w:rPr>
            </w:pPr>
            <w:r w:rsidRPr="001A47CA">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1A47CA" w:rsidRDefault="00A355EA" w:rsidP="002D4D30">
            <w:pPr>
              <w:widowControl w:val="0"/>
              <w:contextualSpacing/>
              <w:jc w:val="center"/>
              <w:rPr>
                <w:b/>
                <w:sz w:val="22"/>
                <w:szCs w:val="22"/>
              </w:rPr>
            </w:pPr>
            <w:r w:rsidRPr="001A47CA">
              <w:rPr>
                <w:b/>
                <w:sz w:val="22"/>
                <w:szCs w:val="22"/>
              </w:rPr>
              <w:t>Ідентифікатор процедури закупівлі</w:t>
            </w:r>
          </w:p>
        </w:tc>
      </w:tr>
      <w:tr w:rsidR="00271F26" w:rsidRPr="001A47CA" w:rsidTr="00271F26">
        <w:tc>
          <w:tcPr>
            <w:tcW w:w="487" w:type="pct"/>
          </w:tcPr>
          <w:p w:rsidR="00271F26" w:rsidRPr="001A47CA" w:rsidRDefault="00271F26" w:rsidP="00271F26">
            <w:pPr>
              <w:widowControl w:val="0"/>
              <w:ind w:right="-11"/>
              <w:jc w:val="center"/>
              <w:rPr>
                <w:sz w:val="22"/>
                <w:szCs w:val="22"/>
              </w:rPr>
            </w:pPr>
            <w:r w:rsidRPr="001A47CA">
              <w:rPr>
                <w:sz w:val="22"/>
                <w:szCs w:val="22"/>
              </w:rPr>
              <w:t xml:space="preserve">23.16 </w:t>
            </w:r>
          </w:p>
          <w:p w:rsidR="00271F26" w:rsidRPr="001A47CA" w:rsidRDefault="00271F26" w:rsidP="00271F26">
            <w:pPr>
              <w:widowControl w:val="0"/>
              <w:ind w:right="-11"/>
              <w:jc w:val="center"/>
              <w:rPr>
                <w:sz w:val="22"/>
                <w:szCs w:val="22"/>
                <w:lang w:eastAsia="uk-UA"/>
              </w:rPr>
            </w:pPr>
            <w:r w:rsidRPr="001A47CA">
              <w:rPr>
                <w:sz w:val="22"/>
                <w:szCs w:val="22"/>
                <w:lang w:eastAsia="uk-UA"/>
              </w:rPr>
              <w:t>(2023)</w:t>
            </w:r>
          </w:p>
        </w:tc>
        <w:tc>
          <w:tcPr>
            <w:tcW w:w="1527" w:type="pct"/>
          </w:tcPr>
          <w:p w:rsidR="00271F26" w:rsidRPr="001A47CA" w:rsidRDefault="00271F26" w:rsidP="00271F26">
            <w:pPr>
              <w:widowControl w:val="0"/>
              <w:rPr>
                <w:bCs/>
                <w:sz w:val="22"/>
                <w:szCs w:val="22"/>
              </w:rPr>
            </w:pPr>
            <w:r w:rsidRPr="001A47CA">
              <w:rPr>
                <w:b/>
                <w:sz w:val="22"/>
                <w:szCs w:val="22"/>
              </w:rPr>
              <w:t xml:space="preserve">Надання в користування міжміських цифрових каналів (Е1), </w:t>
            </w:r>
            <w:r w:rsidRPr="001A47CA">
              <w:rPr>
                <w:sz w:val="22"/>
                <w:szCs w:val="22"/>
              </w:rPr>
              <w:t xml:space="preserve">код ДК 021:2015 - 64210000-1 - Послуги телефонного зв’язку та передачі даних </w:t>
            </w:r>
          </w:p>
        </w:tc>
        <w:tc>
          <w:tcPr>
            <w:tcW w:w="947" w:type="pct"/>
          </w:tcPr>
          <w:p w:rsidR="00271F26" w:rsidRPr="001A47CA" w:rsidRDefault="00271F26" w:rsidP="00271F26">
            <w:pPr>
              <w:widowControl w:val="0"/>
              <w:jc w:val="center"/>
              <w:rPr>
                <w:sz w:val="22"/>
                <w:szCs w:val="22"/>
              </w:rPr>
            </w:pPr>
            <w:r w:rsidRPr="001A47CA">
              <w:rPr>
                <w:sz w:val="22"/>
                <w:szCs w:val="22"/>
              </w:rPr>
              <w:t xml:space="preserve">685 490,61 </w:t>
            </w:r>
          </w:p>
          <w:p w:rsidR="00271F26" w:rsidRPr="001A47CA" w:rsidRDefault="00271F26" w:rsidP="00271F26">
            <w:pPr>
              <w:widowControl w:val="0"/>
              <w:jc w:val="center"/>
              <w:rPr>
                <w:sz w:val="22"/>
                <w:szCs w:val="22"/>
              </w:rPr>
            </w:pPr>
            <w:r w:rsidRPr="001A47CA">
              <w:rPr>
                <w:sz w:val="22"/>
                <w:szCs w:val="22"/>
              </w:rPr>
              <w:t>грн. з ПДВ</w:t>
            </w:r>
          </w:p>
        </w:tc>
        <w:tc>
          <w:tcPr>
            <w:tcW w:w="1102" w:type="pct"/>
          </w:tcPr>
          <w:p w:rsidR="00271F26" w:rsidRPr="001A47CA" w:rsidRDefault="00271F26" w:rsidP="00271F26">
            <w:pPr>
              <w:widowControl w:val="0"/>
              <w:jc w:val="center"/>
              <w:rPr>
                <w:sz w:val="22"/>
                <w:szCs w:val="22"/>
              </w:rPr>
            </w:pPr>
            <w:r w:rsidRPr="001A47CA">
              <w:rPr>
                <w:sz w:val="22"/>
                <w:szCs w:val="22"/>
              </w:rPr>
              <w:t>571 242,17</w:t>
            </w:r>
          </w:p>
          <w:p w:rsidR="00271F26" w:rsidRPr="001A47CA" w:rsidRDefault="00271F26" w:rsidP="00271F26">
            <w:pPr>
              <w:widowControl w:val="0"/>
              <w:jc w:val="center"/>
              <w:rPr>
                <w:sz w:val="22"/>
                <w:szCs w:val="22"/>
              </w:rPr>
            </w:pPr>
            <w:r w:rsidRPr="001A47CA">
              <w:rPr>
                <w:sz w:val="22"/>
                <w:szCs w:val="22"/>
              </w:rPr>
              <w:t xml:space="preserve">грн. без ПДВ </w:t>
            </w:r>
          </w:p>
        </w:tc>
        <w:tc>
          <w:tcPr>
            <w:tcW w:w="936" w:type="pct"/>
          </w:tcPr>
          <w:p w:rsidR="00271F26" w:rsidRPr="001A47CA" w:rsidRDefault="00C66420" w:rsidP="00271F26">
            <w:pPr>
              <w:widowControl w:val="0"/>
              <w:jc w:val="center"/>
              <w:rPr>
                <w:color w:val="0000FF"/>
                <w:sz w:val="22"/>
                <w:szCs w:val="22"/>
              </w:rPr>
            </w:pPr>
            <w:r w:rsidRPr="00C66420">
              <w:rPr>
                <w:color w:val="0000FF"/>
                <w:sz w:val="22"/>
                <w:szCs w:val="22"/>
              </w:rPr>
              <w:t>UA-2023-11-29-015158-a</w:t>
            </w:r>
            <w:bookmarkStart w:id="0" w:name="_GoBack"/>
            <w:bookmarkEnd w:id="0"/>
          </w:p>
        </w:tc>
      </w:tr>
    </w:tbl>
    <w:p w:rsidR="00A12478" w:rsidRPr="001A47CA" w:rsidRDefault="00A12478" w:rsidP="0063471D">
      <w:pPr>
        <w:pStyle w:val="a3"/>
        <w:widowControl w:val="0"/>
        <w:jc w:val="both"/>
        <w:rPr>
          <w:sz w:val="24"/>
          <w:szCs w:val="24"/>
          <w:lang w:val="uk-UA"/>
        </w:rPr>
      </w:pPr>
    </w:p>
    <w:p w:rsidR="00A355EA" w:rsidRPr="001A47CA" w:rsidRDefault="00A355EA" w:rsidP="00C62708">
      <w:pPr>
        <w:widowControl w:val="0"/>
        <w:shd w:val="clear" w:color="auto" w:fill="DEEAF6"/>
        <w:jc w:val="center"/>
      </w:pPr>
      <w:r w:rsidRPr="001A47CA">
        <w:rPr>
          <w:b/>
        </w:rPr>
        <w:t>Обґрунтування на виконання вимог Постанови КМУ від 11.10.2016 № 710:</w:t>
      </w:r>
    </w:p>
    <w:p w:rsidR="006F428D" w:rsidRPr="001A47CA"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1A47CA"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1A47CA" w:rsidRDefault="006F428D" w:rsidP="00C62708">
            <w:r w:rsidRPr="001A47CA">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1A47CA" w:rsidRDefault="006F428D" w:rsidP="00C62708">
            <w:r w:rsidRPr="001A47CA">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1A47CA" w:rsidRDefault="000C51AA" w:rsidP="000C51AA">
            <w:pPr>
              <w:jc w:val="both"/>
              <w:rPr>
                <w:i/>
              </w:rPr>
            </w:pPr>
            <w:r w:rsidRPr="001A47CA">
              <w:rPr>
                <w:bCs/>
                <w:kern w:val="1"/>
                <w:lang w:eastAsia="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1A47CA">
              <w:rPr>
                <w:bCs/>
                <w:kern w:val="1"/>
                <w:lang w:eastAsia="uk-UA"/>
              </w:rPr>
              <w:t>закупівель</w:t>
            </w:r>
            <w:proofErr w:type="spellEnd"/>
            <w:r w:rsidRPr="001A47CA">
              <w:rPr>
                <w:bCs/>
                <w:kern w:val="1"/>
                <w:lang w:eastAsia="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Для розрахунку використано єдину цінову пропозицію, що відповідає технічним вимогам до предмета закупівлі. Інші потенційні постачальники не мають технічної можливості, не надали цінові пропозиції або надали технічне рішення, що не відповідає вимогам до предмету закупівлі.</w:t>
            </w:r>
          </w:p>
        </w:tc>
      </w:tr>
      <w:tr w:rsidR="006F428D" w:rsidRPr="001A47CA"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1A47CA" w:rsidRDefault="006F428D" w:rsidP="00C62708">
            <w:pPr>
              <w:rPr>
                <w:bCs/>
              </w:rPr>
            </w:pPr>
            <w:r w:rsidRPr="001A47CA">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1A47CA" w:rsidRDefault="006F428D" w:rsidP="00C62708">
            <w:r w:rsidRPr="001A47CA">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1A47CA" w:rsidRDefault="000C51AA" w:rsidP="000C51AA">
            <w:pPr>
              <w:jc w:val="both"/>
              <w:rPr>
                <w:i/>
              </w:rPr>
            </w:pPr>
            <w:r w:rsidRPr="001A47CA">
              <w:rPr>
                <w:bCs/>
                <w:kern w:val="1"/>
                <w:lang w:eastAsia="uk-UA"/>
              </w:rPr>
              <w:t>Згідно з Проектною документацією “МОДЕРНІЗАЦІЯ ТМЗК ПАТ «УКРТЕЛЕКОМ» ЗА ПРОЕКТОМ В6. РОБОЧИЙ ПРОЕКТ. ТОМ 5.35. ВЗАЄМОЗ’ЄДНАННЯ МЕРЕЖ ОПЕРАТОРІВ ПАТ «УКРТЕЛЕКОМ» ТА ДП «МІЖНАРОДНИЙ АЕРОПОРТ «БОРИСПІЛЬ» В М. КИЇВ.  80D290-1263/17-5.35-СЗ. 2018”</w:t>
            </w:r>
          </w:p>
        </w:tc>
      </w:tr>
      <w:tr w:rsidR="006F428D" w:rsidRPr="001A47CA"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1A47CA" w:rsidRDefault="006F428D" w:rsidP="00C62708">
            <w:pPr>
              <w:rPr>
                <w:bCs/>
              </w:rPr>
            </w:pPr>
            <w:r w:rsidRPr="001A47CA">
              <w:rPr>
                <w:bCs/>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1A47CA" w:rsidRDefault="006F428D" w:rsidP="00C62708">
            <w:r w:rsidRPr="001A47CA">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1A47CA" w:rsidRDefault="003E5ACF" w:rsidP="00C62708">
            <w:r w:rsidRPr="001A47CA">
              <w:t>-</w:t>
            </w:r>
          </w:p>
        </w:tc>
      </w:tr>
    </w:tbl>
    <w:p w:rsidR="006F428D" w:rsidRPr="001A47CA" w:rsidRDefault="006F428D" w:rsidP="00A12478">
      <w:pPr>
        <w:rPr>
          <w:b/>
        </w:rPr>
      </w:pPr>
    </w:p>
    <w:p w:rsidR="006926A0" w:rsidRPr="001A47CA" w:rsidRDefault="006926A0" w:rsidP="006926A0">
      <w:pPr>
        <w:ind w:firstLine="567"/>
        <w:jc w:val="both"/>
      </w:pPr>
      <w:r w:rsidRPr="001A47CA">
        <w:lastRenderedPageBreak/>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1A47CA"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2412"/>
        <w:gridCol w:w="1413"/>
        <w:gridCol w:w="1256"/>
        <w:gridCol w:w="4035"/>
      </w:tblGrid>
      <w:tr w:rsidR="00597C74" w:rsidRPr="001A47CA" w:rsidTr="009D14D6">
        <w:tc>
          <w:tcPr>
            <w:tcW w:w="529" w:type="pct"/>
            <w:shd w:val="clear" w:color="auto" w:fill="FFF2CC" w:themeFill="accent4" w:themeFillTint="33"/>
          </w:tcPr>
          <w:p w:rsidR="00597C74" w:rsidRPr="001A47CA" w:rsidRDefault="00597C74" w:rsidP="009D14D6">
            <w:pPr>
              <w:widowControl w:val="0"/>
              <w:jc w:val="center"/>
              <w:rPr>
                <w:b/>
                <w:sz w:val="22"/>
                <w:szCs w:val="22"/>
              </w:rPr>
            </w:pPr>
            <w:r w:rsidRPr="001A47CA">
              <w:rPr>
                <w:b/>
                <w:sz w:val="22"/>
                <w:szCs w:val="22"/>
              </w:rPr>
              <w:t>№ п/п</w:t>
            </w:r>
          </w:p>
        </w:tc>
        <w:tc>
          <w:tcPr>
            <w:tcW w:w="1183" w:type="pct"/>
            <w:shd w:val="clear" w:color="auto" w:fill="FFF2CC" w:themeFill="accent4" w:themeFillTint="33"/>
          </w:tcPr>
          <w:p w:rsidR="00597C74" w:rsidRPr="001A47CA" w:rsidRDefault="00597C74" w:rsidP="009D14D6">
            <w:pPr>
              <w:widowControl w:val="0"/>
              <w:jc w:val="center"/>
              <w:rPr>
                <w:b/>
                <w:sz w:val="22"/>
                <w:szCs w:val="22"/>
              </w:rPr>
            </w:pPr>
            <w:r w:rsidRPr="001A47CA">
              <w:rPr>
                <w:b/>
                <w:sz w:val="22"/>
                <w:szCs w:val="22"/>
              </w:rPr>
              <w:t>Найменування Послуги</w:t>
            </w:r>
          </w:p>
        </w:tc>
        <w:tc>
          <w:tcPr>
            <w:tcW w:w="693" w:type="pct"/>
            <w:shd w:val="clear" w:color="auto" w:fill="FFF2CC" w:themeFill="accent4" w:themeFillTint="33"/>
          </w:tcPr>
          <w:p w:rsidR="00597C74" w:rsidRPr="001A47CA" w:rsidRDefault="00597C74" w:rsidP="009D14D6">
            <w:pPr>
              <w:widowControl w:val="0"/>
              <w:jc w:val="center"/>
              <w:rPr>
                <w:b/>
                <w:sz w:val="22"/>
                <w:szCs w:val="22"/>
              </w:rPr>
            </w:pPr>
            <w:r w:rsidRPr="001A47CA">
              <w:rPr>
                <w:b/>
                <w:sz w:val="22"/>
                <w:szCs w:val="22"/>
              </w:rPr>
              <w:t>Одиниця</w:t>
            </w:r>
          </w:p>
          <w:p w:rsidR="00597C74" w:rsidRPr="001A47CA" w:rsidRDefault="00597C74" w:rsidP="009D14D6">
            <w:pPr>
              <w:widowControl w:val="0"/>
              <w:jc w:val="center"/>
              <w:rPr>
                <w:b/>
                <w:sz w:val="22"/>
                <w:szCs w:val="22"/>
              </w:rPr>
            </w:pPr>
            <w:r w:rsidRPr="001A47CA">
              <w:rPr>
                <w:b/>
                <w:sz w:val="22"/>
                <w:szCs w:val="22"/>
              </w:rPr>
              <w:t>виміру</w:t>
            </w:r>
          </w:p>
        </w:tc>
        <w:tc>
          <w:tcPr>
            <w:tcW w:w="616" w:type="pct"/>
            <w:shd w:val="clear" w:color="auto" w:fill="FFF2CC" w:themeFill="accent4" w:themeFillTint="33"/>
          </w:tcPr>
          <w:p w:rsidR="00597C74" w:rsidRPr="001A47CA" w:rsidRDefault="00597C74" w:rsidP="009D14D6">
            <w:pPr>
              <w:widowControl w:val="0"/>
              <w:jc w:val="center"/>
              <w:rPr>
                <w:b/>
                <w:sz w:val="22"/>
                <w:szCs w:val="22"/>
              </w:rPr>
            </w:pPr>
            <w:r w:rsidRPr="001A47CA">
              <w:rPr>
                <w:b/>
                <w:sz w:val="22"/>
                <w:szCs w:val="22"/>
              </w:rPr>
              <w:t>Кількість</w:t>
            </w:r>
          </w:p>
          <w:p w:rsidR="00597C74" w:rsidRPr="001A47CA" w:rsidRDefault="00597C74" w:rsidP="009D14D6">
            <w:pPr>
              <w:widowControl w:val="0"/>
              <w:jc w:val="center"/>
              <w:rPr>
                <w:b/>
                <w:sz w:val="22"/>
                <w:szCs w:val="22"/>
              </w:rPr>
            </w:pPr>
          </w:p>
        </w:tc>
        <w:tc>
          <w:tcPr>
            <w:tcW w:w="1979" w:type="pct"/>
            <w:shd w:val="clear" w:color="auto" w:fill="FFF2CC" w:themeFill="accent4" w:themeFillTint="33"/>
            <w:hideMark/>
          </w:tcPr>
          <w:p w:rsidR="00597C74" w:rsidRPr="001A47CA" w:rsidRDefault="00597C74" w:rsidP="009D14D6">
            <w:pPr>
              <w:widowControl w:val="0"/>
              <w:jc w:val="center"/>
              <w:rPr>
                <w:b/>
                <w:sz w:val="22"/>
                <w:szCs w:val="22"/>
              </w:rPr>
            </w:pPr>
            <w:r w:rsidRPr="001A47CA">
              <w:rPr>
                <w:b/>
                <w:sz w:val="22"/>
                <w:szCs w:val="22"/>
              </w:rPr>
              <w:t>Технічні та якісні характеристики предмета закупівлі</w:t>
            </w:r>
          </w:p>
          <w:p w:rsidR="00597C74" w:rsidRPr="001A47CA" w:rsidRDefault="00597C74" w:rsidP="009D14D6">
            <w:pPr>
              <w:widowControl w:val="0"/>
              <w:jc w:val="center"/>
              <w:rPr>
                <w:b/>
                <w:sz w:val="22"/>
                <w:szCs w:val="22"/>
              </w:rPr>
            </w:pPr>
            <w:r w:rsidRPr="001A47CA">
              <w:rPr>
                <w:b/>
                <w:sz w:val="22"/>
                <w:szCs w:val="22"/>
              </w:rPr>
              <w:t>(Технічна специфікація)</w:t>
            </w:r>
          </w:p>
        </w:tc>
      </w:tr>
      <w:tr w:rsidR="00597C74" w:rsidRPr="001A47CA" w:rsidTr="009D14D6">
        <w:trPr>
          <w:trHeight w:val="335"/>
        </w:trPr>
        <w:tc>
          <w:tcPr>
            <w:tcW w:w="529" w:type="pct"/>
            <w:hideMark/>
          </w:tcPr>
          <w:p w:rsidR="00597C74" w:rsidRPr="001A47CA" w:rsidRDefault="00597C74" w:rsidP="009D14D6">
            <w:pPr>
              <w:widowControl w:val="0"/>
              <w:rPr>
                <w:sz w:val="20"/>
                <w:szCs w:val="20"/>
              </w:rPr>
            </w:pPr>
            <w:r w:rsidRPr="001A47CA">
              <w:rPr>
                <w:sz w:val="20"/>
                <w:szCs w:val="20"/>
              </w:rPr>
              <w:t>1</w:t>
            </w:r>
          </w:p>
        </w:tc>
        <w:tc>
          <w:tcPr>
            <w:tcW w:w="1183" w:type="pct"/>
            <w:hideMark/>
          </w:tcPr>
          <w:p w:rsidR="00597C74" w:rsidRPr="001A47CA" w:rsidRDefault="00597C74" w:rsidP="009D14D6">
            <w:pPr>
              <w:suppressAutoHyphens/>
              <w:rPr>
                <w:bCs/>
                <w:kern w:val="1"/>
                <w:sz w:val="20"/>
                <w:szCs w:val="20"/>
              </w:rPr>
            </w:pPr>
            <w:r w:rsidRPr="001A47CA">
              <w:rPr>
                <w:bCs/>
                <w:kern w:val="1"/>
                <w:sz w:val="20"/>
                <w:szCs w:val="20"/>
              </w:rPr>
              <w:t>Надання в користування міжміських цифрових каналів (Е1)</w:t>
            </w:r>
          </w:p>
        </w:tc>
        <w:tc>
          <w:tcPr>
            <w:tcW w:w="693" w:type="pct"/>
          </w:tcPr>
          <w:p w:rsidR="00597C74" w:rsidRPr="001A47CA" w:rsidRDefault="00597C74" w:rsidP="009D14D6">
            <w:pPr>
              <w:suppressAutoHyphens/>
              <w:jc w:val="center"/>
              <w:rPr>
                <w:bCs/>
                <w:kern w:val="1"/>
                <w:sz w:val="20"/>
                <w:szCs w:val="20"/>
              </w:rPr>
            </w:pPr>
            <w:r w:rsidRPr="001A47CA">
              <w:rPr>
                <w:rFonts w:cs="Noto Sans"/>
                <w:bCs/>
                <w:kern w:val="1"/>
                <w:sz w:val="20"/>
                <w:szCs w:val="20"/>
              </w:rPr>
              <w:t>послуга</w:t>
            </w:r>
          </w:p>
        </w:tc>
        <w:tc>
          <w:tcPr>
            <w:tcW w:w="616" w:type="pct"/>
          </w:tcPr>
          <w:p w:rsidR="00597C74" w:rsidRPr="001A47CA" w:rsidRDefault="00597C74" w:rsidP="009D14D6">
            <w:pPr>
              <w:suppressAutoHyphens/>
              <w:jc w:val="center"/>
              <w:rPr>
                <w:bCs/>
                <w:kern w:val="1"/>
                <w:sz w:val="20"/>
                <w:szCs w:val="20"/>
              </w:rPr>
            </w:pPr>
            <w:r w:rsidRPr="001A47CA">
              <w:rPr>
                <w:rFonts w:cs="Noto Sans"/>
                <w:bCs/>
                <w:kern w:val="1"/>
                <w:sz w:val="20"/>
                <w:szCs w:val="20"/>
              </w:rPr>
              <w:t>1</w:t>
            </w:r>
          </w:p>
        </w:tc>
        <w:tc>
          <w:tcPr>
            <w:tcW w:w="1979" w:type="pct"/>
          </w:tcPr>
          <w:p w:rsidR="00597C74" w:rsidRPr="001A47CA" w:rsidRDefault="00597C74" w:rsidP="009D14D6">
            <w:pPr>
              <w:suppressAutoHyphens/>
              <w:ind w:left="57" w:right="113" w:firstLine="340"/>
              <w:jc w:val="both"/>
              <w:rPr>
                <w:bCs/>
                <w:kern w:val="1"/>
                <w:sz w:val="20"/>
                <w:szCs w:val="20"/>
              </w:rPr>
            </w:pPr>
            <w:r w:rsidRPr="001A47CA">
              <w:rPr>
                <w:bCs/>
                <w:kern w:val="1"/>
                <w:sz w:val="20"/>
                <w:szCs w:val="20"/>
              </w:rPr>
              <w:t>Тип каналів зв’язку: Е1</w:t>
            </w:r>
          </w:p>
          <w:p w:rsidR="00597C74" w:rsidRPr="001A47CA" w:rsidRDefault="00597C74" w:rsidP="009D14D6">
            <w:pPr>
              <w:suppressAutoHyphens/>
              <w:ind w:left="57" w:right="113" w:firstLine="340"/>
              <w:jc w:val="both"/>
              <w:rPr>
                <w:bCs/>
                <w:kern w:val="1"/>
                <w:sz w:val="20"/>
                <w:szCs w:val="20"/>
              </w:rPr>
            </w:pPr>
            <w:r w:rsidRPr="001A47CA">
              <w:rPr>
                <w:bCs/>
                <w:kern w:val="1"/>
                <w:sz w:val="20"/>
                <w:szCs w:val="20"/>
              </w:rPr>
              <w:t xml:space="preserve">Інтерфейс підключення: цифрові канали G.703 (відповідність з’єднання рекомендації ITU-T G.703 для симетричного інтерфейсу 120 </w:t>
            </w:r>
            <w:proofErr w:type="spellStart"/>
            <w:r w:rsidRPr="001A47CA">
              <w:rPr>
                <w:bCs/>
                <w:kern w:val="1"/>
                <w:sz w:val="20"/>
                <w:szCs w:val="20"/>
              </w:rPr>
              <w:t>Ом</w:t>
            </w:r>
            <w:proofErr w:type="spellEnd"/>
            <w:r w:rsidRPr="001A47CA">
              <w:rPr>
                <w:bCs/>
                <w:kern w:val="1"/>
                <w:sz w:val="20"/>
                <w:szCs w:val="20"/>
              </w:rPr>
              <w:t>).</w:t>
            </w:r>
          </w:p>
          <w:p w:rsidR="00597C74" w:rsidRPr="001A47CA" w:rsidRDefault="00597C74" w:rsidP="009D14D6">
            <w:pPr>
              <w:suppressAutoHyphens/>
              <w:ind w:left="57" w:right="113" w:firstLine="340"/>
              <w:jc w:val="both"/>
              <w:rPr>
                <w:bCs/>
                <w:kern w:val="1"/>
                <w:sz w:val="20"/>
                <w:szCs w:val="20"/>
              </w:rPr>
            </w:pPr>
            <w:r w:rsidRPr="001A47CA">
              <w:rPr>
                <w:bCs/>
                <w:kern w:val="1"/>
                <w:sz w:val="20"/>
                <w:szCs w:val="20"/>
              </w:rPr>
              <w:t xml:space="preserve">Пропускна спроможність: 2048 </w:t>
            </w:r>
            <w:proofErr w:type="spellStart"/>
            <w:r w:rsidRPr="001A47CA">
              <w:rPr>
                <w:bCs/>
                <w:kern w:val="1"/>
                <w:sz w:val="20"/>
                <w:szCs w:val="20"/>
              </w:rPr>
              <w:t>кбіт</w:t>
            </w:r>
            <w:proofErr w:type="spellEnd"/>
            <w:r w:rsidRPr="001A47CA">
              <w:rPr>
                <w:bCs/>
                <w:kern w:val="1"/>
                <w:sz w:val="20"/>
                <w:szCs w:val="20"/>
              </w:rPr>
              <w:t>/с</w:t>
            </w:r>
          </w:p>
          <w:p w:rsidR="00597C74" w:rsidRPr="001A47CA" w:rsidRDefault="00597C74" w:rsidP="009D14D6">
            <w:pPr>
              <w:suppressAutoHyphens/>
              <w:ind w:left="57" w:right="113" w:firstLine="340"/>
              <w:jc w:val="both"/>
              <w:rPr>
                <w:bCs/>
                <w:kern w:val="1"/>
                <w:sz w:val="20"/>
                <w:szCs w:val="20"/>
              </w:rPr>
            </w:pPr>
            <w:r w:rsidRPr="001A47CA">
              <w:rPr>
                <w:bCs/>
                <w:kern w:val="1"/>
                <w:sz w:val="20"/>
                <w:szCs w:val="20"/>
              </w:rPr>
              <w:t>Кількість каналів зв’язку: 4</w:t>
            </w:r>
          </w:p>
          <w:p w:rsidR="00597C74" w:rsidRPr="001A47CA" w:rsidRDefault="00597C74" w:rsidP="009D14D6">
            <w:pPr>
              <w:suppressAutoHyphens/>
              <w:ind w:left="57" w:right="113" w:firstLine="340"/>
              <w:jc w:val="both"/>
              <w:rPr>
                <w:bCs/>
                <w:kern w:val="1"/>
                <w:sz w:val="20"/>
                <w:szCs w:val="20"/>
              </w:rPr>
            </w:pPr>
            <w:r w:rsidRPr="001A47CA">
              <w:rPr>
                <w:bCs/>
                <w:kern w:val="1"/>
                <w:sz w:val="20"/>
                <w:szCs w:val="20"/>
              </w:rPr>
              <w:t>Режим роботи: цілодобово</w:t>
            </w:r>
          </w:p>
          <w:p w:rsidR="00597C74" w:rsidRPr="001A47CA" w:rsidRDefault="00597C74" w:rsidP="009D14D6">
            <w:pPr>
              <w:suppressAutoHyphens/>
              <w:ind w:left="57" w:right="113" w:firstLine="340"/>
              <w:jc w:val="both"/>
              <w:rPr>
                <w:bCs/>
                <w:kern w:val="1"/>
                <w:sz w:val="20"/>
                <w:szCs w:val="20"/>
              </w:rPr>
            </w:pPr>
            <w:r w:rsidRPr="001A47CA">
              <w:rPr>
                <w:bCs/>
                <w:kern w:val="1"/>
                <w:sz w:val="20"/>
                <w:szCs w:val="20"/>
              </w:rPr>
              <w:t>Кінцеві пункти (точки) організації каналів електрозв’язку:</w:t>
            </w:r>
          </w:p>
          <w:p w:rsidR="00597C74" w:rsidRPr="001A47CA" w:rsidRDefault="00597C74" w:rsidP="009D14D6">
            <w:pPr>
              <w:suppressAutoHyphens/>
              <w:ind w:left="57" w:right="113" w:firstLine="340"/>
              <w:jc w:val="both"/>
              <w:rPr>
                <w:bCs/>
                <w:kern w:val="1"/>
                <w:sz w:val="20"/>
                <w:szCs w:val="20"/>
              </w:rPr>
            </w:pPr>
            <w:r w:rsidRPr="001A47CA">
              <w:rPr>
                <w:bCs/>
                <w:kern w:val="1"/>
                <w:sz w:val="20"/>
                <w:szCs w:val="20"/>
              </w:rPr>
              <w:t xml:space="preserve"> - </w:t>
            </w:r>
            <w:proofErr w:type="spellStart"/>
            <w:r w:rsidRPr="001A47CA">
              <w:rPr>
                <w:bCs/>
                <w:kern w:val="1"/>
                <w:sz w:val="20"/>
                <w:szCs w:val="20"/>
              </w:rPr>
              <w:t>м.Київ</w:t>
            </w:r>
            <w:proofErr w:type="spellEnd"/>
            <w:r w:rsidRPr="001A47CA">
              <w:rPr>
                <w:bCs/>
                <w:kern w:val="1"/>
                <w:sz w:val="20"/>
                <w:szCs w:val="20"/>
              </w:rPr>
              <w:t xml:space="preserve">, </w:t>
            </w:r>
            <w:proofErr w:type="spellStart"/>
            <w:r w:rsidRPr="001A47CA">
              <w:rPr>
                <w:bCs/>
                <w:kern w:val="1"/>
                <w:sz w:val="20"/>
                <w:szCs w:val="20"/>
              </w:rPr>
              <w:t>вул.</w:t>
            </w:r>
            <w:r w:rsidRPr="001A47CA">
              <w:rPr>
                <w:bCs/>
                <w:kern w:val="22"/>
                <w:sz w:val="20"/>
                <w:szCs w:val="20"/>
              </w:rPr>
              <w:t>Володимирська</w:t>
            </w:r>
            <w:proofErr w:type="spellEnd"/>
            <w:r w:rsidRPr="001A47CA">
              <w:rPr>
                <w:bCs/>
                <w:kern w:val="1"/>
                <w:sz w:val="20"/>
                <w:szCs w:val="20"/>
              </w:rPr>
              <w:t xml:space="preserve"> 54а – Київська область, Бориспільський район, село Гора, вул.Бориспіль-7, будівля аеровокзального терміналу “В”, к.070 (2 канали E1);</w:t>
            </w:r>
          </w:p>
          <w:p w:rsidR="00597C74" w:rsidRPr="001A47CA" w:rsidRDefault="00597C74" w:rsidP="009D14D6">
            <w:pPr>
              <w:suppressAutoHyphens/>
              <w:ind w:left="57" w:right="113" w:firstLine="340"/>
              <w:jc w:val="both"/>
              <w:rPr>
                <w:bCs/>
                <w:kern w:val="1"/>
                <w:sz w:val="20"/>
                <w:szCs w:val="20"/>
              </w:rPr>
            </w:pPr>
            <w:r w:rsidRPr="001A47CA">
              <w:rPr>
                <w:bCs/>
                <w:kern w:val="1"/>
                <w:sz w:val="20"/>
                <w:szCs w:val="20"/>
              </w:rPr>
              <w:t xml:space="preserve"> - </w:t>
            </w:r>
            <w:proofErr w:type="spellStart"/>
            <w:r w:rsidRPr="001A47CA">
              <w:rPr>
                <w:bCs/>
                <w:kern w:val="1"/>
                <w:sz w:val="20"/>
                <w:szCs w:val="20"/>
              </w:rPr>
              <w:t>м.Київ</w:t>
            </w:r>
            <w:proofErr w:type="spellEnd"/>
            <w:r w:rsidRPr="001A47CA">
              <w:rPr>
                <w:bCs/>
                <w:kern w:val="1"/>
                <w:sz w:val="20"/>
                <w:szCs w:val="20"/>
              </w:rPr>
              <w:t xml:space="preserve">, </w:t>
            </w:r>
            <w:proofErr w:type="spellStart"/>
            <w:r w:rsidRPr="001A47CA">
              <w:rPr>
                <w:bCs/>
                <w:kern w:val="1"/>
                <w:sz w:val="20"/>
                <w:szCs w:val="20"/>
              </w:rPr>
              <w:t>вул.Райдужна</w:t>
            </w:r>
            <w:proofErr w:type="spellEnd"/>
            <w:r w:rsidRPr="001A47CA">
              <w:rPr>
                <w:bCs/>
                <w:kern w:val="1"/>
                <w:sz w:val="20"/>
                <w:szCs w:val="20"/>
              </w:rPr>
              <w:t xml:space="preserve"> 27а – Київська область, Бориспільський район, село Гора, вул.Бориспіль-7, будівля аеровокзального терміналу “В”, к.070 (2 канали E1).</w:t>
            </w:r>
          </w:p>
          <w:p w:rsidR="00597C74" w:rsidRPr="001A47CA" w:rsidRDefault="00597C74" w:rsidP="009D14D6">
            <w:pPr>
              <w:suppressAutoHyphens/>
              <w:ind w:left="57" w:right="113" w:firstLine="340"/>
              <w:jc w:val="both"/>
              <w:rPr>
                <w:bCs/>
                <w:kern w:val="1"/>
                <w:sz w:val="20"/>
                <w:szCs w:val="20"/>
              </w:rPr>
            </w:pPr>
            <w:r w:rsidRPr="001A47CA">
              <w:rPr>
                <w:bCs/>
                <w:kern w:val="1"/>
                <w:sz w:val="20"/>
                <w:szCs w:val="20"/>
              </w:rPr>
              <w:t xml:space="preserve">В </w:t>
            </w:r>
            <w:proofErr w:type="spellStart"/>
            <w:r w:rsidRPr="001A47CA">
              <w:rPr>
                <w:bCs/>
                <w:kern w:val="1"/>
                <w:sz w:val="20"/>
                <w:szCs w:val="20"/>
              </w:rPr>
              <w:t>м.Києві</w:t>
            </w:r>
            <w:proofErr w:type="spellEnd"/>
            <w:r w:rsidRPr="001A47CA">
              <w:rPr>
                <w:bCs/>
                <w:kern w:val="1"/>
                <w:sz w:val="20"/>
                <w:szCs w:val="20"/>
              </w:rPr>
              <w:t xml:space="preserve"> канали електрозв’язку підключаються до медіа-шлюзів пакетної мережі  UMG-01_KIЕ-СN6, UMG-02_KIЕ-СN2, які розташовані в будівлях ПАТ “Укртелеком”  за адресами: м. Київ, вул. Володимирська, 54а та вул. Райдужна, 27а відповідно.</w:t>
            </w:r>
          </w:p>
          <w:p w:rsidR="00597C74" w:rsidRPr="001A47CA" w:rsidRDefault="00597C74" w:rsidP="009D14D6">
            <w:pPr>
              <w:suppressAutoHyphens/>
              <w:ind w:left="57" w:right="113" w:firstLine="340"/>
              <w:jc w:val="both"/>
              <w:rPr>
                <w:bCs/>
                <w:kern w:val="1"/>
                <w:sz w:val="20"/>
                <w:szCs w:val="20"/>
              </w:rPr>
            </w:pPr>
            <w:r w:rsidRPr="001A47CA">
              <w:rPr>
                <w:bCs/>
                <w:kern w:val="1"/>
                <w:sz w:val="20"/>
                <w:szCs w:val="20"/>
              </w:rPr>
              <w:t>Підключення цифрових каналів електрозв’язку до обладнання UMG-01_KIЕ-СN6 та UMG-02_KIЕ-СN2 ПАТ «Укртелеком» виконується Виконавцем самостійно.</w:t>
            </w:r>
          </w:p>
          <w:p w:rsidR="00597C74" w:rsidRPr="001A47CA" w:rsidRDefault="00597C74" w:rsidP="009D14D6">
            <w:pPr>
              <w:suppressAutoHyphens/>
              <w:ind w:left="57" w:right="113" w:firstLine="340"/>
              <w:jc w:val="both"/>
              <w:rPr>
                <w:bCs/>
                <w:kern w:val="1"/>
                <w:sz w:val="20"/>
                <w:szCs w:val="20"/>
              </w:rPr>
            </w:pPr>
            <w:r w:rsidRPr="001A47CA">
              <w:rPr>
                <w:bCs/>
                <w:kern w:val="1"/>
                <w:sz w:val="20"/>
                <w:szCs w:val="20"/>
              </w:rPr>
              <w:t>Точка підключення обладнання ДП МА “Бориспіль” до цифрових каналів електрозв’язку: Київська область, Бориспільський район, село Гора, вул.Бориспіль-7, будівля аеровокзального терміналу “В”, к.070.</w:t>
            </w:r>
          </w:p>
          <w:p w:rsidR="00597C74" w:rsidRPr="001A47CA" w:rsidRDefault="00597C74" w:rsidP="009D14D6">
            <w:pPr>
              <w:suppressAutoHyphens/>
              <w:ind w:left="57" w:right="113" w:firstLine="340"/>
              <w:jc w:val="both"/>
              <w:rPr>
                <w:bCs/>
                <w:kern w:val="1"/>
                <w:sz w:val="20"/>
                <w:szCs w:val="20"/>
              </w:rPr>
            </w:pPr>
            <w:r w:rsidRPr="001A47CA">
              <w:rPr>
                <w:bCs/>
                <w:kern w:val="1"/>
                <w:sz w:val="20"/>
                <w:szCs w:val="20"/>
              </w:rPr>
              <w:t xml:space="preserve">У разі необхідності Виконавець встановлює </w:t>
            </w:r>
            <w:proofErr w:type="spellStart"/>
            <w:r w:rsidRPr="001A47CA">
              <w:rPr>
                <w:bCs/>
                <w:kern w:val="1"/>
                <w:sz w:val="20"/>
                <w:szCs w:val="20"/>
              </w:rPr>
              <w:t>каналоутворююче</w:t>
            </w:r>
            <w:proofErr w:type="spellEnd"/>
            <w:r w:rsidRPr="001A47CA">
              <w:rPr>
                <w:bCs/>
                <w:kern w:val="1"/>
                <w:sz w:val="20"/>
                <w:szCs w:val="20"/>
              </w:rPr>
              <w:t xml:space="preserve"> обладнання в приміщенні, в якому надаються послуги, та забезпечує його технічне обслуговування. </w:t>
            </w:r>
            <w:proofErr w:type="spellStart"/>
            <w:r w:rsidRPr="001A47CA">
              <w:rPr>
                <w:bCs/>
                <w:kern w:val="1"/>
                <w:sz w:val="20"/>
                <w:szCs w:val="20"/>
              </w:rPr>
              <w:t>Каналоутворююче</w:t>
            </w:r>
            <w:proofErr w:type="spellEnd"/>
            <w:r w:rsidRPr="001A47CA">
              <w:rPr>
                <w:bCs/>
                <w:kern w:val="1"/>
                <w:sz w:val="20"/>
                <w:szCs w:val="20"/>
              </w:rPr>
              <w:t xml:space="preserve"> обладнання залишається власністю Виконавця.</w:t>
            </w:r>
          </w:p>
          <w:p w:rsidR="00597C74" w:rsidRPr="001A47CA" w:rsidRDefault="00597C74" w:rsidP="009D14D6">
            <w:pPr>
              <w:suppressAutoHyphens/>
              <w:ind w:left="57" w:right="113" w:firstLine="340"/>
              <w:jc w:val="both"/>
              <w:rPr>
                <w:bCs/>
                <w:kern w:val="1"/>
                <w:sz w:val="20"/>
                <w:szCs w:val="20"/>
              </w:rPr>
            </w:pPr>
            <w:r w:rsidRPr="001A47CA">
              <w:rPr>
                <w:bCs/>
                <w:kern w:val="1"/>
                <w:sz w:val="20"/>
                <w:szCs w:val="20"/>
              </w:rPr>
              <w:t xml:space="preserve">Замовник </w:t>
            </w:r>
            <w:r w:rsidRPr="001A47CA">
              <w:rPr>
                <w:bCs/>
                <w:kern w:val="22"/>
                <w:sz w:val="20"/>
                <w:szCs w:val="20"/>
              </w:rPr>
              <w:t xml:space="preserve">не </w:t>
            </w:r>
            <w:r w:rsidRPr="001A47CA">
              <w:rPr>
                <w:bCs/>
                <w:kern w:val="1"/>
                <w:sz w:val="20"/>
                <w:szCs w:val="20"/>
              </w:rPr>
              <w:t xml:space="preserve">несе додаткових витрат (додаткові послуги, закупівля </w:t>
            </w:r>
            <w:proofErr w:type="spellStart"/>
            <w:r w:rsidRPr="001A47CA">
              <w:rPr>
                <w:bCs/>
                <w:kern w:val="1"/>
                <w:sz w:val="20"/>
                <w:szCs w:val="20"/>
              </w:rPr>
              <w:t>каналоутворюючого</w:t>
            </w:r>
            <w:proofErr w:type="spellEnd"/>
            <w:r w:rsidRPr="001A47CA">
              <w:rPr>
                <w:bCs/>
                <w:kern w:val="1"/>
                <w:sz w:val="20"/>
                <w:szCs w:val="20"/>
              </w:rPr>
              <w:t xml:space="preserve"> обладнання, оренда площі), пов’язаних з організацією та здійсненням підключення каналів електрозв’язку до обладнання ПАТ «Укртелеком».</w:t>
            </w:r>
          </w:p>
          <w:p w:rsidR="00597C74" w:rsidRPr="001A47CA" w:rsidRDefault="00597C74" w:rsidP="009D14D6">
            <w:pPr>
              <w:suppressAutoHyphens/>
              <w:ind w:left="57" w:right="113" w:firstLine="340"/>
              <w:jc w:val="both"/>
              <w:rPr>
                <w:bCs/>
                <w:kern w:val="1"/>
                <w:sz w:val="20"/>
                <w:szCs w:val="20"/>
              </w:rPr>
            </w:pPr>
            <w:r w:rsidRPr="001A47CA">
              <w:rPr>
                <w:bCs/>
                <w:kern w:val="1"/>
                <w:sz w:val="20"/>
                <w:szCs w:val="20"/>
              </w:rPr>
              <w:lastRenderedPageBreak/>
              <w:t>В разі несправності / пошкодження каналів електрозв’язку Виконавець забезпечує їх резервування або відновлення протягом 8 годин.</w:t>
            </w:r>
          </w:p>
          <w:p w:rsidR="00597C74" w:rsidRPr="001A47CA" w:rsidRDefault="00597C74" w:rsidP="009D14D6">
            <w:pPr>
              <w:suppressAutoHyphens/>
              <w:ind w:left="57" w:right="113" w:firstLine="340"/>
              <w:jc w:val="both"/>
              <w:rPr>
                <w:bCs/>
                <w:kern w:val="1"/>
                <w:sz w:val="20"/>
                <w:szCs w:val="20"/>
              </w:rPr>
            </w:pPr>
            <w:r w:rsidRPr="001A47CA">
              <w:rPr>
                <w:rFonts w:cs="Noto Sans"/>
                <w:bCs/>
                <w:kern w:val="1"/>
                <w:sz w:val="20"/>
                <w:szCs w:val="20"/>
              </w:rPr>
              <w:t>Виконавець надає Замовнику інформацію щодо телефонного номеру, електронної пошти з цілодобовим доступом, за якими приймаються заявки щодо перерв в роботі каналів електрозв’язку.</w:t>
            </w:r>
          </w:p>
        </w:tc>
      </w:tr>
    </w:tbl>
    <w:p w:rsidR="006F428D" w:rsidRPr="001A47CA" w:rsidRDefault="006F428D" w:rsidP="00A12478">
      <w:pPr>
        <w:rPr>
          <w:b/>
        </w:rPr>
      </w:pPr>
    </w:p>
    <w:p w:rsidR="009165D1" w:rsidRPr="001A47CA" w:rsidRDefault="009165D1" w:rsidP="009165D1">
      <w:pPr>
        <w:jc w:val="both"/>
        <w:rPr>
          <w:b/>
          <w:bCs/>
          <w:sz w:val="22"/>
          <w:szCs w:val="22"/>
          <w:lang w:eastAsia="uk-UA"/>
        </w:rPr>
      </w:pPr>
      <w:r w:rsidRPr="001A47CA">
        <w:rPr>
          <w:b/>
          <w:bCs/>
          <w:sz w:val="22"/>
          <w:szCs w:val="22"/>
        </w:rPr>
        <w:t>Додаткова інформація.</w:t>
      </w:r>
    </w:p>
    <w:p w:rsidR="009165D1" w:rsidRPr="001A47CA" w:rsidRDefault="009165D1" w:rsidP="009165D1">
      <w:pPr>
        <w:jc w:val="both"/>
        <w:rPr>
          <w:sz w:val="22"/>
          <w:szCs w:val="22"/>
        </w:rPr>
      </w:pPr>
      <w:r w:rsidRPr="001A47CA">
        <w:rPr>
          <w:b/>
          <w:bCs/>
          <w:sz w:val="22"/>
          <w:szCs w:val="22"/>
        </w:rPr>
        <w:t>1.</w:t>
      </w:r>
      <w:r w:rsidRPr="001A47CA">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A47CA">
        <w:rPr>
          <w:b/>
          <w:bCs/>
          <w:sz w:val="22"/>
          <w:szCs w:val="22"/>
        </w:rPr>
        <w:t>біля кожного такого посилання вважати вираз «або еквівалент»</w:t>
      </w:r>
      <w:r w:rsidRPr="001A47CA">
        <w:rPr>
          <w:sz w:val="22"/>
          <w:szCs w:val="22"/>
        </w:rPr>
        <w:t xml:space="preserve">. Таким чином вважається, що до кожного посилання додається вираз </w:t>
      </w:r>
      <w:r w:rsidRPr="001A47CA">
        <w:rPr>
          <w:b/>
          <w:bCs/>
          <w:sz w:val="22"/>
          <w:szCs w:val="22"/>
        </w:rPr>
        <w:t>«або еквівалент»</w:t>
      </w:r>
      <w:r w:rsidRPr="001A47CA">
        <w:rPr>
          <w:sz w:val="22"/>
          <w:szCs w:val="22"/>
        </w:rPr>
        <w:t xml:space="preserve">. </w:t>
      </w:r>
    </w:p>
    <w:p w:rsidR="009165D1" w:rsidRPr="001A47CA" w:rsidRDefault="009165D1" w:rsidP="009165D1">
      <w:pPr>
        <w:jc w:val="both"/>
        <w:rPr>
          <w:sz w:val="22"/>
          <w:szCs w:val="22"/>
        </w:rPr>
      </w:pPr>
      <w:r w:rsidRPr="001A47CA">
        <w:rPr>
          <w:sz w:val="22"/>
          <w:szCs w:val="22"/>
        </w:rPr>
        <w:t xml:space="preserve">У місцях, де технічна специфікація містить посилання </w:t>
      </w:r>
      <w:r w:rsidRPr="001A47CA">
        <w:rPr>
          <w:sz w:val="22"/>
          <w:szCs w:val="22"/>
          <w:vertAlign w:val="superscript"/>
        </w:rPr>
        <w:t>1)</w:t>
      </w:r>
      <w:r w:rsidRPr="001A47CA">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1A47CA">
        <w:rPr>
          <w:b/>
          <w:bCs/>
          <w:sz w:val="22"/>
          <w:szCs w:val="22"/>
        </w:rPr>
        <w:t>вважати наявним вираз «або еквівалент»</w:t>
      </w:r>
      <w:r w:rsidRPr="001A47CA">
        <w:rPr>
          <w:sz w:val="22"/>
          <w:szCs w:val="22"/>
        </w:rPr>
        <w:t xml:space="preserve">. Таким чином вважається, що до кожного посилання додається вираз «або еквівалент» </w:t>
      </w:r>
      <w:r w:rsidRPr="001A47CA">
        <w:rPr>
          <w:b/>
          <w:bCs/>
          <w:i/>
          <w:iCs/>
          <w:sz w:val="22"/>
          <w:szCs w:val="22"/>
        </w:rPr>
        <w:t>(</w:t>
      </w:r>
      <w:r w:rsidRPr="001A47CA">
        <w:rPr>
          <w:b/>
          <w:bCs/>
          <w:i/>
          <w:iCs/>
          <w:sz w:val="22"/>
          <w:szCs w:val="22"/>
          <w:vertAlign w:val="superscript"/>
        </w:rPr>
        <w:t>1)</w:t>
      </w:r>
      <w:r w:rsidRPr="001A47CA">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1A47CA">
        <w:rPr>
          <w:sz w:val="22"/>
          <w:szCs w:val="22"/>
        </w:rPr>
        <w:t xml:space="preserve">. </w:t>
      </w:r>
    </w:p>
    <w:p w:rsidR="009165D1" w:rsidRPr="001A47CA" w:rsidRDefault="009165D1" w:rsidP="009165D1">
      <w:pPr>
        <w:autoSpaceDE w:val="0"/>
        <w:autoSpaceDN w:val="0"/>
        <w:ind w:firstLine="709"/>
        <w:jc w:val="both"/>
        <w:rPr>
          <w:color w:val="000000"/>
          <w:sz w:val="26"/>
          <w:szCs w:val="26"/>
        </w:rPr>
      </w:pPr>
      <w:r w:rsidRPr="001A47CA">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1A47CA">
        <w:rPr>
          <w:b/>
          <w:bCs/>
          <w:sz w:val="22"/>
          <w:szCs w:val="22"/>
        </w:rPr>
        <w:t>Додатку 1</w:t>
      </w:r>
      <w:r w:rsidRPr="001A47CA">
        <w:rPr>
          <w:sz w:val="22"/>
          <w:szCs w:val="22"/>
        </w:rPr>
        <w:t xml:space="preserve"> технічним та якісним характеристикам предмета закупівлі).</w:t>
      </w:r>
    </w:p>
    <w:p w:rsidR="00A256E7" w:rsidRPr="001A47CA" w:rsidRDefault="00A256E7" w:rsidP="00D04854">
      <w:pPr>
        <w:widowControl w:val="0"/>
        <w:autoSpaceDE w:val="0"/>
        <w:autoSpaceDN w:val="0"/>
        <w:adjustRightInd w:val="0"/>
        <w:ind w:firstLine="709"/>
        <w:contextualSpacing/>
        <w:jc w:val="both"/>
        <w:rPr>
          <w:color w:val="000000"/>
          <w:sz w:val="26"/>
          <w:szCs w:val="26"/>
        </w:rPr>
      </w:pPr>
    </w:p>
    <w:sectPr w:rsidR="00A256E7" w:rsidRPr="001A47CA"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6DB" w:rsidRDefault="00EA76DB">
      <w:r>
        <w:separator/>
      </w:r>
    </w:p>
  </w:endnote>
  <w:endnote w:type="continuationSeparator" w:id="0">
    <w:p w:rsidR="00EA76DB" w:rsidRDefault="00EA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9171E5"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72D81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F17364">
      <w:rPr>
        <w:sz w:val="20"/>
        <w:szCs w:val="20"/>
      </w:rPr>
      <w:t>Надання в користування міжміських цифрових каналів (Е1), код ДК 021:2015 - 64210000-1 - Послуги телефонного зв’язку та передачі даних</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C66420">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C66420">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6DB" w:rsidRDefault="00EA76DB">
      <w:r>
        <w:separator/>
      </w:r>
    </w:p>
  </w:footnote>
  <w:footnote w:type="continuationSeparator" w:id="0">
    <w:p w:rsidR="00EA76DB" w:rsidRDefault="00EA7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9171E5"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96CBF"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798"/>
    <w:rsid w:val="000A4A8B"/>
    <w:rsid w:val="000A50D4"/>
    <w:rsid w:val="000A54B4"/>
    <w:rsid w:val="000A6690"/>
    <w:rsid w:val="000A7600"/>
    <w:rsid w:val="000B0B09"/>
    <w:rsid w:val="000B1C19"/>
    <w:rsid w:val="000B370D"/>
    <w:rsid w:val="000B6FE4"/>
    <w:rsid w:val="000C2F14"/>
    <w:rsid w:val="000C3178"/>
    <w:rsid w:val="000C51AA"/>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A47CA"/>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5B4A"/>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1F26"/>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54B2"/>
    <w:rsid w:val="002A6F16"/>
    <w:rsid w:val="002B0EE3"/>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5ACF"/>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2D8"/>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97C74"/>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4B79"/>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1E5"/>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2E42"/>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6420"/>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6DB"/>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364"/>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4927B3-79E1-4B65-8F08-E8A1CF65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C7E56-D34B-46E1-AC92-EFF0AA07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3856</Words>
  <Characters>2199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13</cp:revision>
  <cp:lastPrinted>2021-11-17T09:02:00Z</cp:lastPrinted>
  <dcterms:created xsi:type="dcterms:W3CDTF">2023-11-27T08:48:00Z</dcterms:created>
  <dcterms:modified xsi:type="dcterms:W3CDTF">2023-11-29T14:18:00Z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