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AF048C" w:rsidTr="001021AF">
        <w:tc>
          <w:tcPr>
            <w:tcW w:w="4683" w:type="dxa"/>
          </w:tcPr>
          <w:p w:rsidR="00825A6B" w:rsidRPr="00AF048C" w:rsidRDefault="007B3516" w:rsidP="006926A0">
            <w:pPr>
              <w:pStyle w:val="a3"/>
              <w:widowControl w:val="0"/>
              <w:rPr>
                <w:szCs w:val="17"/>
                <w:lang w:val="uk-UA"/>
              </w:rPr>
            </w:pPr>
            <w:r w:rsidRPr="00AF048C">
              <w:rPr>
                <w:noProof/>
                <w:lang w:val="uk-UA" w:eastAsia="uk-UA"/>
              </w:rPr>
              <w:drawing>
                <wp:inline distT="0" distB="0" distL="0" distR="0">
                  <wp:extent cx="1447800" cy="2857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p>
        </w:tc>
        <w:tc>
          <w:tcPr>
            <w:tcW w:w="5171" w:type="dxa"/>
          </w:tcPr>
          <w:p w:rsidR="006926A0" w:rsidRPr="00AF048C" w:rsidRDefault="006926A0" w:rsidP="006926A0">
            <w:pPr>
              <w:widowControl w:val="0"/>
              <w:autoSpaceDE w:val="0"/>
              <w:autoSpaceDN w:val="0"/>
              <w:adjustRightInd w:val="0"/>
              <w:rPr>
                <w:rFonts w:ascii="Times New Roman CYR" w:hAnsi="Times New Roman CYR"/>
                <w:b/>
              </w:rPr>
            </w:pPr>
            <w:r w:rsidRPr="00AF048C">
              <w:rPr>
                <w:rFonts w:ascii="Times New Roman CYR" w:hAnsi="Times New Roman CYR"/>
                <w:b/>
              </w:rPr>
              <w:t>ДЕРЖАВНЕ ПІДПРИЄМСТВО</w:t>
            </w:r>
          </w:p>
          <w:p w:rsidR="00DD71E4" w:rsidRPr="00AF048C" w:rsidRDefault="006926A0" w:rsidP="006926A0">
            <w:pPr>
              <w:widowControl w:val="0"/>
              <w:autoSpaceDE w:val="0"/>
              <w:autoSpaceDN w:val="0"/>
              <w:adjustRightInd w:val="0"/>
            </w:pPr>
            <w:r w:rsidRPr="00AF048C">
              <w:rPr>
                <w:rFonts w:ascii="Times New Roman CYR" w:hAnsi="Times New Roman CYR"/>
                <w:b/>
              </w:rPr>
              <w:t>«</w:t>
            </w:r>
            <w:r w:rsidRPr="00AF048C">
              <w:rPr>
                <w:b/>
              </w:rPr>
              <w:t>МІЖНАРОДНИЙ АЕРОПОРТ «БОРИСПІЛЬ»</w:t>
            </w:r>
            <w:r w:rsidRPr="00AF048C">
              <w:t xml:space="preserve"> </w:t>
            </w:r>
          </w:p>
          <w:p w:rsidR="006926A0" w:rsidRPr="00AF048C" w:rsidRDefault="006926A0" w:rsidP="006926A0">
            <w:pPr>
              <w:widowControl w:val="0"/>
              <w:autoSpaceDE w:val="0"/>
              <w:autoSpaceDN w:val="0"/>
              <w:adjustRightInd w:val="0"/>
            </w:pPr>
            <w:r w:rsidRPr="00AF048C">
              <w:t>08300, Україна, Київська обл., Бориспільський рай</w:t>
            </w:r>
            <w:r w:rsidR="009C2D4E" w:rsidRPr="00AF048C">
              <w:t>он, село Гора, вулиця Бориспіль</w:t>
            </w:r>
            <w:r w:rsidRPr="00AF048C">
              <w:t xml:space="preserve">-7, код 20572069, </w:t>
            </w:r>
          </w:p>
          <w:p w:rsidR="00825A6B" w:rsidRPr="00AF048C" w:rsidRDefault="006926A0" w:rsidP="006926A0">
            <w:pPr>
              <w:pStyle w:val="4"/>
              <w:keepNext w:val="0"/>
              <w:widowControl w:val="0"/>
              <w:ind w:left="0"/>
              <w:jc w:val="left"/>
            </w:pPr>
            <w:r w:rsidRPr="00AF048C">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AF048C">
              <w:rPr>
                <w:color w:val="000000"/>
              </w:rPr>
              <w:t>»</w:t>
            </w:r>
          </w:p>
        </w:tc>
      </w:tr>
      <w:tr w:rsidR="001021AF" w:rsidRPr="00AF048C" w:rsidTr="00C62708">
        <w:tc>
          <w:tcPr>
            <w:tcW w:w="9854" w:type="dxa"/>
            <w:gridSpan w:val="2"/>
          </w:tcPr>
          <w:p w:rsidR="003C4B6B" w:rsidRPr="00AF048C" w:rsidRDefault="003C4B6B" w:rsidP="007D7B6F">
            <w:pPr>
              <w:pStyle w:val="1"/>
              <w:keepNext w:val="0"/>
              <w:widowControl w:val="0"/>
              <w:rPr>
                <w:sz w:val="28"/>
                <w:szCs w:val="28"/>
              </w:rPr>
            </w:pPr>
          </w:p>
          <w:p w:rsidR="001021AF" w:rsidRPr="00AF048C" w:rsidRDefault="007D7B6F" w:rsidP="007D7B6F">
            <w:pPr>
              <w:pStyle w:val="1"/>
              <w:keepNext w:val="0"/>
              <w:widowControl w:val="0"/>
            </w:pPr>
            <w:r w:rsidRPr="00AF048C">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AF048C" w:rsidRDefault="005F3529" w:rsidP="0063471D">
      <w:pPr>
        <w:pStyle w:val="a3"/>
        <w:widowControl w:val="0"/>
        <w:jc w:val="both"/>
        <w:rPr>
          <w:sz w:val="24"/>
          <w:szCs w:val="24"/>
          <w:lang w:val="uk-UA"/>
        </w:rPr>
      </w:pPr>
    </w:p>
    <w:p w:rsidR="007D7B6F" w:rsidRPr="00AF048C" w:rsidRDefault="003C4B6B" w:rsidP="0063471D">
      <w:pPr>
        <w:pStyle w:val="a3"/>
        <w:widowControl w:val="0"/>
        <w:jc w:val="both"/>
        <w:rPr>
          <w:sz w:val="24"/>
          <w:szCs w:val="24"/>
          <w:lang w:val="uk-UA"/>
        </w:rPr>
      </w:pPr>
      <w:r w:rsidRPr="00AF048C">
        <w:rPr>
          <w:sz w:val="24"/>
          <w:szCs w:val="24"/>
          <w:lang w:val="uk-UA"/>
        </w:rPr>
        <w:t xml:space="preserve">Підстава: </w:t>
      </w:r>
      <w:r w:rsidR="007D7B6F" w:rsidRPr="00AF048C">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AF048C" w:rsidRDefault="009F35DC" w:rsidP="00440A74">
      <w:pPr>
        <w:widowControl w:val="0"/>
        <w:shd w:val="clear" w:color="auto" w:fill="FFFFFF"/>
        <w:ind w:firstLine="708"/>
        <w:contextualSpacing/>
        <w:jc w:val="both"/>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47"/>
        <w:gridCol w:w="3018"/>
        <w:gridCol w:w="1838"/>
        <w:gridCol w:w="2155"/>
        <w:gridCol w:w="1817"/>
      </w:tblGrid>
      <w:tr w:rsidR="00A76484" w:rsidRPr="00AF048C" w:rsidTr="009C2D4E">
        <w:tc>
          <w:tcPr>
            <w:tcW w:w="487" w:type="pct"/>
            <w:shd w:val="clear" w:color="auto" w:fill="DEEAF6"/>
          </w:tcPr>
          <w:p w:rsidR="00A76484" w:rsidRPr="00AF048C" w:rsidRDefault="00A76484" w:rsidP="002D4D30">
            <w:pPr>
              <w:widowControl w:val="0"/>
              <w:contextualSpacing/>
              <w:jc w:val="center"/>
              <w:rPr>
                <w:b/>
                <w:sz w:val="22"/>
                <w:szCs w:val="22"/>
              </w:rPr>
            </w:pPr>
            <w:r w:rsidRPr="00AF048C">
              <w:rPr>
                <w:b/>
                <w:sz w:val="22"/>
                <w:szCs w:val="22"/>
              </w:rPr>
              <w:t>Пункт Кошторису</w:t>
            </w:r>
          </w:p>
        </w:tc>
        <w:tc>
          <w:tcPr>
            <w:tcW w:w="1527" w:type="pct"/>
            <w:shd w:val="clear" w:color="auto" w:fill="DEEAF6"/>
          </w:tcPr>
          <w:p w:rsidR="00A76484" w:rsidRPr="00AF048C" w:rsidRDefault="00A76484" w:rsidP="002D4D30">
            <w:pPr>
              <w:widowControl w:val="0"/>
              <w:contextualSpacing/>
              <w:jc w:val="center"/>
              <w:rPr>
                <w:b/>
                <w:sz w:val="22"/>
                <w:szCs w:val="22"/>
              </w:rPr>
            </w:pPr>
            <w:r w:rsidRPr="00AF048C">
              <w:rPr>
                <w:b/>
                <w:sz w:val="22"/>
                <w:szCs w:val="22"/>
              </w:rPr>
              <w:t>Назва предмета закупівлі із зазначенням коду за Єдиним закупівельним словником</w:t>
            </w:r>
          </w:p>
        </w:tc>
        <w:tc>
          <w:tcPr>
            <w:tcW w:w="947" w:type="pct"/>
            <w:shd w:val="clear" w:color="auto" w:fill="DEEAF6"/>
          </w:tcPr>
          <w:p w:rsidR="00A76484" w:rsidRPr="00AF048C" w:rsidRDefault="00A76484" w:rsidP="00DB2D70">
            <w:pPr>
              <w:widowControl w:val="0"/>
              <w:contextualSpacing/>
              <w:jc w:val="center"/>
              <w:rPr>
                <w:b/>
                <w:sz w:val="22"/>
                <w:szCs w:val="22"/>
              </w:rPr>
            </w:pPr>
            <w:r w:rsidRPr="00AF048C">
              <w:rPr>
                <w:b/>
                <w:sz w:val="22"/>
                <w:szCs w:val="22"/>
              </w:rPr>
              <w:t>Очікувана варт</w:t>
            </w:r>
            <w:r w:rsidR="00DB2D70" w:rsidRPr="00AF048C">
              <w:rPr>
                <w:b/>
                <w:sz w:val="22"/>
                <w:szCs w:val="22"/>
              </w:rPr>
              <w:t>ість предмета закупівлі згідно р</w:t>
            </w:r>
            <w:r w:rsidRPr="00AF048C">
              <w:rPr>
                <w:b/>
                <w:sz w:val="22"/>
                <w:szCs w:val="22"/>
              </w:rPr>
              <w:t xml:space="preserve">ічного плану </w:t>
            </w:r>
            <w:proofErr w:type="spellStart"/>
            <w:r w:rsidRPr="00AF048C">
              <w:rPr>
                <w:b/>
                <w:sz w:val="22"/>
                <w:szCs w:val="22"/>
              </w:rPr>
              <w:t>закупівель</w:t>
            </w:r>
            <w:proofErr w:type="spellEnd"/>
          </w:p>
        </w:tc>
        <w:tc>
          <w:tcPr>
            <w:tcW w:w="1102" w:type="pct"/>
            <w:shd w:val="clear" w:color="auto" w:fill="DEEAF6"/>
          </w:tcPr>
          <w:p w:rsidR="00A76484" w:rsidRPr="00AF048C" w:rsidRDefault="00A76484" w:rsidP="002D4D30">
            <w:pPr>
              <w:widowControl w:val="0"/>
              <w:contextualSpacing/>
              <w:jc w:val="center"/>
              <w:rPr>
                <w:b/>
                <w:sz w:val="22"/>
                <w:szCs w:val="22"/>
              </w:rPr>
            </w:pPr>
            <w:r w:rsidRPr="00AF048C">
              <w:rPr>
                <w:b/>
                <w:sz w:val="22"/>
                <w:szCs w:val="22"/>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AF048C" w:rsidRDefault="00A355EA" w:rsidP="002D4D30">
            <w:pPr>
              <w:widowControl w:val="0"/>
              <w:contextualSpacing/>
              <w:jc w:val="center"/>
              <w:rPr>
                <w:b/>
                <w:sz w:val="22"/>
                <w:szCs w:val="22"/>
              </w:rPr>
            </w:pPr>
            <w:r w:rsidRPr="00AF048C">
              <w:rPr>
                <w:b/>
                <w:sz w:val="22"/>
                <w:szCs w:val="22"/>
              </w:rPr>
              <w:t>Ідентифікатор процедури закупівлі</w:t>
            </w:r>
          </w:p>
        </w:tc>
      </w:tr>
      <w:tr w:rsidR="009C2D4E" w:rsidRPr="00AF048C" w:rsidTr="009C2D4E">
        <w:tc>
          <w:tcPr>
            <w:tcW w:w="487" w:type="pct"/>
          </w:tcPr>
          <w:p w:rsidR="009C2D4E" w:rsidRPr="00AF048C" w:rsidRDefault="009C2D4E" w:rsidP="009C2D4E">
            <w:pPr>
              <w:widowControl w:val="0"/>
              <w:ind w:right="-11"/>
              <w:jc w:val="center"/>
              <w:rPr>
                <w:sz w:val="22"/>
                <w:szCs w:val="22"/>
                <w:lang w:eastAsia="uk-UA"/>
              </w:rPr>
            </w:pPr>
            <w:r w:rsidRPr="00AF048C">
              <w:rPr>
                <w:sz w:val="22"/>
                <w:szCs w:val="22"/>
              </w:rPr>
              <w:t xml:space="preserve">50.130 </w:t>
            </w:r>
            <w:r w:rsidRPr="00AF048C">
              <w:rPr>
                <w:sz w:val="22"/>
                <w:szCs w:val="22"/>
                <w:lang w:eastAsia="uk-UA"/>
              </w:rPr>
              <w:t>(2023)</w:t>
            </w:r>
          </w:p>
        </w:tc>
        <w:tc>
          <w:tcPr>
            <w:tcW w:w="1527" w:type="pct"/>
          </w:tcPr>
          <w:p w:rsidR="009C2D4E" w:rsidRPr="00AF048C" w:rsidRDefault="009C2D4E" w:rsidP="009C2D4E">
            <w:pPr>
              <w:widowControl w:val="0"/>
              <w:rPr>
                <w:bCs/>
                <w:sz w:val="22"/>
                <w:szCs w:val="22"/>
              </w:rPr>
            </w:pPr>
            <w:r w:rsidRPr="00AF048C">
              <w:rPr>
                <w:b/>
                <w:sz w:val="22"/>
                <w:szCs w:val="22"/>
              </w:rPr>
              <w:t xml:space="preserve">Двері автоматичні розсувні телескопічні для тимчасової будівлі зі </w:t>
            </w:r>
            <w:proofErr w:type="spellStart"/>
            <w:r w:rsidRPr="00AF048C">
              <w:rPr>
                <w:b/>
                <w:sz w:val="22"/>
                <w:szCs w:val="22"/>
              </w:rPr>
              <w:t>швидкомонтуючих</w:t>
            </w:r>
            <w:proofErr w:type="spellEnd"/>
            <w:r w:rsidRPr="00AF048C">
              <w:rPr>
                <w:b/>
                <w:sz w:val="22"/>
                <w:szCs w:val="22"/>
              </w:rPr>
              <w:t xml:space="preserve"> легких конструкцій, </w:t>
            </w:r>
            <w:r w:rsidRPr="00AF048C">
              <w:rPr>
                <w:sz w:val="22"/>
                <w:szCs w:val="22"/>
              </w:rPr>
              <w:t xml:space="preserve">код ДК 021:2015 - 44220000-8 - Столярні вироби </w:t>
            </w:r>
          </w:p>
        </w:tc>
        <w:tc>
          <w:tcPr>
            <w:tcW w:w="947" w:type="pct"/>
          </w:tcPr>
          <w:p w:rsidR="009C2D4E" w:rsidRPr="00AF048C" w:rsidRDefault="009C2D4E" w:rsidP="009C2D4E">
            <w:pPr>
              <w:widowControl w:val="0"/>
              <w:jc w:val="center"/>
              <w:rPr>
                <w:sz w:val="22"/>
                <w:szCs w:val="22"/>
              </w:rPr>
            </w:pPr>
            <w:r w:rsidRPr="00AF048C">
              <w:rPr>
                <w:sz w:val="22"/>
                <w:szCs w:val="22"/>
              </w:rPr>
              <w:t xml:space="preserve">211 601,49 </w:t>
            </w:r>
          </w:p>
          <w:p w:rsidR="009C2D4E" w:rsidRPr="00AF048C" w:rsidRDefault="009C2D4E" w:rsidP="009C2D4E">
            <w:pPr>
              <w:widowControl w:val="0"/>
              <w:jc w:val="center"/>
              <w:rPr>
                <w:sz w:val="22"/>
                <w:szCs w:val="22"/>
              </w:rPr>
            </w:pPr>
            <w:r w:rsidRPr="00AF048C">
              <w:rPr>
                <w:sz w:val="22"/>
                <w:szCs w:val="22"/>
              </w:rPr>
              <w:t>грн. з ПДВ</w:t>
            </w:r>
          </w:p>
        </w:tc>
        <w:tc>
          <w:tcPr>
            <w:tcW w:w="1102" w:type="pct"/>
          </w:tcPr>
          <w:p w:rsidR="009C2D4E" w:rsidRPr="00AF048C" w:rsidRDefault="009C2D4E" w:rsidP="009C2D4E">
            <w:pPr>
              <w:widowControl w:val="0"/>
              <w:jc w:val="center"/>
              <w:rPr>
                <w:sz w:val="22"/>
                <w:szCs w:val="22"/>
              </w:rPr>
            </w:pPr>
            <w:r w:rsidRPr="00AF048C">
              <w:rPr>
                <w:sz w:val="22"/>
                <w:szCs w:val="22"/>
              </w:rPr>
              <w:t>176 334,57</w:t>
            </w:r>
          </w:p>
          <w:p w:rsidR="009C2D4E" w:rsidRPr="00AF048C" w:rsidRDefault="009C2D4E" w:rsidP="009C2D4E">
            <w:pPr>
              <w:widowControl w:val="0"/>
              <w:jc w:val="center"/>
              <w:rPr>
                <w:sz w:val="22"/>
                <w:szCs w:val="22"/>
              </w:rPr>
            </w:pPr>
            <w:r w:rsidRPr="00AF048C">
              <w:rPr>
                <w:sz w:val="22"/>
                <w:szCs w:val="22"/>
              </w:rPr>
              <w:t xml:space="preserve">грн. без ПДВ </w:t>
            </w:r>
          </w:p>
        </w:tc>
        <w:tc>
          <w:tcPr>
            <w:tcW w:w="936" w:type="pct"/>
          </w:tcPr>
          <w:p w:rsidR="009C2D4E" w:rsidRPr="00AF048C" w:rsidRDefault="004F0515" w:rsidP="009C2D4E">
            <w:pPr>
              <w:widowControl w:val="0"/>
              <w:jc w:val="center"/>
              <w:rPr>
                <w:color w:val="0000FF"/>
                <w:sz w:val="22"/>
                <w:szCs w:val="22"/>
              </w:rPr>
            </w:pPr>
            <w:r w:rsidRPr="004F0515">
              <w:rPr>
                <w:color w:val="0000FF"/>
                <w:sz w:val="22"/>
                <w:szCs w:val="22"/>
              </w:rPr>
              <w:t>UA-2023-12-05-017111-a</w:t>
            </w:r>
            <w:bookmarkStart w:id="0" w:name="_GoBack"/>
            <w:bookmarkEnd w:id="0"/>
          </w:p>
        </w:tc>
      </w:tr>
    </w:tbl>
    <w:p w:rsidR="00A12478" w:rsidRPr="00AF048C" w:rsidRDefault="00A12478" w:rsidP="0063471D">
      <w:pPr>
        <w:pStyle w:val="a3"/>
        <w:widowControl w:val="0"/>
        <w:jc w:val="both"/>
        <w:rPr>
          <w:sz w:val="24"/>
          <w:szCs w:val="24"/>
          <w:lang w:val="uk-UA"/>
        </w:rPr>
      </w:pPr>
    </w:p>
    <w:p w:rsidR="00A355EA" w:rsidRPr="00AF048C" w:rsidRDefault="00A355EA" w:rsidP="00C62708">
      <w:pPr>
        <w:widowControl w:val="0"/>
        <w:shd w:val="clear" w:color="auto" w:fill="DEEAF6"/>
        <w:jc w:val="center"/>
      </w:pPr>
      <w:r w:rsidRPr="00AF048C">
        <w:rPr>
          <w:b/>
        </w:rPr>
        <w:t>Обґрунтування на виконання вимог Постанови КМУ від 11.10.2016 № 710:</w:t>
      </w:r>
    </w:p>
    <w:p w:rsidR="006F428D" w:rsidRPr="00AF048C" w:rsidRDefault="006F428D" w:rsidP="00A12478">
      <w:pPr>
        <w:rPr>
          <w:b/>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AF048C" w:rsidRPr="00AF048C" w:rsidTr="00AF048C">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F048C" w:rsidRPr="00AF048C" w:rsidRDefault="00AF048C" w:rsidP="00AF048C">
            <w:r w:rsidRPr="00AF048C">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F048C" w:rsidRPr="00AF048C" w:rsidRDefault="00AF048C" w:rsidP="00AF048C">
            <w:r w:rsidRPr="00AF048C">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AF048C" w:rsidRPr="00AF048C" w:rsidRDefault="00AF048C" w:rsidP="00AF048C">
            <w:pPr>
              <w:widowControl w:val="0"/>
              <w:jc w:val="both"/>
            </w:pPr>
            <w:r w:rsidRPr="00AF048C">
              <w:t xml:space="preserve">Технічні характеристики предмета закупівлі наведені у розділі I та визначені особливостями розміру </w:t>
            </w:r>
            <w:proofErr w:type="spellStart"/>
            <w:r w:rsidRPr="00AF048C">
              <w:t>проєму</w:t>
            </w:r>
            <w:proofErr w:type="spellEnd"/>
            <w:r w:rsidRPr="00AF048C">
              <w:t xml:space="preserve"> під встановлення дверей та необхідністю забезпечити максимально можливу ширину проходу для пасажирів</w:t>
            </w:r>
          </w:p>
        </w:tc>
      </w:tr>
      <w:tr w:rsidR="00AF048C" w:rsidRPr="00AF048C" w:rsidTr="00AF048C">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F048C" w:rsidRPr="00AF048C" w:rsidRDefault="00AF048C" w:rsidP="00AF048C">
            <w:pPr>
              <w:rPr>
                <w:bCs/>
              </w:rPr>
            </w:pPr>
            <w:r w:rsidRPr="00AF048C">
              <w:rPr>
                <w:bCs/>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F048C" w:rsidRPr="00AF048C" w:rsidRDefault="00AF048C" w:rsidP="00AF048C">
            <w:r w:rsidRPr="00AF048C">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AF048C" w:rsidRPr="00AF048C" w:rsidRDefault="00AF048C" w:rsidP="00AF048C">
            <w:pPr>
              <w:widowControl w:val="0"/>
              <w:jc w:val="both"/>
              <w:rPr>
                <w:i/>
                <w:highlight w:val="yellow"/>
              </w:rPr>
            </w:pPr>
            <w:r w:rsidRPr="00AF048C">
              <w:rPr>
                <w:color w:val="000000"/>
              </w:rPr>
              <w:t>Очікувану вартість закупівлі розраховано методом порівняння ринкових цін відповідно до Положення «Про порядок визначення очікуваної вартості предмета закупівлі». Було направлено низку запитів з метою отримання комерційних пропозицій від потенційних Учасників процедури закупівлі. На підставі вищезазначеного визначено очікувану вартість в цілому.</w:t>
            </w:r>
          </w:p>
        </w:tc>
      </w:tr>
      <w:tr w:rsidR="00AF048C" w:rsidRPr="00AF048C" w:rsidTr="00AF048C">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F048C" w:rsidRPr="00AF048C" w:rsidRDefault="00AF048C" w:rsidP="00AF048C">
            <w:pPr>
              <w:rPr>
                <w:bCs/>
              </w:rPr>
            </w:pPr>
            <w:r w:rsidRPr="00AF048C">
              <w:rPr>
                <w:bCs/>
              </w:rPr>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F048C" w:rsidRPr="00AF048C" w:rsidRDefault="00AF048C" w:rsidP="00AF048C">
            <w:r w:rsidRPr="00AF048C">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AF048C" w:rsidRPr="00AF048C" w:rsidRDefault="00AF048C" w:rsidP="00AF048C">
            <w:pPr>
              <w:widowControl w:val="0"/>
              <w:jc w:val="both"/>
              <w:rPr>
                <w:i/>
              </w:rPr>
            </w:pPr>
            <w:r w:rsidRPr="00AF048C">
              <w:rPr>
                <w:i/>
              </w:rPr>
              <w:t>---</w:t>
            </w:r>
          </w:p>
        </w:tc>
      </w:tr>
    </w:tbl>
    <w:p w:rsidR="006F428D" w:rsidRPr="00AF048C" w:rsidRDefault="006F428D" w:rsidP="00A12478">
      <w:pPr>
        <w:rPr>
          <w:b/>
        </w:rPr>
      </w:pPr>
    </w:p>
    <w:p w:rsidR="006926A0" w:rsidRPr="00AF048C" w:rsidRDefault="006926A0" w:rsidP="006926A0">
      <w:pPr>
        <w:ind w:firstLine="567"/>
        <w:jc w:val="both"/>
      </w:pPr>
      <w:r w:rsidRPr="00AF048C">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AF048C" w:rsidRDefault="006F428D" w:rsidP="00A12478">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
        <w:gridCol w:w="2412"/>
        <w:gridCol w:w="1413"/>
        <w:gridCol w:w="1256"/>
        <w:gridCol w:w="4035"/>
      </w:tblGrid>
      <w:tr w:rsidR="003C3DFD" w:rsidRPr="003C3DFD" w:rsidTr="00CF3F3E">
        <w:tc>
          <w:tcPr>
            <w:tcW w:w="529" w:type="pct"/>
            <w:shd w:val="clear" w:color="auto" w:fill="FFF2CC" w:themeFill="accent4" w:themeFillTint="33"/>
          </w:tcPr>
          <w:p w:rsidR="003C3DFD" w:rsidRPr="003C3DFD" w:rsidRDefault="003C3DFD" w:rsidP="003C3DFD">
            <w:pPr>
              <w:widowControl w:val="0"/>
              <w:jc w:val="center"/>
              <w:rPr>
                <w:b/>
                <w:sz w:val="22"/>
                <w:szCs w:val="22"/>
              </w:rPr>
            </w:pPr>
            <w:r w:rsidRPr="003C3DFD">
              <w:rPr>
                <w:b/>
                <w:sz w:val="22"/>
                <w:szCs w:val="22"/>
              </w:rPr>
              <w:t>№ п/п</w:t>
            </w:r>
          </w:p>
        </w:tc>
        <w:tc>
          <w:tcPr>
            <w:tcW w:w="1183" w:type="pct"/>
            <w:shd w:val="clear" w:color="auto" w:fill="FFF2CC" w:themeFill="accent4" w:themeFillTint="33"/>
          </w:tcPr>
          <w:p w:rsidR="003C3DFD" w:rsidRPr="003C3DFD" w:rsidRDefault="003C3DFD" w:rsidP="003C3DFD">
            <w:pPr>
              <w:widowControl w:val="0"/>
              <w:jc w:val="center"/>
              <w:rPr>
                <w:b/>
                <w:sz w:val="22"/>
                <w:szCs w:val="22"/>
              </w:rPr>
            </w:pPr>
            <w:r w:rsidRPr="003C3DFD">
              <w:rPr>
                <w:b/>
                <w:sz w:val="22"/>
                <w:szCs w:val="22"/>
              </w:rPr>
              <w:t>Найменування Товару</w:t>
            </w:r>
          </w:p>
        </w:tc>
        <w:tc>
          <w:tcPr>
            <w:tcW w:w="693" w:type="pct"/>
            <w:shd w:val="clear" w:color="auto" w:fill="FFF2CC" w:themeFill="accent4" w:themeFillTint="33"/>
          </w:tcPr>
          <w:p w:rsidR="003C3DFD" w:rsidRPr="003C3DFD" w:rsidRDefault="003C3DFD" w:rsidP="003C3DFD">
            <w:pPr>
              <w:widowControl w:val="0"/>
              <w:jc w:val="center"/>
              <w:rPr>
                <w:b/>
                <w:sz w:val="22"/>
                <w:szCs w:val="22"/>
              </w:rPr>
            </w:pPr>
            <w:r w:rsidRPr="003C3DFD">
              <w:rPr>
                <w:b/>
                <w:sz w:val="22"/>
                <w:szCs w:val="22"/>
              </w:rPr>
              <w:t>Одиниця</w:t>
            </w:r>
          </w:p>
          <w:p w:rsidR="003C3DFD" w:rsidRPr="003C3DFD" w:rsidRDefault="003C3DFD" w:rsidP="003C3DFD">
            <w:pPr>
              <w:widowControl w:val="0"/>
              <w:jc w:val="center"/>
              <w:rPr>
                <w:b/>
                <w:sz w:val="22"/>
                <w:szCs w:val="22"/>
              </w:rPr>
            </w:pPr>
            <w:r w:rsidRPr="003C3DFD">
              <w:rPr>
                <w:b/>
                <w:sz w:val="22"/>
                <w:szCs w:val="22"/>
              </w:rPr>
              <w:t>виміру</w:t>
            </w:r>
          </w:p>
        </w:tc>
        <w:tc>
          <w:tcPr>
            <w:tcW w:w="616" w:type="pct"/>
            <w:shd w:val="clear" w:color="auto" w:fill="FFF2CC" w:themeFill="accent4" w:themeFillTint="33"/>
          </w:tcPr>
          <w:p w:rsidR="003C3DFD" w:rsidRPr="003C3DFD" w:rsidRDefault="003C3DFD" w:rsidP="003C3DFD">
            <w:pPr>
              <w:widowControl w:val="0"/>
              <w:jc w:val="center"/>
              <w:rPr>
                <w:b/>
                <w:sz w:val="22"/>
                <w:szCs w:val="22"/>
              </w:rPr>
            </w:pPr>
            <w:r w:rsidRPr="003C3DFD">
              <w:rPr>
                <w:b/>
                <w:sz w:val="22"/>
                <w:szCs w:val="22"/>
              </w:rPr>
              <w:t>Кількість</w:t>
            </w:r>
          </w:p>
          <w:p w:rsidR="003C3DFD" w:rsidRPr="003C3DFD" w:rsidRDefault="003C3DFD" w:rsidP="003C3DFD">
            <w:pPr>
              <w:widowControl w:val="0"/>
              <w:jc w:val="center"/>
              <w:rPr>
                <w:b/>
                <w:sz w:val="22"/>
                <w:szCs w:val="22"/>
              </w:rPr>
            </w:pPr>
          </w:p>
        </w:tc>
        <w:tc>
          <w:tcPr>
            <w:tcW w:w="1979" w:type="pct"/>
            <w:shd w:val="clear" w:color="auto" w:fill="FFF2CC" w:themeFill="accent4" w:themeFillTint="33"/>
            <w:hideMark/>
          </w:tcPr>
          <w:p w:rsidR="003C3DFD" w:rsidRPr="003C3DFD" w:rsidRDefault="003C3DFD" w:rsidP="003C3DFD">
            <w:pPr>
              <w:widowControl w:val="0"/>
              <w:jc w:val="center"/>
              <w:rPr>
                <w:b/>
                <w:sz w:val="22"/>
                <w:szCs w:val="22"/>
              </w:rPr>
            </w:pPr>
            <w:r w:rsidRPr="003C3DFD">
              <w:rPr>
                <w:b/>
                <w:sz w:val="22"/>
                <w:szCs w:val="22"/>
              </w:rPr>
              <w:t xml:space="preserve">Технічні </w:t>
            </w:r>
            <w:r w:rsidRPr="003C3DFD">
              <w:rPr>
                <w:b/>
                <w:sz w:val="22"/>
                <w:szCs w:val="22"/>
                <w:shd w:val="clear" w:color="auto" w:fill="FFF2CC" w:themeFill="accent4" w:themeFillTint="33"/>
              </w:rPr>
              <w:t>та якісні</w:t>
            </w:r>
            <w:r w:rsidRPr="003C3DFD">
              <w:rPr>
                <w:b/>
                <w:sz w:val="22"/>
                <w:szCs w:val="22"/>
              </w:rPr>
              <w:t xml:space="preserve"> характеристики предмета закупівлі</w:t>
            </w:r>
          </w:p>
          <w:p w:rsidR="003C3DFD" w:rsidRPr="003C3DFD" w:rsidRDefault="003C3DFD" w:rsidP="003C3DFD">
            <w:pPr>
              <w:widowControl w:val="0"/>
              <w:jc w:val="center"/>
              <w:rPr>
                <w:b/>
                <w:sz w:val="22"/>
                <w:szCs w:val="22"/>
              </w:rPr>
            </w:pPr>
            <w:r w:rsidRPr="003C3DFD">
              <w:rPr>
                <w:b/>
                <w:sz w:val="22"/>
                <w:szCs w:val="22"/>
              </w:rPr>
              <w:t>(Технічна специфікація)</w:t>
            </w:r>
          </w:p>
        </w:tc>
      </w:tr>
      <w:tr w:rsidR="003C3DFD" w:rsidRPr="003C3DFD" w:rsidTr="00CF3F3E">
        <w:trPr>
          <w:trHeight w:val="335"/>
        </w:trPr>
        <w:tc>
          <w:tcPr>
            <w:tcW w:w="529" w:type="pct"/>
            <w:hideMark/>
          </w:tcPr>
          <w:p w:rsidR="003C3DFD" w:rsidRPr="003C3DFD" w:rsidRDefault="003C3DFD" w:rsidP="003C3DFD">
            <w:pPr>
              <w:widowControl w:val="0"/>
              <w:rPr>
                <w:sz w:val="20"/>
                <w:szCs w:val="20"/>
              </w:rPr>
            </w:pPr>
            <w:r w:rsidRPr="003C3DFD">
              <w:rPr>
                <w:sz w:val="20"/>
                <w:szCs w:val="20"/>
              </w:rPr>
              <w:lastRenderedPageBreak/>
              <w:t>1</w:t>
            </w:r>
          </w:p>
        </w:tc>
        <w:tc>
          <w:tcPr>
            <w:tcW w:w="1183" w:type="pct"/>
            <w:hideMark/>
          </w:tcPr>
          <w:p w:rsidR="003C3DFD" w:rsidRPr="003C3DFD" w:rsidRDefault="003C3DFD" w:rsidP="003C3DFD">
            <w:pPr>
              <w:keepNext/>
              <w:widowControl w:val="0"/>
              <w:outlineLvl w:val="7"/>
              <w:rPr>
                <w:bCs/>
                <w:sz w:val="20"/>
                <w:szCs w:val="20"/>
                <w:lang w:eastAsia="en-US"/>
              </w:rPr>
            </w:pPr>
            <w:r w:rsidRPr="003C3DFD">
              <w:rPr>
                <w:bCs/>
                <w:sz w:val="20"/>
                <w:szCs w:val="20"/>
                <w:lang w:eastAsia="en-US"/>
              </w:rPr>
              <w:t xml:space="preserve">Двері автоматичні розсувні телескопічні </w:t>
            </w:r>
          </w:p>
          <w:p w:rsidR="003C3DFD" w:rsidRPr="003C3DFD" w:rsidRDefault="003C3DFD" w:rsidP="003C3DFD">
            <w:pPr>
              <w:keepNext/>
              <w:widowControl w:val="0"/>
              <w:outlineLvl w:val="7"/>
              <w:rPr>
                <w:bCs/>
                <w:sz w:val="20"/>
                <w:szCs w:val="20"/>
                <w:lang w:eastAsia="en-US"/>
              </w:rPr>
            </w:pPr>
            <w:r w:rsidRPr="003C3DFD">
              <w:rPr>
                <w:bCs/>
                <w:sz w:val="20"/>
                <w:szCs w:val="20"/>
                <w:lang w:eastAsia="en-US"/>
              </w:rPr>
              <w:t xml:space="preserve">для тимчасової будівлі  зі </w:t>
            </w:r>
            <w:proofErr w:type="spellStart"/>
            <w:r w:rsidRPr="003C3DFD">
              <w:rPr>
                <w:bCs/>
                <w:sz w:val="20"/>
                <w:szCs w:val="20"/>
                <w:lang w:eastAsia="en-US"/>
              </w:rPr>
              <w:t>швидкомонтуючих</w:t>
            </w:r>
            <w:proofErr w:type="spellEnd"/>
            <w:r w:rsidRPr="003C3DFD">
              <w:rPr>
                <w:bCs/>
                <w:sz w:val="20"/>
                <w:szCs w:val="20"/>
                <w:lang w:eastAsia="en-US"/>
              </w:rPr>
              <w:t xml:space="preserve"> легких конструкцій</w:t>
            </w:r>
            <w:r w:rsidRPr="003C3DFD">
              <w:rPr>
                <w:bCs/>
                <w:sz w:val="20"/>
                <w:szCs w:val="20"/>
                <w:u w:val="single"/>
                <w:lang w:eastAsia="en-US"/>
              </w:rPr>
              <w:t xml:space="preserve"> </w:t>
            </w:r>
          </w:p>
          <w:p w:rsidR="003C3DFD" w:rsidRPr="003C3DFD" w:rsidRDefault="003C3DFD" w:rsidP="003C3DFD">
            <w:pPr>
              <w:suppressAutoHyphens/>
              <w:rPr>
                <w:sz w:val="20"/>
                <w:szCs w:val="20"/>
              </w:rPr>
            </w:pPr>
          </w:p>
        </w:tc>
        <w:tc>
          <w:tcPr>
            <w:tcW w:w="693" w:type="pct"/>
          </w:tcPr>
          <w:p w:rsidR="003C3DFD" w:rsidRPr="003C3DFD" w:rsidRDefault="003C3DFD" w:rsidP="003C3DFD">
            <w:pPr>
              <w:suppressAutoHyphens/>
              <w:jc w:val="center"/>
              <w:rPr>
                <w:sz w:val="20"/>
                <w:szCs w:val="20"/>
              </w:rPr>
            </w:pPr>
            <w:r w:rsidRPr="003C3DFD">
              <w:rPr>
                <w:sz w:val="20"/>
                <w:szCs w:val="20"/>
              </w:rPr>
              <w:t>шт.</w:t>
            </w:r>
          </w:p>
        </w:tc>
        <w:tc>
          <w:tcPr>
            <w:tcW w:w="616" w:type="pct"/>
          </w:tcPr>
          <w:p w:rsidR="003C3DFD" w:rsidRPr="003C3DFD" w:rsidRDefault="003C3DFD" w:rsidP="003C3DFD">
            <w:pPr>
              <w:suppressAutoHyphens/>
              <w:jc w:val="center"/>
              <w:rPr>
                <w:sz w:val="20"/>
                <w:szCs w:val="20"/>
              </w:rPr>
            </w:pPr>
            <w:r w:rsidRPr="003C3DFD">
              <w:rPr>
                <w:sz w:val="20"/>
                <w:szCs w:val="20"/>
              </w:rPr>
              <w:t>1</w:t>
            </w:r>
          </w:p>
        </w:tc>
        <w:tc>
          <w:tcPr>
            <w:tcW w:w="1979" w:type="pct"/>
            <w:shd w:val="clear" w:color="auto" w:fill="auto"/>
          </w:tcPr>
          <w:p w:rsidR="003C3DFD" w:rsidRPr="003C3DFD" w:rsidRDefault="003C3DFD" w:rsidP="003C3DFD">
            <w:pPr>
              <w:numPr>
                <w:ilvl w:val="0"/>
                <w:numId w:val="26"/>
              </w:numPr>
              <w:suppressAutoHyphens/>
              <w:ind w:left="457" w:hanging="425"/>
              <w:contextualSpacing/>
              <w:jc w:val="both"/>
              <w:rPr>
                <w:rFonts w:eastAsia="Calibri"/>
                <w:sz w:val="20"/>
                <w:szCs w:val="20"/>
                <w:lang w:eastAsia="en-US"/>
              </w:rPr>
            </w:pPr>
            <w:r w:rsidRPr="003C3DFD">
              <w:rPr>
                <w:rFonts w:eastAsia="Calibri"/>
                <w:sz w:val="20"/>
                <w:szCs w:val="20"/>
                <w:lang w:eastAsia="en-US"/>
              </w:rPr>
              <w:t>Тип -  автоматичні розсувні телескопічні</w:t>
            </w:r>
          </w:p>
          <w:p w:rsidR="003C3DFD" w:rsidRPr="003C3DFD" w:rsidRDefault="003C3DFD" w:rsidP="003C3DFD">
            <w:pPr>
              <w:numPr>
                <w:ilvl w:val="0"/>
                <w:numId w:val="26"/>
              </w:numPr>
              <w:suppressAutoHyphens/>
              <w:ind w:left="457" w:hanging="425"/>
              <w:contextualSpacing/>
              <w:jc w:val="both"/>
              <w:rPr>
                <w:rFonts w:eastAsia="Calibri"/>
                <w:sz w:val="20"/>
                <w:szCs w:val="20"/>
                <w:lang w:eastAsia="en-US"/>
              </w:rPr>
            </w:pPr>
            <w:r w:rsidRPr="003C3DFD">
              <w:rPr>
                <w:rFonts w:eastAsia="Calibri"/>
                <w:sz w:val="20"/>
                <w:szCs w:val="20"/>
                <w:lang w:eastAsia="en-US"/>
              </w:rPr>
              <w:t>Ширина проходу - 1950 мм.</w:t>
            </w:r>
          </w:p>
          <w:p w:rsidR="003C3DFD" w:rsidRPr="003C3DFD" w:rsidRDefault="003C3DFD" w:rsidP="003C3DFD">
            <w:pPr>
              <w:numPr>
                <w:ilvl w:val="0"/>
                <w:numId w:val="26"/>
              </w:numPr>
              <w:suppressAutoHyphens/>
              <w:ind w:left="457" w:hanging="425"/>
              <w:contextualSpacing/>
              <w:jc w:val="both"/>
              <w:rPr>
                <w:rFonts w:eastAsia="Calibri"/>
                <w:sz w:val="20"/>
                <w:szCs w:val="20"/>
                <w:lang w:eastAsia="en-US"/>
              </w:rPr>
            </w:pPr>
            <w:r w:rsidRPr="003C3DFD">
              <w:rPr>
                <w:rFonts w:eastAsia="Calibri"/>
                <w:sz w:val="20"/>
                <w:szCs w:val="20"/>
                <w:lang w:eastAsia="en-US"/>
              </w:rPr>
              <w:t xml:space="preserve">Висота проходу - 2570 мм.  </w:t>
            </w:r>
          </w:p>
          <w:p w:rsidR="003C3DFD" w:rsidRPr="003C3DFD" w:rsidRDefault="003C3DFD" w:rsidP="003C3DFD">
            <w:pPr>
              <w:numPr>
                <w:ilvl w:val="0"/>
                <w:numId w:val="26"/>
              </w:numPr>
              <w:suppressAutoHyphens/>
              <w:ind w:left="457" w:hanging="425"/>
              <w:contextualSpacing/>
              <w:jc w:val="both"/>
              <w:rPr>
                <w:rFonts w:eastAsia="Calibri"/>
                <w:strike/>
                <w:sz w:val="20"/>
                <w:szCs w:val="20"/>
                <w:lang w:eastAsia="en-US"/>
              </w:rPr>
            </w:pPr>
            <w:r w:rsidRPr="003C3DFD">
              <w:rPr>
                <w:rFonts w:eastAsia="Calibri"/>
                <w:sz w:val="20"/>
                <w:szCs w:val="20"/>
                <w:lang w:eastAsia="en-US"/>
              </w:rPr>
              <w:t>Висота стулок   - 2600 мм</w:t>
            </w:r>
          </w:p>
          <w:p w:rsidR="003C3DFD" w:rsidRPr="003C3DFD" w:rsidRDefault="003C3DFD" w:rsidP="003C3DFD">
            <w:pPr>
              <w:numPr>
                <w:ilvl w:val="0"/>
                <w:numId w:val="26"/>
              </w:numPr>
              <w:suppressAutoHyphens/>
              <w:ind w:left="457" w:hanging="425"/>
              <w:contextualSpacing/>
              <w:jc w:val="both"/>
              <w:rPr>
                <w:rFonts w:eastAsia="Calibri"/>
                <w:sz w:val="20"/>
                <w:szCs w:val="20"/>
                <w:lang w:eastAsia="en-US"/>
              </w:rPr>
            </w:pPr>
            <w:r w:rsidRPr="003C3DFD">
              <w:rPr>
                <w:rFonts w:eastAsia="Calibri"/>
                <w:sz w:val="20"/>
                <w:szCs w:val="20"/>
                <w:lang w:eastAsia="en-US"/>
              </w:rPr>
              <w:t xml:space="preserve">Кількість стулок - 4 шт. ( склопакети з склом </w:t>
            </w:r>
            <w:proofErr w:type="spellStart"/>
            <w:r w:rsidRPr="003C3DFD">
              <w:rPr>
                <w:rFonts w:eastAsia="Calibri"/>
                <w:sz w:val="20"/>
                <w:szCs w:val="20"/>
                <w:lang w:eastAsia="en-US"/>
              </w:rPr>
              <w:t>тріплекс</w:t>
            </w:r>
            <w:proofErr w:type="spellEnd"/>
            <w:r w:rsidRPr="003C3DFD">
              <w:rPr>
                <w:rFonts w:eastAsia="Calibri"/>
                <w:sz w:val="20"/>
                <w:szCs w:val="20"/>
                <w:lang w:eastAsia="en-US"/>
              </w:rPr>
              <w:t>)</w:t>
            </w:r>
          </w:p>
          <w:p w:rsidR="003C3DFD" w:rsidRPr="003C3DFD" w:rsidRDefault="003C3DFD" w:rsidP="003C3DFD">
            <w:pPr>
              <w:numPr>
                <w:ilvl w:val="0"/>
                <w:numId w:val="26"/>
              </w:numPr>
              <w:suppressAutoHyphens/>
              <w:ind w:left="457" w:hanging="425"/>
              <w:contextualSpacing/>
              <w:jc w:val="both"/>
              <w:rPr>
                <w:rFonts w:eastAsia="Calibri"/>
                <w:sz w:val="20"/>
                <w:szCs w:val="20"/>
                <w:lang w:eastAsia="en-US"/>
              </w:rPr>
            </w:pPr>
            <w:r w:rsidRPr="003C3DFD">
              <w:rPr>
                <w:rFonts w:eastAsia="Calibri"/>
                <w:sz w:val="20"/>
                <w:szCs w:val="20"/>
                <w:lang w:eastAsia="en-US"/>
              </w:rPr>
              <w:t>Направляюча переміщення стулок  - вмонтована в поверхню підлоги</w:t>
            </w:r>
          </w:p>
          <w:p w:rsidR="003C3DFD" w:rsidRPr="003C3DFD" w:rsidRDefault="003C3DFD" w:rsidP="003C3DFD">
            <w:pPr>
              <w:numPr>
                <w:ilvl w:val="0"/>
                <w:numId w:val="26"/>
              </w:numPr>
              <w:suppressAutoHyphens/>
              <w:ind w:left="457" w:hanging="425"/>
              <w:contextualSpacing/>
              <w:jc w:val="both"/>
              <w:rPr>
                <w:rFonts w:eastAsia="Calibri"/>
                <w:sz w:val="20"/>
                <w:szCs w:val="20"/>
                <w:lang w:eastAsia="en-US"/>
              </w:rPr>
            </w:pPr>
            <w:r w:rsidRPr="003C3DFD">
              <w:rPr>
                <w:rFonts w:eastAsia="Calibri"/>
                <w:sz w:val="20"/>
                <w:szCs w:val="20"/>
                <w:lang w:eastAsia="en-US"/>
              </w:rPr>
              <w:t>Діапазон робочих температур - від -15ºС до +50ºС.</w:t>
            </w:r>
          </w:p>
          <w:p w:rsidR="003C3DFD" w:rsidRPr="003C3DFD" w:rsidRDefault="003C3DFD" w:rsidP="003C3DFD">
            <w:pPr>
              <w:numPr>
                <w:ilvl w:val="0"/>
                <w:numId w:val="26"/>
              </w:numPr>
              <w:suppressAutoHyphens/>
              <w:ind w:left="457" w:hanging="425"/>
              <w:contextualSpacing/>
              <w:jc w:val="both"/>
              <w:rPr>
                <w:rFonts w:eastAsia="Calibri"/>
                <w:sz w:val="20"/>
                <w:szCs w:val="20"/>
                <w:lang w:eastAsia="en-US"/>
              </w:rPr>
            </w:pPr>
            <w:r w:rsidRPr="003C3DFD">
              <w:rPr>
                <w:rFonts w:eastAsia="Calibri"/>
                <w:sz w:val="20"/>
                <w:szCs w:val="20"/>
                <w:lang w:eastAsia="en-US"/>
              </w:rPr>
              <w:t>Напруга живлення - 220 В, 50Гц</w:t>
            </w:r>
          </w:p>
          <w:p w:rsidR="003C3DFD" w:rsidRPr="003C3DFD" w:rsidRDefault="003C3DFD" w:rsidP="003C3DFD">
            <w:pPr>
              <w:numPr>
                <w:ilvl w:val="0"/>
                <w:numId w:val="26"/>
              </w:numPr>
              <w:suppressAutoHyphens/>
              <w:ind w:left="457" w:hanging="425"/>
              <w:contextualSpacing/>
              <w:jc w:val="both"/>
              <w:rPr>
                <w:rFonts w:eastAsia="Calibri"/>
                <w:sz w:val="20"/>
                <w:szCs w:val="20"/>
                <w:lang w:eastAsia="en-US"/>
              </w:rPr>
            </w:pPr>
            <w:r w:rsidRPr="003C3DFD">
              <w:rPr>
                <w:rFonts w:eastAsia="Calibri"/>
                <w:bCs/>
                <w:iCs/>
                <w:sz w:val="20"/>
                <w:szCs w:val="20"/>
                <w:lang w:eastAsia="en-US"/>
              </w:rPr>
              <w:t xml:space="preserve">Наявність режимів: </w:t>
            </w:r>
          </w:p>
          <w:p w:rsidR="003C3DFD" w:rsidRPr="003C3DFD" w:rsidRDefault="003C3DFD" w:rsidP="003C3DFD">
            <w:pPr>
              <w:numPr>
                <w:ilvl w:val="1"/>
                <w:numId w:val="27"/>
              </w:numPr>
              <w:suppressAutoHyphens/>
              <w:ind w:left="174" w:hanging="142"/>
              <w:contextualSpacing/>
              <w:jc w:val="both"/>
              <w:rPr>
                <w:rFonts w:eastAsia="Calibri"/>
                <w:bCs/>
                <w:iCs/>
                <w:sz w:val="20"/>
                <w:szCs w:val="20"/>
                <w:lang w:eastAsia="en-US"/>
              </w:rPr>
            </w:pPr>
            <w:r w:rsidRPr="003C3DFD">
              <w:rPr>
                <w:rFonts w:eastAsia="Calibri"/>
                <w:bCs/>
                <w:iCs/>
                <w:sz w:val="20"/>
                <w:szCs w:val="20"/>
                <w:lang w:eastAsia="en-US"/>
              </w:rPr>
              <w:t>автоматичний режим з повним відкриванням дверей;</w:t>
            </w:r>
          </w:p>
          <w:p w:rsidR="003C3DFD" w:rsidRPr="003C3DFD" w:rsidRDefault="003C3DFD" w:rsidP="003C3DFD">
            <w:pPr>
              <w:numPr>
                <w:ilvl w:val="1"/>
                <w:numId w:val="27"/>
              </w:numPr>
              <w:suppressAutoHyphens/>
              <w:ind w:left="174" w:hanging="142"/>
              <w:contextualSpacing/>
              <w:jc w:val="both"/>
              <w:rPr>
                <w:rFonts w:eastAsia="Calibri"/>
                <w:bCs/>
                <w:iCs/>
                <w:sz w:val="20"/>
                <w:szCs w:val="20"/>
                <w:lang w:eastAsia="en-US"/>
              </w:rPr>
            </w:pPr>
            <w:r w:rsidRPr="003C3DFD">
              <w:rPr>
                <w:rFonts w:eastAsia="Calibri"/>
                <w:bCs/>
                <w:iCs/>
                <w:sz w:val="20"/>
                <w:szCs w:val="20"/>
                <w:lang w:eastAsia="en-US"/>
              </w:rPr>
              <w:t>автоматичний режим з регульованим  відкриванням дверей («зимовий»);</w:t>
            </w:r>
          </w:p>
          <w:p w:rsidR="003C3DFD" w:rsidRPr="003C3DFD" w:rsidRDefault="003C3DFD" w:rsidP="003C3DFD">
            <w:pPr>
              <w:numPr>
                <w:ilvl w:val="1"/>
                <w:numId w:val="27"/>
              </w:numPr>
              <w:suppressAutoHyphens/>
              <w:ind w:left="174" w:hanging="142"/>
              <w:contextualSpacing/>
              <w:jc w:val="both"/>
              <w:rPr>
                <w:rFonts w:eastAsia="Calibri"/>
                <w:bCs/>
                <w:iCs/>
                <w:sz w:val="20"/>
                <w:szCs w:val="20"/>
                <w:lang w:eastAsia="en-US"/>
              </w:rPr>
            </w:pPr>
            <w:r w:rsidRPr="003C3DFD">
              <w:rPr>
                <w:rFonts w:eastAsia="Calibri"/>
                <w:bCs/>
                <w:iCs/>
                <w:sz w:val="20"/>
                <w:szCs w:val="20"/>
                <w:lang w:eastAsia="en-US"/>
              </w:rPr>
              <w:t xml:space="preserve">автоматичний режим з одностороннім проходом;           </w:t>
            </w:r>
          </w:p>
          <w:p w:rsidR="003C3DFD" w:rsidRPr="003C3DFD" w:rsidRDefault="003C3DFD" w:rsidP="003C3DFD">
            <w:pPr>
              <w:numPr>
                <w:ilvl w:val="1"/>
                <w:numId w:val="27"/>
              </w:numPr>
              <w:suppressAutoHyphens/>
              <w:ind w:left="174" w:hanging="142"/>
              <w:contextualSpacing/>
              <w:jc w:val="both"/>
              <w:rPr>
                <w:rFonts w:eastAsia="Calibri"/>
                <w:bCs/>
                <w:iCs/>
                <w:sz w:val="20"/>
                <w:szCs w:val="20"/>
                <w:lang w:eastAsia="en-US"/>
              </w:rPr>
            </w:pPr>
            <w:r w:rsidRPr="003C3DFD">
              <w:rPr>
                <w:rFonts w:eastAsia="Calibri"/>
                <w:bCs/>
                <w:iCs/>
                <w:sz w:val="20"/>
                <w:szCs w:val="20"/>
                <w:lang w:eastAsia="en-US"/>
              </w:rPr>
              <w:t>автоматичне закривання на замок.</w:t>
            </w:r>
          </w:p>
          <w:p w:rsidR="003C3DFD" w:rsidRPr="003C3DFD" w:rsidRDefault="003C3DFD" w:rsidP="003C3DFD">
            <w:pPr>
              <w:numPr>
                <w:ilvl w:val="0"/>
                <w:numId w:val="26"/>
              </w:numPr>
              <w:suppressAutoHyphens/>
              <w:ind w:left="457" w:hanging="425"/>
              <w:contextualSpacing/>
              <w:jc w:val="both"/>
              <w:rPr>
                <w:rFonts w:eastAsia="Calibri"/>
                <w:sz w:val="20"/>
                <w:szCs w:val="20"/>
                <w:lang w:eastAsia="en-US"/>
              </w:rPr>
            </w:pPr>
            <w:r w:rsidRPr="003C3DFD">
              <w:rPr>
                <w:rFonts w:eastAsia="Calibri"/>
                <w:bCs/>
                <w:iCs/>
                <w:sz w:val="20"/>
                <w:szCs w:val="20"/>
                <w:lang w:eastAsia="en-US"/>
              </w:rPr>
              <w:t>Функції безпеки:</w:t>
            </w:r>
          </w:p>
          <w:p w:rsidR="003C3DFD" w:rsidRPr="003C3DFD" w:rsidRDefault="003C3DFD" w:rsidP="003C3DFD">
            <w:pPr>
              <w:numPr>
                <w:ilvl w:val="0"/>
                <w:numId w:val="28"/>
              </w:numPr>
              <w:ind w:left="174" w:hanging="142"/>
              <w:rPr>
                <w:bCs/>
                <w:iCs/>
                <w:sz w:val="20"/>
                <w:szCs w:val="20"/>
                <w:lang w:eastAsia="en-US"/>
              </w:rPr>
            </w:pPr>
            <w:r w:rsidRPr="003C3DFD">
              <w:rPr>
                <w:bCs/>
                <w:iCs/>
                <w:sz w:val="20"/>
                <w:szCs w:val="20"/>
                <w:lang w:eastAsia="en-US"/>
              </w:rPr>
              <w:t xml:space="preserve">система  блокування  закривання  дверей при наявності в </w:t>
            </w:r>
            <w:proofErr w:type="spellStart"/>
            <w:r w:rsidRPr="003C3DFD">
              <w:rPr>
                <w:bCs/>
                <w:iCs/>
                <w:sz w:val="20"/>
                <w:szCs w:val="20"/>
                <w:lang w:eastAsia="en-US"/>
              </w:rPr>
              <w:t>проємі</w:t>
            </w:r>
            <w:proofErr w:type="spellEnd"/>
            <w:r w:rsidRPr="003C3DFD">
              <w:rPr>
                <w:bCs/>
                <w:iCs/>
                <w:sz w:val="20"/>
                <w:szCs w:val="20"/>
                <w:lang w:eastAsia="en-US"/>
              </w:rPr>
              <w:t xml:space="preserve"> людей або предметів;</w:t>
            </w:r>
          </w:p>
          <w:p w:rsidR="003C3DFD" w:rsidRPr="003C3DFD" w:rsidRDefault="003C3DFD" w:rsidP="003C3DFD">
            <w:pPr>
              <w:numPr>
                <w:ilvl w:val="0"/>
                <w:numId w:val="28"/>
              </w:numPr>
              <w:ind w:left="174" w:hanging="142"/>
              <w:rPr>
                <w:bCs/>
                <w:iCs/>
                <w:sz w:val="20"/>
                <w:szCs w:val="20"/>
                <w:lang w:eastAsia="en-US"/>
              </w:rPr>
            </w:pPr>
            <w:r w:rsidRPr="003C3DFD">
              <w:rPr>
                <w:bCs/>
                <w:iCs/>
                <w:sz w:val="20"/>
                <w:szCs w:val="20"/>
                <w:lang w:eastAsia="en-US"/>
              </w:rPr>
              <w:t>система зупинки дверей при наявності перешкоди відкриванню дверей.</w:t>
            </w:r>
          </w:p>
          <w:p w:rsidR="003C3DFD" w:rsidRPr="003C3DFD" w:rsidRDefault="003C3DFD" w:rsidP="003C3DFD">
            <w:pPr>
              <w:numPr>
                <w:ilvl w:val="0"/>
                <w:numId w:val="26"/>
              </w:numPr>
              <w:suppressAutoHyphens/>
              <w:ind w:left="457" w:hanging="425"/>
              <w:contextualSpacing/>
              <w:jc w:val="both"/>
              <w:rPr>
                <w:rFonts w:eastAsia="Calibri"/>
                <w:sz w:val="20"/>
                <w:szCs w:val="20"/>
                <w:lang w:eastAsia="en-US"/>
              </w:rPr>
            </w:pPr>
            <w:r w:rsidRPr="003C3DFD">
              <w:rPr>
                <w:rFonts w:eastAsia="Calibri"/>
                <w:bCs/>
                <w:iCs/>
                <w:sz w:val="20"/>
                <w:szCs w:val="20"/>
                <w:lang w:eastAsia="en-US"/>
              </w:rPr>
              <w:t>Наявність  системи  забезпечення  функціонування   дверей    при відсутності живлення -  акумуляторна</w:t>
            </w:r>
          </w:p>
          <w:p w:rsidR="003C3DFD" w:rsidRPr="003C3DFD" w:rsidRDefault="003C3DFD" w:rsidP="003C3DFD">
            <w:pPr>
              <w:numPr>
                <w:ilvl w:val="0"/>
                <w:numId w:val="26"/>
              </w:numPr>
              <w:suppressAutoHyphens/>
              <w:ind w:left="457" w:hanging="425"/>
              <w:contextualSpacing/>
              <w:jc w:val="both"/>
              <w:rPr>
                <w:rFonts w:eastAsia="Calibri"/>
                <w:sz w:val="20"/>
                <w:szCs w:val="20"/>
                <w:lang w:eastAsia="en-US"/>
              </w:rPr>
            </w:pPr>
            <w:r w:rsidRPr="003C3DFD">
              <w:rPr>
                <w:rFonts w:eastAsia="Calibri"/>
                <w:bCs/>
                <w:iCs/>
                <w:sz w:val="20"/>
                <w:szCs w:val="20"/>
                <w:lang w:eastAsia="en-US"/>
              </w:rPr>
              <w:t>Колір конструкції дверей - RAL9006</w:t>
            </w:r>
          </w:p>
        </w:tc>
      </w:tr>
    </w:tbl>
    <w:p w:rsidR="003C3DFD" w:rsidRPr="003C3DFD" w:rsidRDefault="003C3DFD" w:rsidP="003C3DFD">
      <w:pPr>
        <w:rPr>
          <w:b/>
          <w:bCs/>
          <w:sz w:val="22"/>
          <w:szCs w:val="22"/>
        </w:rPr>
      </w:pPr>
    </w:p>
    <w:p w:rsidR="003C3DFD" w:rsidRPr="003C3DFD" w:rsidRDefault="003C3DFD" w:rsidP="003C3DFD">
      <w:pPr>
        <w:widowControl w:val="0"/>
        <w:tabs>
          <w:tab w:val="num" w:pos="530"/>
          <w:tab w:val="num" w:pos="2325"/>
        </w:tabs>
        <w:ind w:left="360"/>
        <w:jc w:val="center"/>
        <w:rPr>
          <w:b/>
          <w:sz w:val="22"/>
          <w:szCs w:val="22"/>
        </w:rPr>
      </w:pPr>
      <w:r w:rsidRPr="003C3DFD">
        <w:rPr>
          <w:b/>
          <w:sz w:val="22"/>
          <w:szCs w:val="22"/>
        </w:rPr>
        <w:t>Послуги, пов’язані з постачанням Товару:</w:t>
      </w:r>
    </w:p>
    <w:p w:rsidR="003C3DFD" w:rsidRPr="003C3DFD" w:rsidRDefault="003C3DFD" w:rsidP="003C3DFD">
      <w:pPr>
        <w:rPr>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60" w:type="dxa"/>
          <w:bottom w:w="30" w:type="dxa"/>
          <w:right w:w="30" w:type="dxa"/>
        </w:tblCellMar>
        <w:tblLook w:val="0000" w:firstRow="0" w:lastRow="0" w:firstColumn="0" w:lastColumn="0" w:noHBand="0" w:noVBand="0"/>
      </w:tblPr>
      <w:tblGrid>
        <w:gridCol w:w="537"/>
        <w:gridCol w:w="3303"/>
        <w:gridCol w:w="1058"/>
        <w:gridCol w:w="1123"/>
        <w:gridCol w:w="4174"/>
      </w:tblGrid>
      <w:tr w:rsidR="003C3DFD" w:rsidRPr="003C3DFD" w:rsidTr="00CF3F3E">
        <w:tc>
          <w:tcPr>
            <w:tcW w:w="263" w:type="pct"/>
            <w:shd w:val="clear" w:color="auto" w:fill="FFF2CC" w:themeFill="accent4" w:themeFillTint="33"/>
          </w:tcPr>
          <w:p w:rsidR="003C3DFD" w:rsidRPr="003C3DFD" w:rsidRDefault="003C3DFD" w:rsidP="003C3DFD">
            <w:pPr>
              <w:widowControl w:val="0"/>
              <w:jc w:val="center"/>
              <w:rPr>
                <w:b/>
                <w:sz w:val="20"/>
                <w:szCs w:val="20"/>
              </w:rPr>
            </w:pPr>
            <w:r w:rsidRPr="003C3DFD">
              <w:rPr>
                <w:b/>
                <w:sz w:val="20"/>
                <w:szCs w:val="20"/>
              </w:rPr>
              <w:t>№ п/п</w:t>
            </w:r>
          </w:p>
        </w:tc>
        <w:tc>
          <w:tcPr>
            <w:tcW w:w="1620" w:type="pct"/>
            <w:shd w:val="clear" w:color="auto" w:fill="FFF2CC" w:themeFill="accent4" w:themeFillTint="33"/>
          </w:tcPr>
          <w:p w:rsidR="003C3DFD" w:rsidRPr="003C3DFD" w:rsidRDefault="003C3DFD" w:rsidP="003C3DFD">
            <w:pPr>
              <w:widowControl w:val="0"/>
              <w:jc w:val="center"/>
              <w:rPr>
                <w:b/>
                <w:sz w:val="22"/>
                <w:szCs w:val="22"/>
              </w:rPr>
            </w:pPr>
            <w:r w:rsidRPr="003C3DFD">
              <w:rPr>
                <w:b/>
                <w:sz w:val="22"/>
                <w:szCs w:val="22"/>
              </w:rPr>
              <w:t>Найменування Послуги</w:t>
            </w:r>
          </w:p>
        </w:tc>
        <w:tc>
          <w:tcPr>
            <w:tcW w:w="519" w:type="pct"/>
            <w:shd w:val="clear" w:color="auto" w:fill="FFF2CC" w:themeFill="accent4" w:themeFillTint="33"/>
          </w:tcPr>
          <w:p w:rsidR="003C3DFD" w:rsidRPr="003C3DFD" w:rsidRDefault="003C3DFD" w:rsidP="003C3DFD">
            <w:pPr>
              <w:widowControl w:val="0"/>
              <w:jc w:val="center"/>
              <w:rPr>
                <w:b/>
                <w:sz w:val="22"/>
                <w:szCs w:val="22"/>
              </w:rPr>
            </w:pPr>
            <w:r w:rsidRPr="003C3DFD">
              <w:rPr>
                <w:b/>
                <w:sz w:val="22"/>
                <w:szCs w:val="22"/>
              </w:rPr>
              <w:t>Одиниця</w:t>
            </w:r>
          </w:p>
          <w:p w:rsidR="003C3DFD" w:rsidRPr="003C3DFD" w:rsidRDefault="003C3DFD" w:rsidP="003C3DFD">
            <w:pPr>
              <w:widowControl w:val="0"/>
              <w:jc w:val="center"/>
              <w:rPr>
                <w:b/>
                <w:sz w:val="22"/>
                <w:szCs w:val="22"/>
              </w:rPr>
            </w:pPr>
            <w:r w:rsidRPr="003C3DFD">
              <w:rPr>
                <w:b/>
                <w:sz w:val="22"/>
                <w:szCs w:val="22"/>
              </w:rPr>
              <w:t>виміру</w:t>
            </w:r>
          </w:p>
        </w:tc>
        <w:tc>
          <w:tcPr>
            <w:tcW w:w="551" w:type="pct"/>
            <w:shd w:val="clear" w:color="auto" w:fill="FFF2CC" w:themeFill="accent4" w:themeFillTint="33"/>
          </w:tcPr>
          <w:p w:rsidR="003C3DFD" w:rsidRPr="003C3DFD" w:rsidRDefault="003C3DFD" w:rsidP="003C3DFD">
            <w:pPr>
              <w:widowControl w:val="0"/>
              <w:jc w:val="center"/>
              <w:rPr>
                <w:b/>
                <w:sz w:val="22"/>
                <w:szCs w:val="22"/>
              </w:rPr>
            </w:pPr>
            <w:r w:rsidRPr="003C3DFD">
              <w:rPr>
                <w:b/>
                <w:sz w:val="22"/>
                <w:szCs w:val="22"/>
              </w:rPr>
              <w:t>Кількість</w:t>
            </w:r>
          </w:p>
          <w:p w:rsidR="003C3DFD" w:rsidRPr="003C3DFD" w:rsidRDefault="003C3DFD" w:rsidP="003C3DFD">
            <w:pPr>
              <w:widowControl w:val="0"/>
              <w:jc w:val="center"/>
              <w:rPr>
                <w:b/>
                <w:sz w:val="22"/>
                <w:szCs w:val="22"/>
              </w:rPr>
            </w:pPr>
          </w:p>
        </w:tc>
        <w:tc>
          <w:tcPr>
            <w:tcW w:w="2048" w:type="pct"/>
            <w:shd w:val="clear" w:color="auto" w:fill="FFF2CC" w:themeFill="accent4" w:themeFillTint="33"/>
          </w:tcPr>
          <w:p w:rsidR="003C3DFD" w:rsidRPr="003C3DFD" w:rsidRDefault="003C3DFD" w:rsidP="003C3DFD">
            <w:pPr>
              <w:widowControl w:val="0"/>
              <w:jc w:val="center"/>
              <w:rPr>
                <w:b/>
                <w:sz w:val="16"/>
                <w:szCs w:val="16"/>
              </w:rPr>
            </w:pPr>
            <w:r w:rsidRPr="003C3DFD">
              <w:rPr>
                <w:b/>
                <w:sz w:val="20"/>
                <w:szCs w:val="20"/>
              </w:rPr>
              <w:t>Опис Послуги</w:t>
            </w:r>
          </w:p>
        </w:tc>
      </w:tr>
      <w:tr w:rsidR="003C3DFD" w:rsidRPr="003C3DFD" w:rsidTr="00CF3F3E">
        <w:tc>
          <w:tcPr>
            <w:tcW w:w="263" w:type="pct"/>
          </w:tcPr>
          <w:p w:rsidR="003C3DFD" w:rsidRPr="003C3DFD" w:rsidRDefault="003C3DFD" w:rsidP="003C3DFD">
            <w:pPr>
              <w:widowControl w:val="0"/>
              <w:rPr>
                <w:sz w:val="20"/>
                <w:szCs w:val="20"/>
              </w:rPr>
            </w:pPr>
            <w:r w:rsidRPr="003C3DFD">
              <w:rPr>
                <w:sz w:val="20"/>
                <w:szCs w:val="20"/>
              </w:rPr>
              <w:t>1</w:t>
            </w:r>
          </w:p>
        </w:tc>
        <w:tc>
          <w:tcPr>
            <w:tcW w:w="1620" w:type="pct"/>
          </w:tcPr>
          <w:p w:rsidR="003C3DFD" w:rsidRPr="003C3DFD" w:rsidRDefault="003C3DFD" w:rsidP="003C3DFD">
            <w:pPr>
              <w:widowControl w:val="0"/>
              <w:rPr>
                <w:sz w:val="20"/>
                <w:szCs w:val="20"/>
              </w:rPr>
            </w:pPr>
            <w:r w:rsidRPr="003C3DFD">
              <w:rPr>
                <w:sz w:val="20"/>
                <w:szCs w:val="20"/>
              </w:rPr>
              <w:t>Монтаж та налагодження роботи дверей автоматичних розсувних телескопічних</w:t>
            </w:r>
          </w:p>
        </w:tc>
        <w:tc>
          <w:tcPr>
            <w:tcW w:w="519" w:type="pct"/>
          </w:tcPr>
          <w:p w:rsidR="003C3DFD" w:rsidRPr="003C3DFD" w:rsidRDefault="003C3DFD" w:rsidP="003C3DFD">
            <w:pPr>
              <w:widowControl w:val="0"/>
              <w:jc w:val="center"/>
              <w:rPr>
                <w:sz w:val="20"/>
                <w:szCs w:val="20"/>
              </w:rPr>
            </w:pPr>
            <w:r w:rsidRPr="003C3DFD">
              <w:rPr>
                <w:sz w:val="20"/>
                <w:szCs w:val="20"/>
              </w:rPr>
              <w:t>послуга</w:t>
            </w:r>
          </w:p>
        </w:tc>
        <w:tc>
          <w:tcPr>
            <w:tcW w:w="551" w:type="pct"/>
          </w:tcPr>
          <w:p w:rsidR="003C3DFD" w:rsidRPr="003C3DFD" w:rsidRDefault="003C3DFD" w:rsidP="003C3DFD">
            <w:pPr>
              <w:widowControl w:val="0"/>
              <w:jc w:val="center"/>
              <w:rPr>
                <w:sz w:val="20"/>
                <w:szCs w:val="20"/>
              </w:rPr>
            </w:pPr>
            <w:r w:rsidRPr="003C3DFD">
              <w:rPr>
                <w:sz w:val="20"/>
                <w:szCs w:val="20"/>
              </w:rPr>
              <w:t>1</w:t>
            </w:r>
          </w:p>
        </w:tc>
        <w:tc>
          <w:tcPr>
            <w:tcW w:w="2048" w:type="pct"/>
          </w:tcPr>
          <w:p w:rsidR="003C3DFD" w:rsidRPr="003C3DFD" w:rsidRDefault="003C3DFD" w:rsidP="003C3DFD">
            <w:pPr>
              <w:widowControl w:val="0"/>
              <w:tabs>
                <w:tab w:val="left" w:pos="432"/>
              </w:tabs>
              <w:jc w:val="both"/>
              <w:rPr>
                <w:sz w:val="20"/>
                <w:szCs w:val="20"/>
              </w:rPr>
            </w:pPr>
            <w:r w:rsidRPr="003C3DFD">
              <w:rPr>
                <w:sz w:val="20"/>
                <w:szCs w:val="20"/>
              </w:rPr>
              <w:t>Монтаж конструкції дверей автоматичних розсувних телескопічних та налагодження роботи механізму переміщення стулок з системою безпеки.</w:t>
            </w:r>
          </w:p>
        </w:tc>
      </w:tr>
    </w:tbl>
    <w:p w:rsidR="003C3DFD" w:rsidRPr="003C3DFD" w:rsidRDefault="003C3DFD" w:rsidP="003C3DFD">
      <w:pPr>
        <w:jc w:val="both"/>
        <w:rPr>
          <w:b/>
          <w:color w:val="000000"/>
          <w:sz w:val="22"/>
          <w:szCs w:val="22"/>
        </w:rPr>
      </w:pPr>
    </w:p>
    <w:p w:rsidR="006F428D" w:rsidRPr="00AF048C" w:rsidRDefault="006F428D" w:rsidP="00A12478">
      <w:pPr>
        <w:rPr>
          <w:b/>
        </w:rPr>
      </w:pPr>
    </w:p>
    <w:p w:rsidR="009165D1" w:rsidRPr="00AF048C" w:rsidRDefault="009165D1" w:rsidP="009165D1">
      <w:pPr>
        <w:jc w:val="both"/>
        <w:rPr>
          <w:b/>
          <w:bCs/>
          <w:sz w:val="22"/>
          <w:szCs w:val="22"/>
          <w:lang w:eastAsia="uk-UA"/>
        </w:rPr>
      </w:pPr>
      <w:r w:rsidRPr="00AF048C">
        <w:rPr>
          <w:b/>
          <w:bCs/>
          <w:sz w:val="22"/>
          <w:szCs w:val="22"/>
        </w:rPr>
        <w:t>Додаткова інформація.</w:t>
      </w:r>
    </w:p>
    <w:p w:rsidR="009165D1" w:rsidRPr="00AF048C" w:rsidRDefault="009165D1" w:rsidP="009165D1">
      <w:pPr>
        <w:jc w:val="both"/>
        <w:rPr>
          <w:sz w:val="22"/>
          <w:szCs w:val="22"/>
        </w:rPr>
      </w:pPr>
      <w:r w:rsidRPr="00AF048C">
        <w:rPr>
          <w:b/>
          <w:bCs/>
          <w:sz w:val="22"/>
          <w:szCs w:val="22"/>
        </w:rPr>
        <w:t>1.</w:t>
      </w:r>
      <w:r w:rsidRPr="00AF048C">
        <w:rPr>
          <w:sz w:val="22"/>
          <w:szCs w:val="22"/>
        </w:rPr>
        <w:t xml:space="preserve"> 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AF048C">
        <w:rPr>
          <w:b/>
          <w:bCs/>
          <w:sz w:val="22"/>
          <w:szCs w:val="22"/>
        </w:rPr>
        <w:t>біля кожного такого посилання вважати вираз «або еквівалент»</w:t>
      </w:r>
      <w:r w:rsidRPr="00AF048C">
        <w:rPr>
          <w:sz w:val="22"/>
          <w:szCs w:val="22"/>
        </w:rPr>
        <w:t xml:space="preserve">. Таким чином вважається, що до кожного посилання додається вираз </w:t>
      </w:r>
      <w:r w:rsidRPr="00AF048C">
        <w:rPr>
          <w:b/>
          <w:bCs/>
          <w:sz w:val="22"/>
          <w:szCs w:val="22"/>
        </w:rPr>
        <w:t>«або еквівалент»</w:t>
      </w:r>
      <w:r w:rsidRPr="00AF048C">
        <w:rPr>
          <w:sz w:val="22"/>
          <w:szCs w:val="22"/>
        </w:rPr>
        <w:t xml:space="preserve">. </w:t>
      </w:r>
    </w:p>
    <w:p w:rsidR="009165D1" w:rsidRPr="00AF048C" w:rsidRDefault="009165D1" w:rsidP="009165D1">
      <w:pPr>
        <w:jc w:val="both"/>
        <w:rPr>
          <w:sz w:val="22"/>
          <w:szCs w:val="22"/>
        </w:rPr>
      </w:pPr>
      <w:r w:rsidRPr="00AF048C">
        <w:rPr>
          <w:sz w:val="22"/>
          <w:szCs w:val="22"/>
        </w:rPr>
        <w:t xml:space="preserve">У місцях, де технічна специфікація містить посилання </w:t>
      </w:r>
      <w:r w:rsidRPr="00AF048C">
        <w:rPr>
          <w:sz w:val="22"/>
          <w:szCs w:val="22"/>
          <w:vertAlign w:val="superscript"/>
        </w:rPr>
        <w:t>1)</w:t>
      </w:r>
      <w:r w:rsidRPr="00AF048C">
        <w:rPr>
          <w:sz w:val="22"/>
          <w:szCs w:val="22"/>
        </w:rPr>
        <w:t xml:space="preserve">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r w:rsidRPr="00AF048C">
        <w:rPr>
          <w:b/>
          <w:bCs/>
          <w:sz w:val="22"/>
          <w:szCs w:val="22"/>
        </w:rPr>
        <w:t>вважати наявним вираз «або еквівалент»</w:t>
      </w:r>
      <w:r w:rsidRPr="00AF048C">
        <w:rPr>
          <w:sz w:val="22"/>
          <w:szCs w:val="22"/>
        </w:rPr>
        <w:t xml:space="preserve">. Таким чином вважається, що до кожного посилання додається вираз «або еквівалент» </w:t>
      </w:r>
      <w:r w:rsidRPr="00AF048C">
        <w:rPr>
          <w:b/>
          <w:bCs/>
          <w:i/>
          <w:iCs/>
          <w:sz w:val="22"/>
          <w:szCs w:val="22"/>
        </w:rPr>
        <w:t>(</w:t>
      </w:r>
      <w:r w:rsidRPr="00AF048C">
        <w:rPr>
          <w:b/>
          <w:bCs/>
          <w:i/>
          <w:iCs/>
          <w:sz w:val="22"/>
          <w:szCs w:val="22"/>
          <w:vertAlign w:val="superscript"/>
        </w:rPr>
        <w:t>1)</w:t>
      </w:r>
      <w:r w:rsidRPr="00AF048C">
        <w:rPr>
          <w:b/>
          <w:bCs/>
          <w:i/>
          <w:iCs/>
          <w:sz w:val="22"/>
          <w:szCs w:val="22"/>
        </w:rPr>
        <w:t xml:space="preserve"> таке посилання обумовлено наданням Учасникам загального уявлення про технічні та якісні характеристики чи складові предмету закупівлі тощо)</w:t>
      </w:r>
      <w:r w:rsidRPr="00AF048C">
        <w:rPr>
          <w:sz w:val="22"/>
          <w:szCs w:val="22"/>
        </w:rPr>
        <w:t xml:space="preserve">. </w:t>
      </w:r>
    </w:p>
    <w:p w:rsidR="009165D1" w:rsidRPr="00AF048C" w:rsidRDefault="009165D1" w:rsidP="009165D1">
      <w:pPr>
        <w:autoSpaceDE w:val="0"/>
        <w:autoSpaceDN w:val="0"/>
        <w:ind w:firstLine="709"/>
        <w:jc w:val="both"/>
        <w:rPr>
          <w:color w:val="000000"/>
          <w:sz w:val="26"/>
          <w:szCs w:val="26"/>
        </w:rPr>
      </w:pPr>
      <w:r w:rsidRPr="00AF048C">
        <w:rPr>
          <w:sz w:val="22"/>
          <w:szCs w:val="22"/>
        </w:rPr>
        <w:lastRenderedPageBreak/>
        <w:t xml:space="preserve">Під «еквівалентом» розуміється це щось рівноцінне, рівнозначне, рівносильне, таке що повністю відповідає встановленим вимогам Замовника (технічні та якісні характеристики, запропонованого еквіваленту повинні відповідати встановленим в </w:t>
      </w:r>
      <w:r w:rsidRPr="00AF048C">
        <w:rPr>
          <w:b/>
          <w:bCs/>
          <w:sz w:val="22"/>
          <w:szCs w:val="22"/>
        </w:rPr>
        <w:t>Додатку 1</w:t>
      </w:r>
      <w:r w:rsidRPr="00AF048C">
        <w:rPr>
          <w:sz w:val="22"/>
          <w:szCs w:val="22"/>
        </w:rPr>
        <w:t xml:space="preserve"> технічним та якісним характеристикам предмета закупівлі).</w:t>
      </w:r>
    </w:p>
    <w:p w:rsidR="00A256E7" w:rsidRPr="00AF048C" w:rsidRDefault="00A256E7" w:rsidP="00D04854">
      <w:pPr>
        <w:widowControl w:val="0"/>
        <w:autoSpaceDE w:val="0"/>
        <w:autoSpaceDN w:val="0"/>
        <w:adjustRightInd w:val="0"/>
        <w:ind w:firstLine="709"/>
        <w:contextualSpacing/>
        <w:jc w:val="both"/>
        <w:rPr>
          <w:color w:val="000000"/>
          <w:sz w:val="26"/>
          <w:szCs w:val="26"/>
        </w:rPr>
      </w:pPr>
    </w:p>
    <w:sectPr w:rsidR="00A256E7" w:rsidRPr="00AF048C" w:rsidSect="00F318CA">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65E" w:rsidRDefault="00B9665E">
      <w:r>
        <w:separator/>
      </w:r>
    </w:p>
  </w:endnote>
  <w:endnote w:type="continuationSeparator" w:id="0">
    <w:p w:rsidR="00B9665E" w:rsidRDefault="00B96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CC"/>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altName w:val="Arial"/>
    <w:panose1 w:val="020B0604020202020204"/>
    <w:charset w:val="CC"/>
    <w:family w:val="swiss"/>
    <w:pitch w:val="variable"/>
    <w:sig w:usb0="E0002EFF" w:usb1="C0007843"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10006FF" w:usb1="4000205B" w:usb2="00000010" w:usb3="00000000" w:csb0="0000019F" w:csb1="00000000"/>
  </w:font>
  <w:font w:name="Calibri">
    <w:altName w:val="Times New Roman"/>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7B3516" w:rsidP="00A256E7">
    <w:pPr>
      <w:tabs>
        <w:tab w:val="center" w:pos="4819"/>
        <w:tab w:val="right" w:pos="9639"/>
      </w:tabs>
      <w:jc w:val="right"/>
      <w:rPr>
        <w:sz w:val="20"/>
        <w:szCs w:val="20"/>
        <w:u w:val="single"/>
      </w:rPr>
    </w:pPr>
    <w:r>
      <w:rPr>
        <w:noProof/>
        <w:sz w:val="20"/>
        <w:szCs w:val="20"/>
        <w:u w:val="single"/>
        <w:lang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9BFED1"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5775AC">
      <w:rPr>
        <w:sz w:val="20"/>
        <w:szCs w:val="20"/>
      </w:rPr>
      <w:t xml:space="preserve">Двері автоматичні розсувні телескопічні для тимчасової будівлі зі </w:t>
    </w:r>
    <w:proofErr w:type="spellStart"/>
    <w:r w:rsidR="005775AC">
      <w:rPr>
        <w:sz w:val="20"/>
        <w:szCs w:val="20"/>
      </w:rPr>
      <w:t>швидкомонтуючих</w:t>
    </w:r>
    <w:proofErr w:type="spellEnd"/>
    <w:r w:rsidR="005775AC">
      <w:rPr>
        <w:sz w:val="20"/>
        <w:szCs w:val="20"/>
      </w:rPr>
      <w:t xml:space="preserve"> легких конструкцій, код ДК 021:2015 - 44220000-8 - Столярні вироби</w:t>
    </w:r>
  </w:p>
  <w:p w:rsidR="00DA4230" w:rsidRPr="008762B5" w:rsidRDefault="00DA4230" w:rsidP="00DA4230">
    <w:pPr>
      <w:tabs>
        <w:tab w:val="center" w:pos="4819"/>
        <w:tab w:val="right" w:pos="9639"/>
      </w:tabs>
      <w:jc w:val="right"/>
      <w:rPr>
        <w:sz w:val="18"/>
        <w:szCs w:val="18"/>
      </w:rPr>
    </w:pPr>
    <w:r w:rsidRPr="00354DF7">
      <w:rPr>
        <w:sz w:val="20"/>
        <w:szCs w:val="20"/>
      </w:rPr>
      <w:t xml:space="preserve">Аркуш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4F0515">
      <w:rPr>
        <w:bCs/>
        <w:noProof/>
        <w:sz w:val="20"/>
        <w:szCs w:val="20"/>
      </w:rPr>
      <w:t>3</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4F0515">
      <w:rPr>
        <w:bCs/>
        <w:noProof/>
        <w:sz w:val="20"/>
        <w:szCs w:val="20"/>
      </w:rPr>
      <w:t>3</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65E" w:rsidRDefault="00B9665E">
      <w:r>
        <w:separator/>
      </w:r>
    </w:p>
  </w:footnote>
  <w:footnote w:type="continuationSeparator" w:id="0">
    <w:p w:rsidR="00B9665E" w:rsidRDefault="00B966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7B3516" w:rsidP="00A3681A">
    <w:pPr>
      <w:pStyle w:val="a9"/>
      <w:jc w:val="both"/>
      <w:rPr>
        <w:sz w:val="20"/>
        <w:szCs w:val="20"/>
      </w:rPr>
    </w:pPr>
    <w:r>
      <w:rPr>
        <w:noProof/>
        <w:lang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2A0131"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eastAsia="uk-UA"/>
      </w:rPr>
      <w:drawing>
        <wp:inline distT="0" distB="0" distL="0" distR="0">
          <wp:extent cx="144780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r w:rsidR="002D6492">
      <w:rPr>
        <w:sz w:val="20"/>
      </w:rPr>
      <w:t xml:space="preserve"> </w:t>
    </w:r>
    <w:r w:rsidR="009D4164">
      <w:rPr>
        <w:sz w:val="20"/>
      </w:rPr>
      <w:t xml:space="preserve">                </w:t>
    </w:r>
    <w:r w:rsidR="003C4B6B" w:rsidRPr="003C4B6B">
      <w:rPr>
        <w:sz w:val="20"/>
        <w:szCs w:val="20"/>
      </w:rPr>
      <w:t>О</w:t>
    </w:r>
    <w:r w:rsidR="00A256E7" w:rsidRPr="003C4B6B">
      <w:rPr>
        <w:sz w:val="20"/>
        <w:szCs w:val="20"/>
      </w:rPr>
      <w:t>бґрунтування</w:t>
    </w:r>
    <w:r w:rsidR="003C4B6B" w:rsidRPr="003C4B6B">
      <w:rPr>
        <w:sz w:val="20"/>
        <w:szCs w:val="20"/>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CF12617"/>
    <w:multiLevelType w:val="hybridMultilevel"/>
    <w:tmpl w:val="35B82616"/>
    <w:lvl w:ilvl="0" w:tplc="04708332">
      <w:start w:val="18"/>
      <w:numFmt w:val="bullet"/>
      <w:lvlText w:val="-"/>
      <w:lvlJc w:val="left"/>
      <w:pPr>
        <w:ind w:left="1177" w:hanging="360"/>
      </w:pPr>
      <w:rPr>
        <w:rFonts w:ascii="Times New Roman" w:eastAsia="Times New Roman" w:hAnsi="Times New Roman" w:hint="default"/>
      </w:rPr>
    </w:lvl>
    <w:lvl w:ilvl="1" w:tplc="04708332">
      <w:start w:val="18"/>
      <w:numFmt w:val="bullet"/>
      <w:lvlText w:val="-"/>
      <w:lvlJc w:val="left"/>
      <w:pPr>
        <w:ind w:left="1897" w:hanging="360"/>
      </w:pPr>
      <w:rPr>
        <w:rFonts w:ascii="Times New Roman" w:eastAsia="Times New Roman" w:hAnsi="Times New Roman" w:hint="default"/>
      </w:rPr>
    </w:lvl>
    <w:lvl w:ilvl="2" w:tplc="04220005" w:tentative="1">
      <w:start w:val="1"/>
      <w:numFmt w:val="bullet"/>
      <w:lvlText w:val=""/>
      <w:lvlJc w:val="left"/>
      <w:pPr>
        <w:ind w:left="2617" w:hanging="360"/>
      </w:pPr>
      <w:rPr>
        <w:rFonts w:ascii="Wingdings" w:hAnsi="Wingdings" w:hint="default"/>
      </w:rPr>
    </w:lvl>
    <w:lvl w:ilvl="3" w:tplc="04220001" w:tentative="1">
      <w:start w:val="1"/>
      <w:numFmt w:val="bullet"/>
      <w:lvlText w:val=""/>
      <w:lvlJc w:val="left"/>
      <w:pPr>
        <w:ind w:left="3337" w:hanging="360"/>
      </w:pPr>
      <w:rPr>
        <w:rFonts w:ascii="Symbol" w:hAnsi="Symbol" w:hint="default"/>
      </w:rPr>
    </w:lvl>
    <w:lvl w:ilvl="4" w:tplc="04220003" w:tentative="1">
      <w:start w:val="1"/>
      <w:numFmt w:val="bullet"/>
      <w:lvlText w:val="o"/>
      <w:lvlJc w:val="left"/>
      <w:pPr>
        <w:ind w:left="4057" w:hanging="360"/>
      </w:pPr>
      <w:rPr>
        <w:rFonts w:ascii="Courier New" w:hAnsi="Courier New" w:hint="default"/>
      </w:rPr>
    </w:lvl>
    <w:lvl w:ilvl="5" w:tplc="04220005" w:tentative="1">
      <w:start w:val="1"/>
      <w:numFmt w:val="bullet"/>
      <w:lvlText w:val=""/>
      <w:lvlJc w:val="left"/>
      <w:pPr>
        <w:ind w:left="4777" w:hanging="360"/>
      </w:pPr>
      <w:rPr>
        <w:rFonts w:ascii="Wingdings" w:hAnsi="Wingdings" w:hint="default"/>
      </w:rPr>
    </w:lvl>
    <w:lvl w:ilvl="6" w:tplc="04220001" w:tentative="1">
      <w:start w:val="1"/>
      <w:numFmt w:val="bullet"/>
      <w:lvlText w:val=""/>
      <w:lvlJc w:val="left"/>
      <w:pPr>
        <w:ind w:left="5497" w:hanging="360"/>
      </w:pPr>
      <w:rPr>
        <w:rFonts w:ascii="Symbol" w:hAnsi="Symbol" w:hint="default"/>
      </w:rPr>
    </w:lvl>
    <w:lvl w:ilvl="7" w:tplc="04220003" w:tentative="1">
      <w:start w:val="1"/>
      <w:numFmt w:val="bullet"/>
      <w:lvlText w:val="o"/>
      <w:lvlJc w:val="left"/>
      <w:pPr>
        <w:ind w:left="6217" w:hanging="360"/>
      </w:pPr>
      <w:rPr>
        <w:rFonts w:ascii="Courier New" w:hAnsi="Courier New" w:hint="default"/>
      </w:rPr>
    </w:lvl>
    <w:lvl w:ilvl="8" w:tplc="04220005" w:tentative="1">
      <w:start w:val="1"/>
      <w:numFmt w:val="bullet"/>
      <w:lvlText w:val=""/>
      <w:lvlJc w:val="left"/>
      <w:pPr>
        <w:ind w:left="6937" w:hanging="360"/>
      </w:pPr>
      <w:rPr>
        <w:rFonts w:ascii="Wingdings" w:hAnsi="Wingdings" w:hint="default"/>
      </w:rPr>
    </w:lvl>
  </w:abstractNum>
  <w:abstractNum w:abstractNumId="3"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7"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9"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0"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50ED6464"/>
    <w:multiLevelType w:val="hybridMultilevel"/>
    <w:tmpl w:val="1E86651E"/>
    <w:lvl w:ilvl="0" w:tplc="04708332">
      <w:start w:val="18"/>
      <w:numFmt w:val="bullet"/>
      <w:lvlText w:val="-"/>
      <w:lvlJc w:val="left"/>
      <w:pPr>
        <w:ind w:left="778" w:hanging="360"/>
      </w:pPr>
      <w:rPr>
        <w:rFonts w:ascii="Times New Roman" w:eastAsia="Times New Roman" w:hAnsi="Times New Roman" w:hint="default"/>
      </w:rPr>
    </w:lvl>
    <w:lvl w:ilvl="1" w:tplc="04220003" w:tentative="1">
      <w:start w:val="1"/>
      <w:numFmt w:val="bullet"/>
      <w:lvlText w:val="o"/>
      <w:lvlJc w:val="left"/>
      <w:pPr>
        <w:ind w:left="1498" w:hanging="360"/>
      </w:pPr>
      <w:rPr>
        <w:rFonts w:ascii="Courier New" w:hAnsi="Courier New" w:hint="default"/>
      </w:rPr>
    </w:lvl>
    <w:lvl w:ilvl="2" w:tplc="04220005" w:tentative="1">
      <w:start w:val="1"/>
      <w:numFmt w:val="bullet"/>
      <w:lvlText w:val=""/>
      <w:lvlJc w:val="left"/>
      <w:pPr>
        <w:ind w:left="2218" w:hanging="360"/>
      </w:pPr>
      <w:rPr>
        <w:rFonts w:ascii="Wingdings" w:hAnsi="Wingdings" w:hint="default"/>
      </w:rPr>
    </w:lvl>
    <w:lvl w:ilvl="3" w:tplc="04220001" w:tentative="1">
      <w:start w:val="1"/>
      <w:numFmt w:val="bullet"/>
      <w:lvlText w:val=""/>
      <w:lvlJc w:val="left"/>
      <w:pPr>
        <w:ind w:left="2938" w:hanging="360"/>
      </w:pPr>
      <w:rPr>
        <w:rFonts w:ascii="Symbol" w:hAnsi="Symbol" w:hint="default"/>
      </w:rPr>
    </w:lvl>
    <w:lvl w:ilvl="4" w:tplc="04220003" w:tentative="1">
      <w:start w:val="1"/>
      <w:numFmt w:val="bullet"/>
      <w:lvlText w:val="o"/>
      <w:lvlJc w:val="left"/>
      <w:pPr>
        <w:ind w:left="3658" w:hanging="360"/>
      </w:pPr>
      <w:rPr>
        <w:rFonts w:ascii="Courier New" w:hAnsi="Courier New" w:hint="default"/>
      </w:rPr>
    </w:lvl>
    <w:lvl w:ilvl="5" w:tplc="04220005" w:tentative="1">
      <w:start w:val="1"/>
      <w:numFmt w:val="bullet"/>
      <w:lvlText w:val=""/>
      <w:lvlJc w:val="left"/>
      <w:pPr>
        <w:ind w:left="4378" w:hanging="360"/>
      </w:pPr>
      <w:rPr>
        <w:rFonts w:ascii="Wingdings" w:hAnsi="Wingdings" w:hint="default"/>
      </w:rPr>
    </w:lvl>
    <w:lvl w:ilvl="6" w:tplc="04220001" w:tentative="1">
      <w:start w:val="1"/>
      <w:numFmt w:val="bullet"/>
      <w:lvlText w:val=""/>
      <w:lvlJc w:val="left"/>
      <w:pPr>
        <w:ind w:left="5098" w:hanging="360"/>
      </w:pPr>
      <w:rPr>
        <w:rFonts w:ascii="Symbol" w:hAnsi="Symbol" w:hint="default"/>
      </w:rPr>
    </w:lvl>
    <w:lvl w:ilvl="7" w:tplc="04220003" w:tentative="1">
      <w:start w:val="1"/>
      <w:numFmt w:val="bullet"/>
      <w:lvlText w:val="o"/>
      <w:lvlJc w:val="left"/>
      <w:pPr>
        <w:ind w:left="5818" w:hanging="360"/>
      </w:pPr>
      <w:rPr>
        <w:rFonts w:ascii="Courier New" w:hAnsi="Courier New" w:hint="default"/>
      </w:rPr>
    </w:lvl>
    <w:lvl w:ilvl="8" w:tplc="04220005" w:tentative="1">
      <w:start w:val="1"/>
      <w:numFmt w:val="bullet"/>
      <w:lvlText w:val=""/>
      <w:lvlJc w:val="left"/>
      <w:pPr>
        <w:ind w:left="6538" w:hanging="360"/>
      </w:pPr>
      <w:rPr>
        <w:rFonts w:ascii="Wingdings" w:hAnsi="Wingdings" w:hint="default"/>
      </w:rPr>
    </w:lvl>
  </w:abstractNum>
  <w:abstractNum w:abstractNumId="15"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20" w15:restartNumberingAfterBreak="0">
    <w:nsid w:val="6B417A96"/>
    <w:multiLevelType w:val="hybridMultilevel"/>
    <w:tmpl w:val="1F8EF708"/>
    <w:lvl w:ilvl="0" w:tplc="72C0A49A">
      <w:start w:val="1"/>
      <w:numFmt w:val="decimal"/>
      <w:lvlText w:val="%1."/>
      <w:lvlJc w:val="left"/>
      <w:pPr>
        <w:ind w:left="1778" w:hanging="360"/>
      </w:pPr>
      <w:rPr>
        <w:rFonts w:cs="Times New Roman" w:hint="default"/>
        <w:strike w:val="0"/>
      </w:rPr>
    </w:lvl>
    <w:lvl w:ilvl="1" w:tplc="C99CDFEA">
      <w:numFmt w:val="bullet"/>
      <w:lvlText w:val="-"/>
      <w:lvlJc w:val="left"/>
      <w:pPr>
        <w:ind w:left="1440" w:hanging="360"/>
      </w:pPr>
      <w:rPr>
        <w:rFonts w:ascii="Times New Roman" w:eastAsia="Times New Roman" w:hAnsi="Times New Roman" w:hint="default"/>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1"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3"/>
  </w:num>
  <w:num w:numId="2">
    <w:abstractNumId w:val="25"/>
  </w:num>
  <w:num w:numId="3">
    <w:abstractNumId w:val="0"/>
  </w:num>
  <w:num w:numId="4">
    <w:abstractNumId w:val="26"/>
  </w:num>
  <w:num w:numId="5">
    <w:abstractNumId w:val="8"/>
  </w:num>
  <w:num w:numId="6">
    <w:abstractNumId w:val="6"/>
  </w:num>
  <w:num w:numId="7">
    <w:abstractNumId w:val="7"/>
  </w:num>
  <w:num w:numId="8">
    <w:abstractNumId w:val="22"/>
  </w:num>
  <w:num w:numId="9">
    <w:abstractNumId w:val="1"/>
  </w:num>
  <w:num w:numId="10">
    <w:abstractNumId w:val="18"/>
  </w:num>
  <w:num w:numId="11">
    <w:abstractNumId w:val="16"/>
  </w:num>
  <w:num w:numId="12">
    <w:abstractNumId w:val="13"/>
  </w:num>
  <w:num w:numId="13">
    <w:abstractNumId w:val="15"/>
  </w:num>
  <w:num w:numId="14">
    <w:abstractNumId w:val="4"/>
  </w:num>
  <w:num w:numId="15">
    <w:abstractNumId w:val="17"/>
  </w:num>
  <w:num w:numId="16">
    <w:abstractNumId w:val="3"/>
  </w:num>
  <w:num w:numId="17">
    <w:abstractNumId w:val="12"/>
  </w:num>
  <w:num w:numId="18">
    <w:abstractNumId w:val="5"/>
  </w:num>
  <w:num w:numId="19">
    <w:abstractNumId w:val="9"/>
  </w:num>
  <w:num w:numId="20">
    <w:abstractNumId w:val="21"/>
  </w:num>
  <w:num w:numId="21">
    <w:abstractNumId w:val="10"/>
  </w:num>
  <w:num w:numId="22">
    <w:abstractNumId w:val="19"/>
  </w:num>
  <w:num w:numId="23">
    <w:abstractNumId w:val="11"/>
  </w:num>
  <w:num w:numId="24">
    <w:abstractNumId w:val="24"/>
  </w:num>
  <w:num w:numId="25">
    <w:abstractNumId w:val="24"/>
  </w:num>
  <w:num w:numId="26">
    <w:abstractNumId w:val="20"/>
  </w:num>
  <w:num w:numId="27">
    <w:abstractNumId w:val="2"/>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279E"/>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2949"/>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3DFD"/>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155E4"/>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0515"/>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775AC"/>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2C8E"/>
    <w:rsid w:val="005E3419"/>
    <w:rsid w:val="005E543F"/>
    <w:rsid w:val="005E76B0"/>
    <w:rsid w:val="005F215E"/>
    <w:rsid w:val="005F3529"/>
    <w:rsid w:val="005F37AD"/>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321E"/>
    <w:rsid w:val="006E7C5F"/>
    <w:rsid w:val="006F0757"/>
    <w:rsid w:val="006F2EBA"/>
    <w:rsid w:val="006F35E8"/>
    <w:rsid w:val="006F3B48"/>
    <w:rsid w:val="006F3E1B"/>
    <w:rsid w:val="006F4098"/>
    <w:rsid w:val="006F40DC"/>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3516"/>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2FB"/>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5D1"/>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2D4E"/>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48C"/>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65E"/>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1FF3"/>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1F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DC66750-9236-4521-889E-C65889849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ru-RU"/>
    </w:rPr>
  </w:style>
  <w:style w:type="paragraph" w:styleId="1">
    <w:name w:val="heading 1"/>
    <w:basedOn w:val="a"/>
    <w:next w:val="a"/>
    <w:link w:val="10"/>
    <w:qFormat/>
    <w:pPr>
      <w:keepNext/>
      <w:jc w:val="center"/>
      <w:outlineLvl w:val="0"/>
    </w:pPr>
    <w:rPr>
      <w:b/>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rPr>
  </w:style>
  <w:style w:type="paragraph" w:styleId="4">
    <w:name w:val="heading 4"/>
    <w:basedOn w:val="a"/>
    <w:next w:val="a"/>
    <w:qFormat/>
    <w:pPr>
      <w:keepNext/>
      <w:ind w:left="1155"/>
      <w:jc w:val="right"/>
      <w:outlineLvl w:val="3"/>
    </w:pPr>
    <w:rPr>
      <w:b/>
      <w:bCs/>
      <w:color w:val="FF0000"/>
      <w:szCs w:val="17"/>
    </w:rPr>
  </w:style>
  <w:style w:type="paragraph" w:styleId="8">
    <w:name w:val="heading 8"/>
    <w:basedOn w:val="a"/>
    <w:next w:val="a"/>
    <w:link w:val="80"/>
    <w:semiHidden/>
    <w:unhideWhenUsed/>
    <w:qFormat/>
    <w:rsid w:val="006E321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rPr>
  </w:style>
  <w:style w:type="paragraph" w:styleId="21">
    <w:name w:val="Body Text 2"/>
    <w:basedOn w:val="a"/>
    <w:pPr>
      <w:spacing w:before="120"/>
      <w:jc w:val="both"/>
    </w:p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 w:type="character" w:customStyle="1" w:styleId="80">
    <w:name w:val="Заголовок 8 Знак"/>
    <w:basedOn w:val="a0"/>
    <w:link w:val="8"/>
    <w:semiHidden/>
    <w:rsid w:val="006E321E"/>
    <w:rPr>
      <w:rFonts w:asciiTheme="majorHAnsi" w:eastAsiaTheme="majorEastAsia" w:hAnsiTheme="majorHAnsi" w:cstheme="majorBidi"/>
      <w:color w:val="272727" w:themeColor="text1" w:themeTint="D8"/>
      <w:sz w:val="21"/>
      <w:szCs w:val="21"/>
      <w:lang w:eastAsia="ru-RU"/>
    </w:rPr>
  </w:style>
  <w:style w:type="paragraph" w:styleId="af8">
    <w:name w:val="Body Text"/>
    <w:basedOn w:val="a"/>
    <w:link w:val="af9"/>
    <w:rsid w:val="006E321E"/>
    <w:pPr>
      <w:spacing w:after="120"/>
    </w:pPr>
  </w:style>
  <w:style w:type="character" w:customStyle="1" w:styleId="af9">
    <w:name w:val="Основной текст Знак"/>
    <w:basedOn w:val="a0"/>
    <w:link w:val="af8"/>
    <w:rsid w:val="006E321E"/>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685EB-D461-4C8D-BDE6-3A37825B0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3135</Words>
  <Characters>1787</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Користувач Windows</dc:creator>
  <cp:keywords/>
  <cp:lastModifiedBy>Зілько Тетяна Іванівна</cp:lastModifiedBy>
  <cp:revision>9</cp:revision>
  <cp:lastPrinted>2021-11-17T09:02:00Z</cp:lastPrinted>
  <dcterms:created xsi:type="dcterms:W3CDTF">2023-11-29T07:53:00Z</dcterms:created>
  <dcterms:modified xsi:type="dcterms:W3CDTF">2023-12-05T14:35:00Z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