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C5C10"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FA7CE4" w:rsidRDefault="00D17A04" w:rsidP="00FA7CE4">
            <w:pPr>
              <w:widowControl w:val="0"/>
              <w:ind w:right="-11"/>
              <w:jc w:val="center"/>
              <w:rPr>
                <w:sz w:val="22"/>
                <w:szCs w:val="22"/>
                <w:lang w:val="uk-UA" w:eastAsia="uk-UA"/>
              </w:rPr>
            </w:pPr>
            <w:r w:rsidRPr="00FA7CE4">
              <w:rPr>
                <w:sz w:val="22"/>
                <w:szCs w:val="22"/>
                <w:lang w:val="uk-UA"/>
              </w:rPr>
              <w:t xml:space="preserve">34.05 </w:t>
            </w:r>
            <w:r w:rsidR="00BD6E95" w:rsidRPr="00FA7CE4">
              <w:rPr>
                <w:sz w:val="22"/>
                <w:szCs w:val="22"/>
                <w:lang w:val="uk-UA" w:eastAsia="uk-UA"/>
              </w:rPr>
              <w:t>(202</w:t>
            </w:r>
            <w:r w:rsidR="00FA7CE4" w:rsidRPr="00FA7CE4">
              <w:rPr>
                <w:sz w:val="22"/>
                <w:szCs w:val="22"/>
                <w:lang w:val="uk-UA" w:eastAsia="uk-UA"/>
              </w:rPr>
              <w:t>4</w:t>
            </w:r>
            <w:r w:rsidR="00A76484" w:rsidRPr="00FA7CE4">
              <w:rPr>
                <w:sz w:val="22"/>
                <w:szCs w:val="22"/>
                <w:lang w:val="uk-UA" w:eastAsia="uk-UA"/>
              </w:rPr>
              <w:t>)</w:t>
            </w:r>
          </w:p>
        </w:tc>
        <w:tc>
          <w:tcPr>
            <w:tcW w:w="1527" w:type="pct"/>
          </w:tcPr>
          <w:p w:rsidR="00A76484" w:rsidRPr="00FA7CE4" w:rsidRDefault="00D17A04" w:rsidP="00A12478">
            <w:pPr>
              <w:widowControl w:val="0"/>
              <w:rPr>
                <w:bCs/>
                <w:sz w:val="22"/>
                <w:szCs w:val="22"/>
                <w:lang w:val="uk-UA"/>
              </w:rPr>
            </w:pPr>
            <w:r w:rsidRPr="00FA7CE4">
              <w:rPr>
                <w:b/>
                <w:sz w:val="22"/>
                <w:szCs w:val="22"/>
                <w:lang w:val="uk-UA"/>
              </w:rPr>
              <w:t xml:space="preserve">Лабораторне дослідження питної води з </w:t>
            </w:r>
            <w:proofErr w:type="spellStart"/>
            <w:r w:rsidRPr="00FA7CE4">
              <w:rPr>
                <w:b/>
                <w:sz w:val="22"/>
                <w:szCs w:val="22"/>
                <w:lang w:val="uk-UA"/>
              </w:rPr>
              <w:t>водозаправних</w:t>
            </w:r>
            <w:proofErr w:type="spellEnd"/>
            <w:r w:rsidRPr="00FA7CE4">
              <w:rPr>
                <w:b/>
                <w:sz w:val="22"/>
                <w:szCs w:val="22"/>
                <w:lang w:val="uk-UA"/>
              </w:rPr>
              <w:t xml:space="preserve"> спецмашин, хімічний та бактеріальний аналіз . Отримання паспортів на ємкість з питною водою, </w:t>
            </w:r>
            <w:r w:rsidRPr="00FA7CE4">
              <w:rPr>
                <w:sz w:val="22"/>
                <w:szCs w:val="22"/>
                <w:lang w:val="uk-UA"/>
              </w:rPr>
              <w:t>код ДК 021:2015 - 85140000-2 - Послуги у сфері охорони здоров’я різні</w:t>
            </w:r>
            <w:r w:rsidRPr="00FA7CE4">
              <w:rPr>
                <w:b/>
                <w:sz w:val="22"/>
                <w:szCs w:val="22"/>
                <w:lang w:val="uk-UA"/>
              </w:rPr>
              <w:t xml:space="preserve"> </w:t>
            </w:r>
          </w:p>
        </w:tc>
        <w:tc>
          <w:tcPr>
            <w:tcW w:w="947" w:type="pct"/>
          </w:tcPr>
          <w:p w:rsidR="00A76484" w:rsidRPr="00FA7CE4" w:rsidRDefault="00D17A04" w:rsidP="002D4D30">
            <w:pPr>
              <w:widowControl w:val="0"/>
              <w:jc w:val="center"/>
              <w:rPr>
                <w:sz w:val="22"/>
                <w:szCs w:val="22"/>
                <w:lang w:val="uk-UA"/>
              </w:rPr>
            </w:pPr>
            <w:r w:rsidRPr="00FA7CE4">
              <w:rPr>
                <w:sz w:val="22"/>
                <w:szCs w:val="22"/>
                <w:lang w:val="uk-UA"/>
              </w:rPr>
              <w:t>27 930,82</w:t>
            </w:r>
            <w:r w:rsidR="00A76484" w:rsidRPr="00FA7CE4">
              <w:rPr>
                <w:sz w:val="22"/>
                <w:szCs w:val="22"/>
                <w:lang w:val="uk-UA"/>
              </w:rPr>
              <w:t xml:space="preserve"> </w:t>
            </w:r>
          </w:p>
          <w:p w:rsidR="00A76484" w:rsidRPr="00FA7CE4" w:rsidRDefault="00A76484" w:rsidP="002D4D30">
            <w:pPr>
              <w:widowControl w:val="0"/>
              <w:jc w:val="center"/>
              <w:rPr>
                <w:sz w:val="22"/>
                <w:szCs w:val="22"/>
                <w:lang w:val="uk-UA"/>
              </w:rPr>
            </w:pPr>
            <w:r w:rsidRPr="00FA7CE4">
              <w:rPr>
                <w:sz w:val="22"/>
                <w:szCs w:val="22"/>
                <w:lang w:val="uk-UA"/>
              </w:rPr>
              <w:t>грн. з ПДВ</w:t>
            </w:r>
          </w:p>
        </w:tc>
        <w:tc>
          <w:tcPr>
            <w:tcW w:w="1102" w:type="pct"/>
          </w:tcPr>
          <w:p w:rsidR="00A76484" w:rsidRPr="00FA7CE4" w:rsidRDefault="00FA7CE4" w:rsidP="002D4D30">
            <w:pPr>
              <w:widowControl w:val="0"/>
              <w:jc w:val="center"/>
              <w:rPr>
                <w:sz w:val="22"/>
                <w:szCs w:val="22"/>
                <w:lang w:val="uk-UA"/>
              </w:rPr>
            </w:pPr>
            <w:r w:rsidRPr="00FA7CE4">
              <w:rPr>
                <w:sz w:val="22"/>
                <w:szCs w:val="22"/>
                <w:lang w:val="uk-UA"/>
              </w:rPr>
              <w:t>23 275,68</w:t>
            </w:r>
          </w:p>
          <w:p w:rsidR="00A76484" w:rsidRPr="00FA7CE4" w:rsidRDefault="00A76484" w:rsidP="002D4D30">
            <w:pPr>
              <w:widowControl w:val="0"/>
              <w:jc w:val="center"/>
              <w:rPr>
                <w:sz w:val="22"/>
                <w:szCs w:val="22"/>
                <w:lang w:val="uk-UA"/>
              </w:rPr>
            </w:pPr>
            <w:r w:rsidRPr="00FA7CE4">
              <w:rPr>
                <w:sz w:val="22"/>
                <w:szCs w:val="22"/>
                <w:lang w:val="uk-UA"/>
              </w:rPr>
              <w:t xml:space="preserve">грн. без ПДВ </w:t>
            </w:r>
          </w:p>
        </w:tc>
        <w:tc>
          <w:tcPr>
            <w:tcW w:w="936" w:type="pct"/>
          </w:tcPr>
          <w:p w:rsidR="00A76484" w:rsidRPr="007101A5" w:rsidRDefault="00FA7CE4" w:rsidP="002D4D30">
            <w:pPr>
              <w:widowControl w:val="0"/>
              <w:jc w:val="center"/>
              <w:rPr>
                <w:color w:val="0000FF"/>
                <w:sz w:val="22"/>
                <w:szCs w:val="22"/>
                <w:lang w:val="uk-UA"/>
              </w:rPr>
            </w:pPr>
            <w:r w:rsidRPr="00FA7CE4">
              <w:rPr>
                <w:color w:val="0000FF"/>
                <w:sz w:val="22"/>
                <w:szCs w:val="22"/>
                <w:lang w:val="uk-UA"/>
              </w:rPr>
              <w:t>UA-2023-12-28-009842-a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A7CE4" w:rsidRPr="00FA7CE4" w:rsidRDefault="00FA7CE4" w:rsidP="00FA7CE4">
            <w:pPr>
              <w:widowControl w:val="0"/>
              <w:ind w:right="195"/>
              <w:jc w:val="both"/>
              <w:rPr>
                <w:lang w:val="uk-UA"/>
              </w:rPr>
            </w:pPr>
            <w:r w:rsidRPr="00FA7CE4">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A7CE4">
              <w:rPr>
                <w:lang w:val="uk-UA"/>
              </w:rPr>
              <w:t>закупівель</w:t>
            </w:r>
            <w:proofErr w:type="spellEnd"/>
            <w:r w:rsidRPr="00FA7CE4">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A7CE4" w:rsidRPr="00FA7CE4" w:rsidRDefault="00FA7CE4" w:rsidP="00FA7CE4">
            <w:pPr>
              <w:widowControl w:val="0"/>
              <w:ind w:right="195"/>
              <w:jc w:val="both"/>
              <w:rPr>
                <w:lang w:val="uk-UA"/>
              </w:rPr>
            </w:pPr>
          </w:p>
          <w:p w:rsidR="006F428D" w:rsidRPr="007101A5" w:rsidRDefault="00FA7CE4" w:rsidP="00FA7CE4">
            <w:pPr>
              <w:ind w:right="195"/>
              <w:jc w:val="both"/>
              <w:rPr>
                <w:i/>
                <w:lang w:val="uk-UA"/>
              </w:rPr>
            </w:pPr>
            <w:proofErr w:type="spellStart"/>
            <w:r w:rsidRPr="001C5824">
              <w:t>Очікувана</w:t>
            </w:r>
            <w:proofErr w:type="spellEnd"/>
            <w:r w:rsidRPr="001C5824">
              <w:t xml:space="preserve"> </w:t>
            </w:r>
            <w:proofErr w:type="spellStart"/>
            <w:r w:rsidRPr="001C5824">
              <w:t>вартість</w:t>
            </w:r>
            <w:proofErr w:type="spellEnd"/>
            <w:r w:rsidRPr="001C5824">
              <w:t xml:space="preserve"> предмета </w:t>
            </w:r>
            <w:proofErr w:type="spellStart"/>
            <w:r w:rsidRPr="001C5824">
              <w:t>закупівлі</w:t>
            </w:r>
            <w:proofErr w:type="spellEnd"/>
            <w:r w:rsidRPr="001C5824">
              <w:t xml:space="preserve"> </w:t>
            </w:r>
            <w:proofErr w:type="spellStart"/>
            <w:r w:rsidRPr="001C5824">
              <w:t>визначена</w:t>
            </w:r>
            <w:proofErr w:type="spellEnd"/>
            <w:r w:rsidRPr="001C5824">
              <w:t xml:space="preserve"> методом </w:t>
            </w:r>
            <w:proofErr w:type="spellStart"/>
            <w:r w:rsidRPr="001C5824">
              <w:t>порівняння</w:t>
            </w:r>
            <w:proofErr w:type="spellEnd"/>
            <w:r w:rsidRPr="001C5824">
              <w:t xml:space="preserve"> </w:t>
            </w:r>
            <w:proofErr w:type="spellStart"/>
            <w:r w:rsidRPr="001C5824">
              <w:t>ринкових</w:t>
            </w:r>
            <w:proofErr w:type="spellEnd"/>
            <w:r w:rsidRPr="001C5824">
              <w:t xml:space="preserve"> </w:t>
            </w:r>
            <w:proofErr w:type="spellStart"/>
            <w:r w:rsidRPr="001C5824">
              <w:t>цін</w:t>
            </w:r>
            <w:proofErr w:type="spellEnd"/>
            <w:r w:rsidRPr="001C5824">
              <w:t xml:space="preserve"> на </w:t>
            </w:r>
            <w:proofErr w:type="spellStart"/>
            <w:r w:rsidRPr="001C5824">
              <w:t>підставі</w:t>
            </w:r>
            <w:proofErr w:type="spellEnd"/>
            <w:r w:rsidRPr="001C5824">
              <w:t xml:space="preserve"> </w:t>
            </w:r>
            <w:proofErr w:type="spellStart"/>
            <w:r w:rsidRPr="001C5824">
              <w:t>отриманих</w:t>
            </w:r>
            <w:proofErr w:type="spellEnd"/>
            <w:r w:rsidRPr="001C5824">
              <w:t xml:space="preserve"> </w:t>
            </w:r>
            <w:proofErr w:type="spellStart"/>
            <w:r w:rsidRPr="001C5824">
              <w:t>комерційних</w:t>
            </w:r>
            <w:proofErr w:type="spellEnd"/>
            <w:r w:rsidRPr="001C5824">
              <w:t xml:space="preserve"> </w:t>
            </w:r>
            <w:proofErr w:type="spellStart"/>
            <w:r w:rsidRPr="001C5824">
              <w:t>пропозицій</w:t>
            </w:r>
            <w:proofErr w:type="spellEnd"/>
            <w:r w:rsidRPr="001C5824">
              <w:t xml:space="preserve"> Для </w:t>
            </w:r>
            <w:proofErr w:type="spellStart"/>
            <w:r w:rsidRPr="001C5824">
              <w:t>розрахунку</w:t>
            </w:r>
            <w:proofErr w:type="spellEnd"/>
            <w:r w:rsidRPr="001C5824">
              <w:t xml:space="preserve"> </w:t>
            </w:r>
            <w:proofErr w:type="spellStart"/>
            <w:r w:rsidRPr="001C5824">
              <w:t>використано</w:t>
            </w:r>
            <w:proofErr w:type="spellEnd"/>
            <w:r w:rsidRPr="001C5824">
              <w:t xml:space="preserve"> </w:t>
            </w:r>
            <w:proofErr w:type="spellStart"/>
            <w:r w:rsidRPr="001C5824">
              <w:t>середньоарифметичне</w:t>
            </w:r>
            <w:proofErr w:type="spellEnd"/>
            <w:r w:rsidRPr="001C5824">
              <w:t xml:space="preserve"> </w:t>
            </w:r>
            <w:proofErr w:type="spellStart"/>
            <w:r w:rsidRPr="001C5824">
              <w:t>значення</w:t>
            </w:r>
            <w:proofErr w:type="spellEnd"/>
            <w:r w:rsidRPr="001C5824">
              <w:t xml:space="preserve"> </w:t>
            </w:r>
            <w:proofErr w:type="spellStart"/>
            <w:r w:rsidRPr="001C5824">
              <w:t>отриманих</w:t>
            </w:r>
            <w:proofErr w:type="spellEnd"/>
            <w:r w:rsidRPr="001C5824">
              <w:t xml:space="preserve"> </w:t>
            </w:r>
            <w:proofErr w:type="spellStart"/>
            <w:r w:rsidRPr="001C5824">
              <w:t>даних</w:t>
            </w:r>
            <w:proofErr w:type="spellEnd"/>
            <w:r w:rsidRPr="001C5824">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A7CE4" w:rsidRPr="00FA7CE4" w:rsidRDefault="00FA7CE4" w:rsidP="00FA7CE4">
            <w:pPr>
              <w:widowControl w:val="0"/>
              <w:ind w:right="195"/>
              <w:jc w:val="both"/>
              <w:rPr>
                <w:lang w:val="uk-UA"/>
              </w:rPr>
            </w:pPr>
            <w:proofErr w:type="spellStart"/>
            <w:r w:rsidRPr="00FA7CE4">
              <w:rPr>
                <w:lang w:val="uk-UA"/>
              </w:rPr>
              <w:t>Якісні</w:t>
            </w:r>
            <w:proofErr w:type="spellEnd"/>
            <w:r w:rsidRPr="00FA7CE4">
              <w:rPr>
                <w:lang w:val="uk-UA"/>
              </w:rPr>
              <w:t xml:space="preserve"> та </w:t>
            </w:r>
            <w:proofErr w:type="spellStart"/>
            <w:r w:rsidRPr="00FA7CE4">
              <w:rPr>
                <w:lang w:val="uk-UA"/>
              </w:rPr>
              <w:t>технічні</w:t>
            </w:r>
            <w:proofErr w:type="spellEnd"/>
            <w:r w:rsidRPr="00FA7CE4">
              <w:rPr>
                <w:lang w:val="uk-UA"/>
              </w:rPr>
              <w:t xml:space="preserve"> характеристики предмета </w:t>
            </w:r>
            <w:proofErr w:type="spellStart"/>
            <w:r w:rsidRPr="00FA7CE4">
              <w:rPr>
                <w:lang w:val="uk-UA"/>
              </w:rPr>
              <w:t>закупівлі</w:t>
            </w:r>
            <w:proofErr w:type="spellEnd"/>
            <w:r w:rsidRPr="00FA7CE4">
              <w:rPr>
                <w:lang w:val="uk-UA"/>
              </w:rPr>
              <w:t xml:space="preserve"> </w:t>
            </w:r>
            <w:proofErr w:type="spellStart"/>
            <w:r w:rsidRPr="00FA7CE4">
              <w:rPr>
                <w:lang w:val="uk-UA"/>
              </w:rPr>
              <w:t>визначені</w:t>
            </w:r>
            <w:proofErr w:type="spellEnd"/>
            <w:r w:rsidRPr="00FA7CE4">
              <w:rPr>
                <w:lang w:val="uk-UA"/>
              </w:rPr>
              <w:t xml:space="preserve"> з </w:t>
            </w:r>
            <w:proofErr w:type="spellStart"/>
            <w:r w:rsidRPr="00FA7CE4">
              <w:rPr>
                <w:lang w:val="uk-UA"/>
              </w:rPr>
              <w:t>урахуванням</w:t>
            </w:r>
            <w:proofErr w:type="spellEnd"/>
            <w:r w:rsidRPr="00FA7CE4">
              <w:rPr>
                <w:lang w:val="uk-UA"/>
              </w:rPr>
              <w:t xml:space="preserve"> </w:t>
            </w:r>
            <w:proofErr w:type="spellStart"/>
            <w:r w:rsidRPr="00FA7CE4">
              <w:rPr>
                <w:lang w:val="uk-UA"/>
              </w:rPr>
              <w:t>реальних</w:t>
            </w:r>
            <w:proofErr w:type="spellEnd"/>
            <w:r w:rsidRPr="00FA7CE4">
              <w:rPr>
                <w:lang w:val="uk-UA"/>
              </w:rPr>
              <w:t xml:space="preserve"> потреб </w:t>
            </w:r>
            <w:proofErr w:type="spellStart"/>
            <w:r w:rsidRPr="00FA7CE4">
              <w:rPr>
                <w:lang w:val="uk-UA"/>
              </w:rPr>
              <w:t>підприємства</w:t>
            </w:r>
            <w:proofErr w:type="spellEnd"/>
            <w:r w:rsidRPr="00FA7CE4">
              <w:rPr>
                <w:lang w:val="uk-UA"/>
              </w:rPr>
              <w:t xml:space="preserve"> та оптимального співвідношення ціни та якості.</w:t>
            </w:r>
          </w:p>
          <w:p w:rsidR="006F428D" w:rsidRPr="00FA7CE4" w:rsidRDefault="00FA7CE4" w:rsidP="00FA7CE4">
            <w:pPr>
              <w:pStyle w:val="Default"/>
              <w:jc w:val="both"/>
              <w:rPr>
                <w:sz w:val="23"/>
                <w:szCs w:val="23"/>
              </w:rPr>
            </w:pPr>
            <w:r>
              <w:rPr>
                <w:sz w:val="23"/>
                <w:szCs w:val="23"/>
              </w:rPr>
              <w:lastRenderedPageBreak/>
              <w:t>Замовник здійснює закупівлю даних Послуг, оскільки вони за своїми якісними та технічними характеристиками найбільше відповідатимуть вимогам та потребам замовника.</w:t>
            </w:r>
          </w:p>
        </w:tc>
      </w:tr>
    </w:tbl>
    <w:p w:rsidR="006F428D" w:rsidRPr="00FA7CE4" w:rsidRDefault="006F428D" w:rsidP="00A12478">
      <w:pPr>
        <w:rPr>
          <w:b/>
        </w:rPr>
      </w:pPr>
    </w:p>
    <w:p w:rsidR="006926A0" w:rsidRPr="00FA7CE4" w:rsidRDefault="006926A0" w:rsidP="006926A0">
      <w:pPr>
        <w:ind w:firstLine="567"/>
        <w:jc w:val="both"/>
        <w:rPr>
          <w:lang w:val="uk-UA"/>
        </w:rPr>
      </w:pPr>
      <w:r w:rsidRPr="00FA7CE4">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90"/>
        <w:gridCol w:w="1895"/>
        <w:gridCol w:w="992"/>
        <w:gridCol w:w="992"/>
        <w:gridCol w:w="5837"/>
      </w:tblGrid>
      <w:tr w:rsidR="00FA7CE4" w:rsidRPr="00145EF1" w:rsidTr="00FA7CE4">
        <w:tc>
          <w:tcPr>
            <w:tcW w:w="490" w:type="dxa"/>
            <w:shd w:val="clear" w:color="auto" w:fill="DEEAF6" w:themeFill="accent1" w:themeFillTint="33"/>
          </w:tcPr>
          <w:p w:rsidR="00FA7CE4" w:rsidRPr="00693478" w:rsidRDefault="00FA7CE4" w:rsidP="00AF1859">
            <w:pPr>
              <w:widowControl w:val="0"/>
              <w:jc w:val="center"/>
              <w:rPr>
                <w:b/>
              </w:rPr>
            </w:pPr>
            <w:r w:rsidRPr="00693478">
              <w:rPr>
                <w:b/>
              </w:rPr>
              <w:t>№ п/п</w:t>
            </w:r>
          </w:p>
        </w:tc>
        <w:tc>
          <w:tcPr>
            <w:tcW w:w="1895" w:type="dxa"/>
            <w:shd w:val="clear" w:color="auto" w:fill="DEEAF6" w:themeFill="accent1" w:themeFillTint="33"/>
          </w:tcPr>
          <w:p w:rsidR="00FA7CE4" w:rsidRPr="00145EF1" w:rsidRDefault="00FA7CE4" w:rsidP="00AF1859">
            <w:pPr>
              <w:widowControl w:val="0"/>
              <w:jc w:val="center"/>
              <w:rPr>
                <w:b/>
              </w:rPr>
            </w:pPr>
            <w:proofErr w:type="spellStart"/>
            <w:r w:rsidRPr="00145EF1">
              <w:rPr>
                <w:b/>
              </w:rPr>
              <w:t>Найменування</w:t>
            </w:r>
            <w:proofErr w:type="spellEnd"/>
            <w:r w:rsidRPr="00145EF1">
              <w:rPr>
                <w:b/>
              </w:rPr>
              <w:t xml:space="preserve"> </w:t>
            </w:r>
          </w:p>
          <w:p w:rsidR="00FA7CE4" w:rsidRPr="00145EF1" w:rsidRDefault="00FA7CE4" w:rsidP="00AF1859">
            <w:pPr>
              <w:widowControl w:val="0"/>
              <w:jc w:val="center"/>
              <w:rPr>
                <w:b/>
              </w:rPr>
            </w:pPr>
            <w:proofErr w:type="spellStart"/>
            <w:r w:rsidRPr="00145EF1">
              <w:rPr>
                <w:b/>
              </w:rPr>
              <w:t>послуги</w:t>
            </w:r>
            <w:proofErr w:type="spellEnd"/>
            <w:r w:rsidRPr="00145EF1">
              <w:rPr>
                <w:b/>
              </w:rPr>
              <w:t xml:space="preserve"> </w:t>
            </w:r>
          </w:p>
        </w:tc>
        <w:tc>
          <w:tcPr>
            <w:tcW w:w="992" w:type="dxa"/>
            <w:shd w:val="clear" w:color="auto" w:fill="DEEAF6" w:themeFill="accent1" w:themeFillTint="33"/>
          </w:tcPr>
          <w:p w:rsidR="00FA7CE4" w:rsidRPr="00145EF1" w:rsidRDefault="00FA7CE4" w:rsidP="00AF1859">
            <w:pPr>
              <w:widowControl w:val="0"/>
              <w:jc w:val="center"/>
              <w:rPr>
                <w:b/>
              </w:rPr>
            </w:pPr>
            <w:r w:rsidRPr="00145EF1">
              <w:rPr>
                <w:b/>
              </w:rPr>
              <w:t>Од.</w:t>
            </w:r>
          </w:p>
          <w:p w:rsidR="00FA7CE4" w:rsidRPr="00145EF1" w:rsidRDefault="00FA7CE4" w:rsidP="00AF1859">
            <w:pPr>
              <w:widowControl w:val="0"/>
              <w:jc w:val="center"/>
              <w:rPr>
                <w:b/>
              </w:rPr>
            </w:pPr>
            <w:proofErr w:type="spellStart"/>
            <w:r w:rsidRPr="00145EF1">
              <w:rPr>
                <w:b/>
              </w:rPr>
              <w:t>виміру</w:t>
            </w:r>
            <w:proofErr w:type="spellEnd"/>
          </w:p>
        </w:tc>
        <w:tc>
          <w:tcPr>
            <w:tcW w:w="992" w:type="dxa"/>
            <w:shd w:val="clear" w:color="auto" w:fill="DEEAF6" w:themeFill="accent1" w:themeFillTint="33"/>
          </w:tcPr>
          <w:p w:rsidR="00FA7CE4" w:rsidRPr="00145EF1" w:rsidRDefault="00FA7CE4" w:rsidP="00AF1859">
            <w:pPr>
              <w:widowControl w:val="0"/>
              <w:jc w:val="center"/>
              <w:rPr>
                <w:b/>
              </w:rPr>
            </w:pPr>
            <w:proofErr w:type="spellStart"/>
            <w:r w:rsidRPr="00145EF1">
              <w:rPr>
                <w:b/>
              </w:rPr>
              <w:t>Кількість</w:t>
            </w:r>
            <w:proofErr w:type="spellEnd"/>
          </w:p>
        </w:tc>
        <w:tc>
          <w:tcPr>
            <w:tcW w:w="5837" w:type="dxa"/>
            <w:shd w:val="clear" w:color="auto" w:fill="DEEAF6" w:themeFill="accent1" w:themeFillTint="33"/>
          </w:tcPr>
          <w:p w:rsidR="00FA7CE4" w:rsidRPr="00145EF1" w:rsidRDefault="00FA7CE4" w:rsidP="00AF1859">
            <w:pPr>
              <w:widowControl w:val="0"/>
              <w:jc w:val="center"/>
              <w:rPr>
                <w:b/>
              </w:rPr>
            </w:pPr>
            <w:proofErr w:type="spellStart"/>
            <w:r w:rsidRPr="00145EF1">
              <w:rPr>
                <w:b/>
              </w:rPr>
              <w:t>Технічні</w:t>
            </w:r>
            <w:proofErr w:type="spellEnd"/>
            <w:r w:rsidRPr="00145EF1">
              <w:rPr>
                <w:b/>
              </w:rPr>
              <w:t xml:space="preserve"> та </w:t>
            </w:r>
            <w:proofErr w:type="spellStart"/>
            <w:r w:rsidRPr="00145EF1">
              <w:rPr>
                <w:b/>
              </w:rPr>
              <w:t>якісні</w:t>
            </w:r>
            <w:proofErr w:type="spellEnd"/>
            <w:r w:rsidRPr="00145EF1">
              <w:rPr>
                <w:b/>
              </w:rPr>
              <w:t xml:space="preserve"> характеристики</w:t>
            </w:r>
          </w:p>
          <w:p w:rsidR="00FA7CE4" w:rsidRPr="00145EF1" w:rsidRDefault="00FA7CE4" w:rsidP="00AF1859">
            <w:pPr>
              <w:widowControl w:val="0"/>
              <w:jc w:val="center"/>
              <w:rPr>
                <w:b/>
                <w:sz w:val="16"/>
                <w:szCs w:val="16"/>
              </w:rPr>
            </w:pPr>
            <w:r w:rsidRPr="00145EF1">
              <w:rPr>
                <w:b/>
              </w:rPr>
              <w:t>(</w:t>
            </w:r>
            <w:proofErr w:type="spellStart"/>
            <w:r w:rsidRPr="00145EF1">
              <w:rPr>
                <w:b/>
              </w:rPr>
              <w:t>технічна</w:t>
            </w:r>
            <w:proofErr w:type="spellEnd"/>
            <w:r w:rsidRPr="00145EF1">
              <w:rPr>
                <w:b/>
              </w:rPr>
              <w:t xml:space="preserve"> </w:t>
            </w:r>
            <w:proofErr w:type="spellStart"/>
            <w:r w:rsidRPr="00145EF1">
              <w:rPr>
                <w:b/>
              </w:rPr>
              <w:t>специфікація</w:t>
            </w:r>
            <w:proofErr w:type="spellEnd"/>
            <w:r w:rsidRPr="00145EF1">
              <w:rPr>
                <w:b/>
              </w:rPr>
              <w:t>)</w:t>
            </w:r>
          </w:p>
        </w:tc>
      </w:tr>
      <w:tr w:rsidR="00FA7CE4" w:rsidRPr="00A554EC" w:rsidTr="00FA7CE4">
        <w:trPr>
          <w:trHeight w:val="3038"/>
        </w:trPr>
        <w:tc>
          <w:tcPr>
            <w:tcW w:w="490" w:type="dxa"/>
            <w:shd w:val="clear" w:color="auto" w:fill="auto"/>
          </w:tcPr>
          <w:p w:rsidR="00FA7CE4" w:rsidRPr="00A554EC" w:rsidRDefault="00FA7CE4" w:rsidP="00AF1859">
            <w:pPr>
              <w:suppressAutoHyphens/>
              <w:jc w:val="center"/>
              <w:rPr>
                <w:sz w:val="22"/>
                <w:szCs w:val="22"/>
              </w:rPr>
            </w:pPr>
            <w:r w:rsidRPr="00A554EC">
              <w:rPr>
                <w:sz w:val="22"/>
                <w:szCs w:val="22"/>
              </w:rPr>
              <w:t>1</w:t>
            </w:r>
          </w:p>
          <w:p w:rsidR="00FA7CE4" w:rsidRPr="00A554EC" w:rsidRDefault="00FA7CE4" w:rsidP="00AF1859">
            <w:pPr>
              <w:suppressAutoHyphens/>
              <w:jc w:val="center"/>
              <w:rPr>
                <w:b/>
                <w:bCs/>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tc>
        <w:tc>
          <w:tcPr>
            <w:tcW w:w="1895" w:type="dxa"/>
            <w:shd w:val="clear" w:color="auto" w:fill="auto"/>
          </w:tcPr>
          <w:p w:rsidR="00FA7CE4" w:rsidRPr="00A554EC" w:rsidRDefault="00FA7CE4" w:rsidP="00AF1859">
            <w:pPr>
              <w:suppressAutoHyphens/>
              <w:jc w:val="center"/>
              <w:rPr>
                <w:sz w:val="22"/>
                <w:szCs w:val="22"/>
              </w:rPr>
            </w:pPr>
            <w:proofErr w:type="spellStart"/>
            <w:r w:rsidRPr="00A554EC">
              <w:rPr>
                <w:sz w:val="22"/>
                <w:szCs w:val="22"/>
              </w:rPr>
              <w:t>Хімічний</w:t>
            </w:r>
            <w:proofErr w:type="spellEnd"/>
            <w:r w:rsidRPr="00A554EC">
              <w:rPr>
                <w:sz w:val="22"/>
                <w:szCs w:val="22"/>
              </w:rPr>
              <w:t xml:space="preserve"> </w:t>
            </w:r>
            <w:proofErr w:type="spellStart"/>
            <w:r w:rsidRPr="00A554EC">
              <w:rPr>
                <w:sz w:val="22"/>
                <w:szCs w:val="22"/>
              </w:rPr>
              <w:t>аналіз</w:t>
            </w:r>
            <w:proofErr w:type="spellEnd"/>
            <w:r w:rsidRPr="00A554EC">
              <w:rPr>
                <w:sz w:val="22"/>
                <w:szCs w:val="22"/>
              </w:rPr>
              <w:t xml:space="preserve"> води</w:t>
            </w: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rPr>
                <w:sz w:val="22"/>
                <w:szCs w:val="22"/>
              </w:rPr>
            </w:pPr>
          </w:p>
        </w:tc>
        <w:tc>
          <w:tcPr>
            <w:tcW w:w="992" w:type="dxa"/>
            <w:shd w:val="clear" w:color="auto" w:fill="auto"/>
          </w:tcPr>
          <w:p w:rsidR="00FA7CE4" w:rsidRPr="00A554EC" w:rsidRDefault="00FA7CE4" w:rsidP="00AF1859">
            <w:pPr>
              <w:suppressAutoHyphens/>
              <w:jc w:val="center"/>
              <w:rPr>
                <w:sz w:val="22"/>
                <w:szCs w:val="22"/>
              </w:rPr>
            </w:pPr>
            <w:proofErr w:type="spellStart"/>
            <w:r w:rsidRPr="00A554EC">
              <w:rPr>
                <w:sz w:val="22"/>
                <w:szCs w:val="22"/>
              </w:rPr>
              <w:t>послуга</w:t>
            </w:r>
            <w:proofErr w:type="spellEnd"/>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rPr>
                <w:sz w:val="22"/>
                <w:szCs w:val="22"/>
              </w:rPr>
            </w:pPr>
          </w:p>
        </w:tc>
        <w:tc>
          <w:tcPr>
            <w:tcW w:w="992" w:type="dxa"/>
            <w:shd w:val="clear" w:color="auto" w:fill="auto"/>
          </w:tcPr>
          <w:p w:rsidR="00FA7CE4" w:rsidRPr="00A554EC" w:rsidRDefault="00FA7CE4" w:rsidP="00AF1859">
            <w:pPr>
              <w:suppressAutoHyphens/>
              <w:jc w:val="center"/>
              <w:rPr>
                <w:sz w:val="22"/>
                <w:szCs w:val="22"/>
              </w:rPr>
            </w:pPr>
            <w:r w:rsidRPr="00A554EC">
              <w:rPr>
                <w:sz w:val="22"/>
                <w:szCs w:val="22"/>
              </w:rPr>
              <w:t>32</w:t>
            </w:r>
          </w:p>
          <w:p w:rsidR="00FA7CE4" w:rsidRPr="00A554EC" w:rsidRDefault="00FA7CE4" w:rsidP="00AF1859">
            <w:pPr>
              <w:suppressAutoHyphens/>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jc w:val="center"/>
              <w:rPr>
                <w:sz w:val="22"/>
                <w:szCs w:val="22"/>
              </w:rPr>
            </w:pPr>
          </w:p>
          <w:p w:rsidR="00FA7CE4" w:rsidRPr="00A554EC" w:rsidRDefault="00FA7CE4" w:rsidP="00AF1859">
            <w:pPr>
              <w:rPr>
                <w:sz w:val="22"/>
                <w:szCs w:val="22"/>
              </w:rPr>
            </w:pPr>
          </w:p>
        </w:tc>
        <w:tc>
          <w:tcPr>
            <w:tcW w:w="5837" w:type="dxa"/>
            <w:shd w:val="clear" w:color="auto" w:fill="auto"/>
          </w:tcPr>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запаху </w:t>
            </w:r>
            <w:proofErr w:type="spellStart"/>
            <w:r w:rsidRPr="00A554EC">
              <w:rPr>
                <w:sz w:val="22"/>
                <w:szCs w:val="22"/>
              </w:rPr>
              <w:t>органолептичним</w:t>
            </w:r>
            <w:proofErr w:type="spellEnd"/>
            <w:r w:rsidRPr="00A554EC">
              <w:rPr>
                <w:sz w:val="22"/>
                <w:szCs w:val="22"/>
              </w:rPr>
              <w:t xml:space="preserve"> методом</w:t>
            </w:r>
          </w:p>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каламутності</w:t>
            </w:r>
            <w:proofErr w:type="spellEnd"/>
            <w:r w:rsidRPr="00A554EC">
              <w:rPr>
                <w:sz w:val="22"/>
                <w:szCs w:val="22"/>
              </w:rPr>
              <w:t xml:space="preserve"> та </w:t>
            </w:r>
            <w:proofErr w:type="spellStart"/>
            <w:r w:rsidRPr="00A554EC">
              <w:rPr>
                <w:sz w:val="22"/>
                <w:szCs w:val="22"/>
              </w:rPr>
              <w:t>кольоровості</w:t>
            </w:r>
            <w:proofErr w:type="spellEnd"/>
            <w:r w:rsidRPr="00A554EC">
              <w:rPr>
                <w:sz w:val="22"/>
                <w:szCs w:val="22"/>
              </w:rPr>
              <w:t xml:space="preserve"> фото </w:t>
            </w:r>
            <w:proofErr w:type="spellStart"/>
            <w:r w:rsidRPr="00A554EC">
              <w:rPr>
                <w:sz w:val="22"/>
                <w:szCs w:val="22"/>
              </w:rPr>
              <w:t>колориметричним</w:t>
            </w:r>
            <w:proofErr w:type="spellEnd"/>
            <w:r w:rsidRPr="00A554EC">
              <w:rPr>
                <w:sz w:val="22"/>
                <w:szCs w:val="22"/>
              </w:rPr>
              <w:t xml:space="preserve"> методом</w:t>
            </w:r>
          </w:p>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аміаку</w:t>
            </w:r>
            <w:proofErr w:type="spellEnd"/>
            <w:r w:rsidRPr="00A554EC">
              <w:rPr>
                <w:sz w:val="22"/>
                <w:szCs w:val="22"/>
              </w:rPr>
              <w:t xml:space="preserve"> фото </w:t>
            </w:r>
            <w:proofErr w:type="spellStart"/>
            <w:r w:rsidRPr="00A554EC">
              <w:rPr>
                <w:sz w:val="22"/>
                <w:szCs w:val="22"/>
              </w:rPr>
              <w:t>колориметричним</w:t>
            </w:r>
            <w:proofErr w:type="spellEnd"/>
            <w:r w:rsidRPr="00A554EC">
              <w:rPr>
                <w:sz w:val="22"/>
                <w:szCs w:val="22"/>
              </w:rPr>
              <w:t xml:space="preserve"> методом</w:t>
            </w:r>
          </w:p>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нітритів</w:t>
            </w:r>
            <w:proofErr w:type="spellEnd"/>
            <w:r w:rsidRPr="00A554EC">
              <w:rPr>
                <w:sz w:val="22"/>
                <w:szCs w:val="22"/>
              </w:rPr>
              <w:t xml:space="preserve"> у </w:t>
            </w:r>
            <w:proofErr w:type="spellStart"/>
            <w:r w:rsidRPr="00A554EC">
              <w:rPr>
                <w:sz w:val="22"/>
                <w:szCs w:val="22"/>
              </w:rPr>
              <w:t>воді</w:t>
            </w:r>
            <w:proofErr w:type="spellEnd"/>
            <w:r w:rsidRPr="00A554EC">
              <w:rPr>
                <w:sz w:val="22"/>
                <w:szCs w:val="22"/>
              </w:rPr>
              <w:t xml:space="preserve"> фото </w:t>
            </w:r>
            <w:proofErr w:type="spellStart"/>
            <w:r w:rsidRPr="00A554EC">
              <w:rPr>
                <w:sz w:val="22"/>
                <w:szCs w:val="22"/>
              </w:rPr>
              <w:t>колориметричним</w:t>
            </w:r>
            <w:proofErr w:type="spellEnd"/>
            <w:r w:rsidRPr="00A554EC">
              <w:rPr>
                <w:sz w:val="22"/>
                <w:szCs w:val="22"/>
              </w:rPr>
              <w:t xml:space="preserve"> методом</w:t>
            </w:r>
          </w:p>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нітратів</w:t>
            </w:r>
            <w:proofErr w:type="spellEnd"/>
            <w:r w:rsidRPr="00A554EC">
              <w:rPr>
                <w:sz w:val="22"/>
                <w:szCs w:val="22"/>
              </w:rPr>
              <w:t xml:space="preserve"> фото </w:t>
            </w:r>
            <w:proofErr w:type="spellStart"/>
            <w:r w:rsidRPr="00A554EC">
              <w:rPr>
                <w:sz w:val="22"/>
                <w:szCs w:val="22"/>
              </w:rPr>
              <w:t>колориметричним</w:t>
            </w:r>
            <w:proofErr w:type="spellEnd"/>
            <w:r w:rsidRPr="00A554EC">
              <w:rPr>
                <w:sz w:val="22"/>
                <w:szCs w:val="22"/>
              </w:rPr>
              <w:t xml:space="preserve"> методом</w:t>
            </w:r>
          </w:p>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вмісту</w:t>
            </w:r>
            <w:proofErr w:type="spellEnd"/>
            <w:r w:rsidRPr="00A554EC">
              <w:rPr>
                <w:sz w:val="22"/>
                <w:szCs w:val="22"/>
              </w:rPr>
              <w:t xml:space="preserve"> </w:t>
            </w:r>
            <w:proofErr w:type="spellStart"/>
            <w:r w:rsidRPr="00A554EC">
              <w:rPr>
                <w:sz w:val="22"/>
                <w:szCs w:val="22"/>
              </w:rPr>
              <w:t>жорсткості</w:t>
            </w:r>
            <w:proofErr w:type="spellEnd"/>
            <w:r w:rsidRPr="00A554EC">
              <w:rPr>
                <w:sz w:val="22"/>
                <w:szCs w:val="22"/>
              </w:rPr>
              <w:t xml:space="preserve"> </w:t>
            </w:r>
            <w:proofErr w:type="spellStart"/>
            <w:r w:rsidRPr="00A554EC">
              <w:rPr>
                <w:sz w:val="22"/>
                <w:szCs w:val="22"/>
              </w:rPr>
              <w:t>титрометричним</w:t>
            </w:r>
            <w:proofErr w:type="spellEnd"/>
            <w:r w:rsidRPr="00A554EC">
              <w:rPr>
                <w:sz w:val="22"/>
                <w:szCs w:val="22"/>
              </w:rPr>
              <w:t xml:space="preserve"> методом</w:t>
            </w:r>
          </w:p>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вмісту</w:t>
            </w:r>
            <w:proofErr w:type="spellEnd"/>
            <w:r w:rsidRPr="00A554EC">
              <w:rPr>
                <w:sz w:val="22"/>
                <w:szCs w:val="22"/>
              </w:rPr>
              <w:t xml:space="preserve"> </w:t>
            </w:r>
            <w:proofErr w:type="spellStart"/>
            <w:r w:rsidRPr="00A554EC">
              <w:rPr>
                <w:sz w:val="22"/>
                <w:szCs w:val="22"/>
              </w:rPr>
              <w:t>хлоридів</w:t>
            </w:r>
            <w:proofErr w:type="spellEnd"/>
            <w:r w:rsidRPr="00A554EC">
              <w:rPr>
                <w:sz w:val="22"/>
                <w:szCs w:val="22"/>
              </w:rPr>
              <w:t xml:space="preserve"> </w:t>
            </w:r>
            <w:proofErr w:type="spellStart"/>
            <w:r w:rsidRPr="00A554EC">
              <w:rPr>
                <w:sz w:val="22"/>
                <w:szCs w:val="22"/>
              </w:rPr>
              <w:t>титрометричним</w:t>
            </w:r>
            <w:proofErr w:type="spellEnd"/>
            <w:r w:rsidRPr="00A554EC">
              <w:rPr>
                <w:sz w:val="22"/>
                <w:szCs w:val="22"/>
              </w:rPr>
              <w:t xml:space="preserve"> методом</w:t>
            </w:r>
          </w:p>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вмісту</w:t>
            </w:r>
            <w:proofErr w:type="spellEnd"/>
            <w:r w:rsidRPr="00A554EC">
              <w:rPr>
                <w:sz w:val="22"/>
                <w:szCs w:val="22"/>
              </w:rPr>
              <w:t xml:space="preserve"> </w:t>
            </w:r>
            <w:proofErr w:type="spellStart"/>
            <w:r w:rsidRPr="00A554EC">
              <w:rPr>
                <w:sz w:val="22"/>
                <w:szCs w:val="22"/>
              </w:rPr>
              <w:t>заліза</w:t>
            </w:r>
            <w:proofErr w:type="spellEnd"/>
            <w:r w:rsidRPr="00A554EC">
              <w:rPr>
                <w:sz w:val="22"/>
                <w:szCs w:val="22"/>
              </w:rPr>
              <w:t xml:space="preserve"> </w:t>
            </w:r>
            <w:proofErr w:type="spellStart"/>
            <w:r w:rsidRPr="00A554EC">
              <w:rPr>
                <w:sz w:val="22"/>
                <w:szCs w:val="22"/>
              </w:rPr>
              <w:t>фотометричним</w:t>
            </w:r>
            <w:proofErr w:type="spellEnd"/>
            <w:r w:rsidRPr="00A554EC">
              <w:rPr>
                <w:sz w:val="22"/>
                <w:szCs w:val="22"/>
              </w:rPr>
              <w:t xml:space="preserve"> методом</w:t>
            </w:r>
          </w:p>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вмісту</w:t>
            </w:r>
            <w:proofErr w:type="spellEnd"/>
            <w:r w:rsidRPr="00A554EC">
              <w:rPr>
                <w:sz w:val="22"/>
                <w:szCs w:val="22"/>
              </w:rPr>
              <w:t xml:space="preserve"> </w:t>
            </w:r>
            <w:proofErr w:type="spellStart"/>
            <w:r w:rsidRPr="00A554EC">
              <w:rPr>
                <w:sz w:val="22"/>
                <w:szCs w:val="22"/>
              </w:rPr>
              <w:t>окислюваності</w:t>
            </w:r>
            <w:proofErr w:type="spellEnd"/>
            <w:r w:rsidRPr="00A554EC">
              <w:rPr>
                <w:sz w:val="22"/>
                <w:szCs w:val="22"/>
              </w:rPr>
              <w:t xml:space="preserve"> </w:t>
            </w:r>
            <w:proofErr w:type="spellStart"/>
            <w:r w:rsidRPr="00A554EC">
              <w:rPr>
                <w:sz w:val="22"/>
                <w:szCs w:val="22"/>
              </w:rPr>
              <w:t>титрометричним</w:t>
            </w:r>
            <w:proofErr w:type="spellEnd"/>
            <w:r w:rsidRPr="00A554EC">
              <w:rPr>
                <w:sz w:val="22"/>
                <w:szCs w:val="22"/>
              </w:rPr>
              <w:t xml:space="preserve"> методом</w:t>
            </w:r>
          </w:p>
        </w:tc>
      </w:tr>
      <w:tr w:rsidR="00FA7CE4" w:rsidRPr="00A554EC" w:rsidTr="00FA7CE4">
        <w:tc>
          <w:tcPr>
            <w:tcW w:w="490" w:type="dxa"/>
            <w:shd w:val="clear" w:color="auto" w:fill="auto"/>
          </w:tcPr>
          <w:p w:rsidR="00FA7CE4" w:rsidRPr="00A554EC" w:rsidRDefault="00FA7CE4" w:rsidP="00AF1859">
            <w:pPr>
              <w:suppressAutoHyphens/>
              <w:jc w:val="center"/>
              <w:rPr>
                <w:sz w:val="22"/>
                <w:szCs w:val="22"/>
              </w:rPr>
            </w:pPr>
            <w:r w:rsidRPr="00A554EC">
              <w:rPr>
                <w:sz w:val="22"/>
                <w:szCs w:val="22"/>
              </w:rPr>
              <w:t>2</w:t>
            </w:r>
          </w:p>
        </w:tc>
        <w:tc>
          <w:tcPr>
            <w:tcW w:w="1895" w:type="dxa"/>
            <w:shd w:val="clear" w:color="auto" w:fill="auto"/>
          </w:tcPr>
          <w:p w:rsidR="00FA7CE4" w:rsidRPr="00A554EC" w:rsidRDefault="00FA7CE4" w:rsidP="00AF1859">
            <w:pPr>
              <w:jc w:val="center"/>
              <w:rPr>
                <w:sz w:val="22"/>
                <w:szCs w:val="22"/>
              </w:rPr>
            </w:pPr>
            <w:proofErr w:type="spellStart"/>
            <w:r w:rsidRPr="00A554EC">
              <w:rPr>
                <w:sz w:val="22"/>
                <w:szCs w:val="22"/>
              </w:rPr>
              <w:t>Бактеріальний</w:t>
            </w:r>
            <w:proofErr w:type="spellEnd"/>
            <w:r w:rsidRPr="00A554EC">
              <w:rPr>
                <w:sz w:val="22"/>
                <w:szCs w:val="22"/>
              </w:rPr>
              <w:t xml:space="preserve"> </w:t>
            </w:r>
            <w:proofErr w:type="spellStart"/>
            <w:r w:rsidRPr="00A554EC">
              <w:rPr>
                <w:sz w:val="22"/>
                <w:szCs w:val="22"/>
              </w:rPr>
              <w:t>аналіз</w:t>
            </w:r>
            <w:proofErr w:type="spellEnd"/>
            <w:r w:rsidRPr="00A554EC">
              <w:rPr>
                <w:sz w:val="22"/>
                <w:szCs w:val="22"/>
              </w:rPr>
              <w:t xml:space="preserve"> води</w:t>
            </w:r>
          </w:p>
          <w:p w:rsidR="00FA7CE4" w:rsidRPr="00A554EC" w:rsidRDefault="00FA7CE4" w:rsidP="00AF1859">
            <w:pPr>
              <w:suppressAutoHyphens/>
              <w:jc w:val="center"/>
              <w:rPr>
                <w:sz w:val="22"/>
                <w:szCs w:val="22"/>
              </w:rPr>
            </w:pPr>
            <w:bookmarkStart w:id="0" w:name="_GoBack"/>
            <w:bookmarkEnd w:id="0"/>
          </w:p>
        </w:tc>
        <w:tc>
          <w:tcPr>
            <w:tcW w:w="992" w:type="dxa"/>
            <w:shd w:val="clear" w:color="auto" w:fill="auto"/>
          </w:tcPr>
          <w:p w:rsidR="00FA7CE4" w:rsidRPr="00A554EC" w:rsidRDefault="00FA7CE4" w:rsidP="00AF1859">
            <w:pPr>
              <w:suppressAutoHyphens/>
              <w:jc w:val="center"/>
              <w:rPr>
                <w:sz w:val="22"/>
                <w:szCs w:val="22"/>
              </w:rPr>
            </w:pPr>
            <w:proofErr w:type="spellStart"/>
            <w:r w:rsidRPr="00A554EC">
              <w:rPr>
                <w:sz w:val="22"/>
                <w:szCs w:val="22"/>
              </w:rPr>
              <w:t>послуга</w:t>
            </w:r>
            <w:proofErr w:type="spellEnd"/>
          </w:p>
        </w:tc>
        <w:tc>
          <w:tcPr>
            <w:tcW w:w="992" w:type="dxa"/>
            <w:shd w:val="clear" w:color="auto" w:fill="auto"/>
          </w:tcPr>
          <w:p w:rsidR="00FA7CE4" w:rsidRPr="00A554EC" w:rsidRDefault="00FA7CE4" w:rsidP="00AF1859">
            <w:pPr>
              <w:suppressAutoHyphens/>
              <w:jc w:val="center"/>
              <w:rPr>
                <w:sz w:val="22"/>
                <w:szCs w:val="22"/>
              </w:rPr>
            </w:pPr>
            <w:r w:rsidRPr="00A554EC">
              <w:rPr>
                <w:sz w:val="22"/>
                <w:szCs w:val="22"/>
              </w:rPr>
              <w:t>48</w:t>
            </w:r>
          </w:p>
        </w:tc>
        <w:tc>
          <w:tcPr>
            <w:tcW w:w="5837" w:type="dxa"/>
            <w:shd w:val="clear" w:color="auto" w:fill="auto"/>
          </w:tcPr>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загальної</w:t>
            </w:r>
            <w:proofErr w:type="spellEnd"/>
            <w:r w:rsidRPr="00A554EC">
              <w:rPr>
                <w:sz w:val="22"/>
                <w:szCs w:val="22"/>
              </w:rPr>
              <w:t xml:space="preserve"> </w:t>
            </w:r>
            <w:proofErr w:type="spellStart"/>
            <w:r w:rsidRPr="00A554EC">
              <w:rPr>
                <w:sz w:val="22"/>
                <w:szCs w:val="22"/>
              </w:rPr>
              <w:t>кількості</w:t>
            </w:r>
            <w:proofErr w:type="spellEnd"/>
            <w:r w:rsidRPr="00A554EC">
              <w:rPr>
                <w:sz w:val="22"/>
                <w:szCs w:val="22"/>
              </w:rPr>
              <w:t xml:space="preserve"> </w:t>
            </w:r>
            <w:proofErr w:type="spellStart"/>
            <w:r w:rsidRPr="00A554EC">
              <w:rPr>
                <w:sz w:val="22"/>
                <w:szCs w:val="22"/>
              </w:rPr>
              <w:t>мезофільних</w:t>
            </w:r>
            <w:proofErr w:type="spellEnd"/>
            <w:r w:rsidRPr="00A554EC">
              <w:rPr>
                <w:sz w:val="22"/>
                <w:szCs w:val="22"/>
              </w:rPr>
              <w:t xml:space="preserve"> </w:t>
            </w:r>
            <w:proofErr w:type="spellStart"/>
            <w:r w:rsidRPr="00A554EC">
              <w:rPr>
                <w:sz w:val="22"/>
                <w:szCs w:val="22"/>
              </w:rPr>
              <w:t>анаеробних</w:t>
            </w:r>
            <w:proofErr w:type="spellEnd"/>
            <w:r w:rsidRPr="00A554EC">
              <w:rPr>
                <w:sz w:val="22"/>
                <w:szCs w:val="22"/>
              </w:rPr>
              <w:t xml:space="preserve"> та факультативно-</w:t>
            </w:r>
            <w:proofErr w:type="spellStart"/>
            <w:r w:rsidRPr="00A554EC">
              <w:rPr>
                <w:sz w:val="22"/>
                <w:szCs w:val="22"/>
              </w:rPr>
              <w:t>анаеробних</w:t>
            </w:r>
            <w:proofErr w:type="spellEnd"/>
            <w:r w:rsidRPr="00A554EC">
              <w:rPr>
                <w:sz w:val="22"/>
                <w:szCs w:val="22"/>
              </w:rPr>
              <w:t xml:space="preserve"> </w:t>
            </w:r>
            <w:proofErr w:type="spellStart"/>
            <w:r w:rsidRPr="00A554EC">
              <w:rPr>
                <w:sz w:val="22"/>
                <w:szCs w:val="22"/>
              </w:rPr>
              <w:t>мікроорганізмів</w:t>
            </w:r>
            <w:proofErr w:type="spellEnd"/>
            <w:r w:rsidRPr="00A554EC">
              <w:rPr>
                <w:sz w:val="22"/>
                <w:szCs w:val="22"/>
              </w:rPr>
              <w:t xml:space="preserve"> в </w:t>
            </w:r>
            <w:proofErr w:type="spellStart"/>
            <w:r w:rsidRPr="00A554EC">
              <w:rPr>
                <w:sz w:val="22"/>
                <w:szCs w:val="22"/>
              </w:rPr>
              <w:t>об’єктах</w:t>
            </w:r>
            <w:proofErr w:type="spellEnd"/>
            <w:r w:rsidRPr="00A554EC">
              <w:rPr>
                <w:sz w:val="22"/>
                <w:szCs w:val="22"/>
              </w:rPr>
              <w:t xml:space="preserve"> </w:t>
            </w:r>
            <w:proofErr w:type="spellStart"/>
            <w:r w:rsidRPr="00A554EC">
              <w:rPr>
                <w:sz w:val="22"/>
                <w:szCs w:val="22"/>
              </w:rPr>
              <w:t>середовища</w:t>
            </w:r>
            <w:proofErr w:type="spellEnd"/>
            <w:r w:rsidRPr="00A554EC">
              <w:rPr>
                <w:sz w:val="22"/>
                <w:szCs w:val="22"/>
              </w:rPr>
              <w:t xml:space="preserve"> </w:t>
            </w:r>
            <w:proofErr w:type="spellStart"/>
            <w:r w:rsidRPr="00A554EC">
              <w:rPr>
                <w:sz w:val="22"/>
                <w:szCs w:val="22"/>
              </w:rPr>
              <w:t>життєдіяльності</w:t>
            </w:r>
            <w:proofErr w:type="spellEnd"/>
            <w:r w:rsidRPr="00A554EC">
              <w:rPr>
                <w:sz w:val="22"/>
                <w:szCs w:val="22"/>
              </w:rPr>
              <w:t xml:space="preserve"> </w:t>
            </w:r>
            <w:proofErr w:type="spellStart"/>
            <w:r w:rsidRPr="00A554EC">
              <w:rPr>
                <w:sz w:val="22"/>
                <w:szCs w:val="22"/>
              </w:rPr>
              <w:t>людини</w:t>
            </w:r>
            <w:proofErr w:type="spellEnd"/>
          </w:p>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колі-індексу</w:t>
            </w:r>
            <w:proofErr w:type="spellEnd"/>
            <w:r w:rsidRPr="00A554EC">
              <w:rPr>
                <w:sz w:val="22"/>
                <w:szCs w:val="22"/>
              </w:rPr>
              <w:t xml:space="preserve"> води та </w:t>
            </w:r>
            <w:proofErr w:type="spellStart"/>
            <w:r w:rsidRPr="00A554EC">
              <w:rPr>
                <w:sz w:val="22"/>
                <w:szCs w:val="22"/>
              </w:rPr>
              <w:t>бактерій</w:t>
            </w:r>
            <w:proofErr w:type="spellEnd"/>
            <w:r w:rsidRPr="00A554EC">
              <w:rPr>
                <w:sz w:val="22"/>
                <w:szCs w:val="22"/>
              </w:rPr>
              <w:t xml:space="preserve"> </w:t>
            </w:r>
            <w:proofErr w:type="spellStart"/>
            <w:r w:rsidRPr="00A554EC">
              <w:rPr>
                <w:sz w:val="22"/>
                <w:szCs w:val="22"/>
              </w:rPr>
              <w:t>групи</w:t>
            </w:r>
            <w:proofErr w:type="spellEnd"/>
            <w:r w:rsidRPr="00A554EC">
              <w:rPr>
                <w:sz w:val="22"/>
                <w:szCs w:val="22"/>
              </w:rPr>
              <w:t xml:space="preserve"> </w:t>
            </w:r>
            <w:proofErr w:type="spellStart"/>
            <w:r w:rsidRPr="00A554EC">
              <w:rPr>
                <w:sz w:val="22"/>
                <w:szCs w:val="22"/>
              </w:rPr>
              <w:t>кишкової</w:t>
            </w:r>
            <w:proofErr w:type="spellEnd"/>
            <w:r w:rsidRPr="00A554EC">
              <w:rPr>
                <w:sz w:val="22"/>
                <w:szCs w:val="22"/>
              </w:rPr>
              <w:t xml:space="preserve"> </w:t>
            </w:r>
            <w:proofErr w:type="spellStart"/>
            <w:r w:rsidRPr="00A554EC">
              <w:rPr>
                <w:sz w:val="22"/>
                <w:szCs w:val="22"/>
              </w:rPr>
              <w:t>палички</w:t>
            </w:r>
            <w:proofErr w:type="spellEnd"/>
            <w:r w:rsidRPr="00A554EC">
              <w:rPr>
                <w:sz w:val="22"/>
                <w:szCs w:val="22"/>
              </w:rPr>
              <w:t xml:space="preserve"> в </w:t>
            </w:r>
            <w:proofErr w:type="spellStart"/>
            <w:r w:rsidRPr="00A554EC">
              <w:rPr>
                <w:sz w:val="22"/>
                <w:szCs w:val="22"/>
              </w:rPr>
              <w:t>харчових</w:t>
            </w:r>
            <w:proofErr w:type="spellEnd"/>
            <w:r w:rsidRPr="00A554EC">
              <w:rPr>
                <w:sz w:val="22"/>
                <w:szCs w:val="22"/>
              </w:rPr>
              <w:t xml:space="preserve"> продуктах, </w:t>
            </w:r>
            <w:proofErr w:type="spellStart"/>
            <w:r w:rsidRPr="00A554EC">
              <w:rPr>
                <w:sz w:val="22"/>
                <w:szCs w:val="22"/>
              </w:rPr>
              <w:t>продовольчій</w:t>
            </w:r>
            <w:proofErr w:type="spellEnd"/>
            <w:r w:rsidRPr="00A554EC">
              <w:rPr>
                <w:sz w:val="22"/>
                <w:szCs w:val="22"/>
              </w:rPr>
              <w:t xml:space="preserve"> </w:t>
            </w:r>
            <w:proofErr w:type="spellStart"/>
            <w:r w:rsidRPr="00A554EC">
              <w:rPr>
                <w:sz w:val="22"/>
                <w:szCs w:val="22"/>
              </w:rPr>
              <w:t>сировині</w:t>
            </w:r>
            <w:proofErr w:type="spellEnd"/>
            <w:r w:rsidRPr="00A554EC">
              <w:rPr>
                <w:sz w:val="22"/>
                <w:szCs w:val="22"/>
              </w:rPr>
              <w:t xml:space="preserve"> та </w:t>
            </w:r>
            <w:proofErr w:type="spellStart"/>
            <w:r w:rsidRPr="00A554EC">
              <w:rPr>
                <w:sz w:val="22"/>
                <w:szCs w:val="22"/>
              </w:rPr>
              <w:t>інших</w:t>
            </w:r>
            <w:proofErr w:type="spellEnd"/>
            <w:r w:rsidRPr="00A554EC">
              <w:rPr>
                <w:sz w:val="22"/>
                <w:szCs w:val="22"/>
              </w:rPr>
              <w:t xml:space="preserve"> </w:t>
            </w:r>
            <w:proofErr w:type="spellStart"/>
            <w:r w:rsidRPr="00A554EC">
              <w:rPr>
                <w:sz w:val="22"/>
                <w:szCs w:val="22"/>
              </w:rPr>
              <w:t>об’єктах</w:t>
            </w:r>
            <w:proofErr w:type="spellEnd"/>
            <w:r w:rsidRPr="00A554EC">
              <w:rPr>
                <w:sz w:val="22"/>
                <w:szCs w:val="22"/>
              </w:rPr>
              <w:t xml:space="preserve"> </w:t>
            </w:r>
            <w:proofErr w:type="spellStart"/>
            <w:r w:rsidRPr="00A554EC">
              <w:rPr>
                <w:sz w:val="22"/>
                <w:szCs w:val="22"/>
              </w:rPr>
              <w:t>життєдіяльності</w:t>
            </w:r>
            <w:proofErr w:type="spellEnd"/>
            <w:r w:rsidRPr="00A554EC">
              <w:rPr>
                <w:sz w:val="22"/>
                <w:szCs w:val="22"/>
              </w:rPr>
              <w:t xml:space="preserve"> </w:t>
            </w:r>
            <w:proofErr w:type="spellStart"/>
            <w:r w:rsidRPr="00A554EC">
              <w:rPr>
                <w:sz w:val="22"/>
                <w:szCs w:val="22"/>
              </w:rPr>
              <w:t>людини</w:t>
            </w:r>
            <w:proofErr w:type="spellEnd"/>
          </w:p>
          <w:p w:rsidR="00FA7CE4" w:rsidRPr="00A554EC" w:rsidRDefault="00FA7CE4" w:rsidP="00AF1859">
            <w:pPr>
              <w:suppressAutoHyphens/>
              <w:ind w:right="86"/>
              <w:jc w:val="both"/>
              <w:rPr>
                <w:sz w:val="22"/>
                <w:szCs w:val="22"/>
              </w:rPr>
            </w:pPr>
            <w:r w:rsidRPr="00A554EC">
              <w:rPr>
                <w:sz w:val="22"/>
                <w:szCs w:val="22"/>
              </w:rPr>
              <w:t>-</w:t>
            </w:r>
            <w:proofErr w:type="spellStart"/>
            <w:r w:rsidRPr="00A554EC">
              <w:rPr>
                <w:sz w:val="22"/>
                <w:szCs w:val="22"/>
              </w:rPr>
              <w:t>Визначення</w:t>
            </w:r>
            <w:proofErr w:type="spellEnd"/>
            <w:r w:rsidRPr="00A554EC">
              <w:rPr>
                <w:sz w:val="22"/>
                <w:szCs w:val="22"/>
              </w:rPr>
              <w:t xml:space="preserve"> </w:t>
            </w:r>
            <w:proofErr w:type="spellStart"/>
            <w:r w:rsidRPr="00A554EC">
              <w:rPr>
                <w:sz w:val="22"/>
                <w:szCs w:val="22"/>
              </w:rPr>
              <w:t>бактерій</w:t>
            </w:r>
            <w:proofErr w:type="spellEnd"/>
            <w:r w:rsidRPr="00A554EC">
              <w:rPr>
                <w:sz w:val="22"/>
                <w:szCs w:val="22"/>
              </w:rPr>
              <w:t xml:space="preserve"> род. </w:t>
            </w:r>
            <w:proofErr w:type="spellStart"/>
            <w:r w:rsidRPr="00A554EC">
              <w:rPr>
                <w:sz w:val="22"/>
                <w:szCs w:val="22"/>
                <w:lang w:val="en-US"/>
              </w:rPr>
              <w:t>Enterobacteriaceae</w:t>
            </w:r>
            <w:proofErr w:type="spellEnd"/>
            <w:r w:rsidRPr="00A554EC">
              <w:rPr>
                <w:sz w:val="22"/>
                <w:szCs w:val="22"/>
              </w:rPr>
              <w:t xml:space="preserve">, </w:t>
            </w:r>
            <w:proofErr w:type="spellStart"/>
            <w:r w:rsidRPr="00A554EC">
              <w:rPr>
                <w:sz w:val="22"/>
                <w:szCs w:val="22"/>
              </w:rPr>
              <w:t>сальмонел</w:t>
            </w:r>
            <w:proofErr w:type="spellEnd"/>
            <w:r w:rsidRPr="00A554EC">
              <w:rPr>
                <w:sz w:val="22"/>
                <w:szCs w:val="22"/>
              </w:rPr>
              <w:t xml:space="preserve">, </w:t>
            </w:r>
            <w:proofErr w:type="spellStart"/>
            <w:r w:rsidRPr="00A554EC">
              <w:rPr>
                <w:sz w:val="22"/>
                <w:szCs w:val="22"/>
              </w:rPr>
              <w:t>пат.вібріонів</w:t>
            </w:r>
            <w:proofErr w:type="spellEnd"/>
            <w:r w:rsidRPr="00A554EC">
              <w:rPr>
                <w:sz w:val="22"/>
                <w:szCs w:val="22"/>
              </w:rPr>
              <w:t xml:space="preserve">, </w:t>
            </w:r>
            <w:proofErr w:type="spellStart"/>
            <w:r w:rsidRPr="00A554EC">
              <w:rPr>
                <w:sz w:val="22"/>
                <w:szCs w:val="22"/>
              </w:rPr>
              <w:t>ентерококів</w:t>
            </w:r>
            <w:proofErr w:type="spellEnd"/>
            <w:r w:rsidRPr="00A554EC">
              <w:rPr>
                <w:sz w:val="22"/>
                <w:szCs w:val="22"/>
              </w:rPr>
              <w:t xml:space="preserve">, золотистого </w:t>
            </w:r>
            <w:proofErr w:type="spellStart"/>
            <w:r w:rsidRPr="00A554EC">
              <w:rPr>
                <w:sz w:val="22"/>
                <w:szCs w:val="22"/>
              </w:rPr>
              <w:t>стафілокока</w:t>
            </w:r>
            <w:proofErr w:type="spellEnd"/>
            <w:r w:rsidRPr="00A554EC">
              <w:rPr>
                <w:sz w:val="22"/>
                <w:szCs w:val="22"/>
              </w:rPr>
              <w:t xml:space="preserve">, </w:t>
            </w:r>
            <w:r w:rsidRPr="00A554EC">
              <w:rPr>
                <w:sz w:val="22"/>
                <w:szCs w:val="22"/>
                <w:lang w:val="en-US"/>
              </w:rPr>
              <w:t>c</w:t>
            </w:r>
            <w:proofErr w:type="spellStart"/>
            <w:r w:rsidRPr="00A554EC">
              <w:rPr>
                <w:sz w:val="22"/>
                <w:szCs w:val="22"/>
              </w:rPr>
              <w:t>иньог.пал,протею,сульф.клостр</w:t>
            </w:r>
            <w:proofErr w:type="spellEnd"/>
            <w:r w:rsidRPr="00A554EC">
              <w:rPr>
                <w:sz w:val="22"/>
                <w:szCs w:val="22"/>
              </w:rPr>
              <w:t xml:space="preserve">, </w:t>
            </w:r>
            <w:r w:rsidRPr="00A554EC">
              <w:rPr>
                <w:sz w:val="22"/>
                <w:szCs w:val="22"/>
                <w:lang w:val="en-US"/>
              </w:rPr>
              <w:t>Bacillus</w:t>
            </w:r>
            <w:r w:rsidRPr="00A554EC">
              <w:rPr>
                <w:sz w:val="22"/>
                <w:szCs w:val="22"/>
              </w:rPr>
              <w:t xml:space="preserve"> </w:t>
            </w:r>
            <w:r w:rsidRPr="00A554EC">
              <w:rPr>
                <w:sz w:val="22"/>
                <w:szCs w:val="22"/>
                <w:lang w:val="en-US"/>
              </w:rPr>
              <w:t>cereus</w:t>
            </w:r>
            <w:r w:rsidRPr="00A554EC">
              <w:rPr>
                <w:sz w:val="22"/>
                <w:szCs w:val="22"/>
              </w:rPr>
              <w:t xml:space="preserve">, </w:t>
            </w:r>
            <w:proofErr w:type="spellStart"/>
            <w:r w:rsidRPr="00A554EC">
              <w:rPr>
                <w:sz w:val="22"/>
                <w:szCs w:val="22"/>
              </w:rPr>
              <w:t>бак.роду</w:t>
            </w:r>
            <w:proofErr w:type="spellEnd"/>
            <w:r w:rsidRPr="00A554EC">
              <w:rPr>
                <w:sz w:val="22"/>
                <w:szCs w:val="22"/>
              </w:rPr>
              <w:t xml:space="preserve"> </w:t>
            </w:r>
            <w:proofErr w:type="spellStart"/>
            <w:r w:rsidRPr="00A554EC">
              <w:rPr>
                <w:sz w:val="22"/>
                <w:szCs w:val="22"/>
              </w:rPr>
              <w:t>лейконосток</w:t>
            </w:r>
            <w:proofErr w:type="spellEnd"/>
            <w:r w:rsidRPr="00A554EC">
              <w:rPr>
                <w:sz w:val="22"/>
                <w:szCs w:val="22"/>
              </w:rPr>
              <w:t xml:space="preserve">, </w:t>
            </w:r>
            <w:proofErr w:type="spellStart"/>
            <w:r w:rsidRPr="00A554EC">
              <w:rPr>
                <w:sz w:val="22"/>
                <w:szCs w:val="22"/>
              </w:rPr>
              <w:t>легіонел</w:t>
            </w:r>
            <w:proofErr w:type="spellEnd"/>
            <w:r w:rsidRPr="00A554EC">
              <w:rPr>
                <w:sz w:val="22"/>
                <w:szCs w:val="22"/>
              </w:rPr>
              <w:t xml:space="preserve"> у </w:t>
            </w:r>
            <w:proofErr w:type="spellStart"/>
            <w:r w:rsidRPr="00A554EC">
              <w:rPr>
                <w:sz w:val="22"/>
                <w:szCs w:val="22"/>
              </w:rPr>
              <w:t>харч.прод</w:t>
            </w:r>
            <w:proofErr w:type="spellEnd"/>
            <w:r w:rsidRPr="00A554EC">
              <w:rPr>
                <w:sz w:val="22"/>
                <w:szCs w:val="22"/>
              </w:rPr>
              <w:t>.,</w:t>
            </w:r>
            <w:r>
              <w:rPr>
                <w:sz w:val="22"/>
                <w:szCs w:val="22"/>
                <w:lang w:val="uk-UA"/>
              </w:rPr>
              <w:t xml:space="preserve"> </w:t>
            </w:r>
            <w:proofErr w:type="spellStart"/>
            <w:r w:rsidRPr="00A554EC">
              <w:rPr>
                <w:sz w:val="22"/>
                <w:szCs w:val="22"/>
              </w:rPr>
              <w:t>прод.сировині</w:t>
            </w:r>
            <w:proofErr w:type="spellEnd"/>
            <w:r w:rsidRPr="00A554EC">
              <w:rPr>
                <w:sz w:val="22"/>
                <w:szCs w:val="22"/>
              </w:rPr>
              <w:t xml:space="preserve"> та </w:t>
            </w:r>
            <w:proofErr w:type="spellStart"/>
            <w:r w:rsidRPr="00A554EC">
              <w:rPr>
                <w:sz w:val="22"/>
                <w:szCs w:val="22"/>
              </w:rPr>
              <w:t>інших</w:t>
            </w:r>
            <w:proofErr w:type="spellEnd"/>
            <w:r w:rsidRPr="00A554EC">
              <w:rPr>
                <w:sz w:val="22"/>
                <w:szCs w:val="22"/>
              </w:rPr>
              <w:t xml:space="preserve"> </w:t>
            </w:r>
            <w:proofErr w:type="spellStart"/>
            <w:r w:rsidRPr="00A554EC">
              <w:rPr>
                <w:sz w:val="22"/>
                <w:szCs w:val="22"/>
              </w:rPr>
              <w:t>обєктах</w:t>
            </w:r>
            <w:proofErr w:type="spellEnd"/>
            <w:r w:rsidRPr="00A554EC">
              <w:rPr>
                <w:sz w:val="22"/>
                <w:szCs w:val="22"/>
              </w:rPr>
              <w:t xml:space="preserve"> </w:t>
            </w:r>
            <w:proofErr w:type="spellStart"/>
            <w:r w:rsidRPr="00A554EC">
              <w:rPr>
                <w:sz w:val="22"/>
                <w:szCs w:val="22"/>
              </w:rPr>
              <w:t>середовища</w:t>
            </w:r>
            <w:proofErr w:type="spellEnd"/>
            <w:r w:rsidRPr="00A554EC">
              <w:rPr>
                <w:sz w:val="22"/>
                <w:szCs w:val="22"/>
              </w:rPr>
              <w:t xml:space="preserve"> </w:t>
            </w:r>
            <w:proofErr w:type="spellStart"/>
            <w:r w:rsidRPr="00A554EC">
              <w:rPr>
                <w:sz w:val="22"/>
                <w:szCs w:val="22"/>
              </w:rPr>
              <w:t>життєдіяльності</w:t>
            </w:r>
            <w:proofErr w:type="spellEnd"/>
            <w:r w:rsidRPr="00A554EC">
              <w:rPr>
                <w:sz w:val="22"/>
                <w:szCs w:val="22"/>
              </w:rPr>
              <w:t xml:space="preserve"> </w:t>
            </w:r>
            <w:proofErr w:type="spellStart"/>
            <w:r w:rsidRPr="00A554EC">
              <w:rPr>
                <w:sz w:val="22"/>
                <w:szCs w:val="22"/>
              </w:rPr>
              <w:t>людини</w:t>
            </w:r>
            <w:proofErr w:type="spellEnd"/>
          </w:p>
        </w:tc>
      </w:tr>
    </w:tbl>
    <w:p w:rsidR="006F428D" w:rsidRPr="00FA7CE4" w:rsidRDefault="006F428D" w:rsidP="00A12478">
      <w:pPr>
        <w:rPr>
          <w:b/>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29" w:rsidRDefault="001D5329">
      <w:r>
        <w:separator/>
      </w:r>
    </w:p>
  </w:endnote>
  <w:endnote w:type="continuationSeparator" w:id="0">
    <w:p w:rsidR="001D5329" w:rsidRDefault="001D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C5C1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16B8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17A04">
      <w:rPr>
        <w:sz w:val="20"/>
        <w:szCs w:val="20"/>
        <w:lang w:val="uk-UA"/>
      </w:rPr>
      <w:t xml:space="preserve">Лабораторне дослідження питної води з </w:t>
    </w:r>
    <w:proofErr w:type="spellStart"/>
    <w:r w:rsidR="00D17A04">
      <w:rPr>
        <w:sz w:val="20"/>
        <w:szCs w:val="20"/>
        <w:lang w:val="uk-UA"/>
      </w:rPr>
      <w:t>водозаправних</w:t>
    </w:r>
    <w:proofErr w:type="spellEnd"/>
    <w:r w:rsidR="00D17A04">
      <w:rPr>
        <w:sz w:val="20"/>
        <w:szCs w:val="20"/>
        <w:lang w:val="uk-UA"/>
      </w:rPr>
      <w:t xml:space="preserve"> спецмашин, хімічний та бактеріальний аналіз . Отримання паспортів на ємкість з питною водою, код ДК 021:2015 - 85140000-2 - Послуги у сфері охорони здоров’я різні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A7CE4">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A7CE4">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29" w:rsidRDefault="001D5329">
      <w:r>
        <w:separator/>
      </w:r>
    </w:p>
  </w:footnote>
  <w:footnote w:type="continuationSeparator" w:id="0">
    <w:p w:rsidR="001D5329" w:rsidRDefault="001D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C5C10"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AE81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5329"/>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6980"/>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5C10"/>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074"/>
    <w:rsid w:val="00D07D0B"/>
    <w:rsid w:val="00D10D45"/>
    <w:rsid w:val="00D127C8"/>
    <w:rsid w:val="00D13325"/>
    <w:rsid w:val="00D14F9F"/>
    <w:rsid w:val="00D15CCC"/>
    <w:rsid w:val="00D17A04"/>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A7CE4"/>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7C542"/>
  <w15:chartTrackingRefBased/>
  <w15:docId w15:val="{E71C12B5-25B4-4104-B62B-5172FA16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FA7CE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B0DB-9A06-4CA6-A7E0-CAC1541F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2390</Words>
  <Characters>1363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2023-12-28T15:06:00Z</dcterms:created>
  <dcterms:modified xsi:type="dcterms:W3CDTF">2023-12-28T15:17:00Z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