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7B0462" w:rsidP="006926A0">
            <w:pPr>
              <w:pStyle w:val="a3"/>
              <w:widowControl w:val="0"/>
              <w:rPr>
                <w:szCs w:val="17"/>
                <w:lang w:val="uk-UA"/>
              </w:rPr>
            </w:pPr>
            <w:r>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ічного плану закупівель</w:t>
            </w:r>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212515">
        <w:tc>
          <w:tcPr>
            <w:tcW w:w="487" w:type="pct"/>
          </w:tcPr>
          <w:p w:rsidR="00A76484" w:rsidRPr="00CF3030" w:rsidRDefault="00EB759C" w:rsidP="00CF3030">
            <w:pPr>
              <w:widowControl w:val="0"/>
              <w:ind w:right="-11"/>
              <w:jc w:val="center"/>
              <w:rPr>
                <w:sz w:val="22"/>
                <w:szCs w:val="22"/>
                <w:lang w:val="uk-UA" w:eastAsia="uk-UA"/>
              </w:rPr>
            </w:pPr>
            <w:r w:rsidRPr="00CF3030">
              <w:rPr>
                <w:sz w:val="22"/>
                <w:szCs w:val="22"/>
                <w:lang w:val="uk-UA"/>
              </w:rPr>
              <w:t xml:space="preserve">20.07 </w:t>
            </w:r>
            <w:r w:rsidR="00BD6E95" w:rsidRPr="00CF3030">
              <w:rPr>
                <w:sz w:val="22"/>
                <w:szCs w:val="22"/>
                <w:lang w:val="uk-UA" w:eastAsia="uk-UA"/>
              </w:rPr>
              <w:t>(202</w:t>
            </w:r>
            <w:r w:rsidR="00CF3030" w:rsidRPr="00CF3030">
              <w:rPr>
                <w:sz w:val="22"/>
                <w:szCs w:val="22"/>
                <w:lang w:val="uk-UA" w:eastAsia="uk-UA"/>
              </w:rPr>
              <w:t>4</w:t>
            </w:r>
            <w:r w:rsidR="00A76484" w:rsidRPr="00CF3030">
              <w:rPr>
                <w:sz w:val="22"/>
                <w:szCs w:val="22"/>
                <w:lang w:val="uk-UA" w:eastAsia="uk-UA"/>
              </w:rPr>
              <w:t>)</w:t>
            </w:r>
          </w:p>
        </w:tc>
        <w:tc>
          <w:tcPr>
            <w:tcW w:w="1527" w:type="pct"/>
          </w:tcPr>
          <w:p w:rsidR="00A76484" w:rsidRPr="00CF3030" w:rsidRDefault="00EB759C" w:rsidP="00A12478">
            <w:pPr>
              <w:widowControl w:val="0"/>
              <w:rPr>
                <w:bCs/>
                <w:sz w:val="22"/>
                <w:szCs w:val="22"/>
                <w:lang w:val="uk-UA"/>
              </w:rPr>
            </w:pPr>
            <w:r w:rsidRPr="00CF3030">
              <w:rPr>
                <w:b/>
                <w:sz w:val="22"/>
                <w:szCs w:val="22"/>
                <w:lang w:val="uk-UA"/>
              </w:rPr>
              <w:t xml:space="preserve"> Обов’язкове страхування цивільної відповідальності  громадян України, що мають у власності чи іншому законному володінні зброю, за шкоду, яка може бути заподіяна третій особі або її майну внаслідок володіння, зберігання чи використання цієї зброї, код ДК 021:2015 - 66510000-8 - Страхові послуги </w:t>
            </w:r>
          </w:p>
        </w:tc>
        <w:tc>
          <w:tcPr>
            <w:tcW w:w="947" w:type="pct"/>
          </w:tcPr>
          <w:p w:rsidR="00A76484" w:rsidRPr="00CF3030" w:rsidRDefault="00EB759C" w:rsidP="002D4D30">
            <w:pPr>
              <w:widowControl w:val="0"/>
              <w:jc w:val="center"/>
              <w:rPr>
                <w:sz w:val="22"/>
                <w:szCs w:val="22"/>
                <w:lang w:val="uk-UA"/>
              </w:rPr>
            </w:pPr>
            <w:r w:rsidRPr="00CF3030">
              <w:rPr>
                <w:sz w:val="22"/>
                <w:szCs w:val="22"/>
                <w:lang w:val="uk-UA"/>
              </w:rPr>
              <w:t>4 131,00</w:t>
            </w:r>
            <w:r w:rsidR="00A76484" w:rsidRPr="00CF3030">
              <w:rPr>
                <w:sz w:val="22"/>
                <w:szCs w:val="22"/>
                <w:lang w:val="uk-UA"/>
              </w:rPr>
              <w:t xml:space="preserve"> </w:t>
            </w:r>
          </w:p>
          <w:p w:rsidR="00A76484" w:rsidRPr="00CF3030" w:rsidRDefault="00A76484" w:rsidP="00CF3030">
            <w:pPr>
              <w:widowControl w:val="0"/>
              <w:jc w:val="center"/>
              <w:rPr>
                <w:sz w:val="22"/>
                <w:szCs w:val="22"/>
                <w:lang w:val="uk-UA"/>
              </w:rPr>
            </w:pPr>
            <w:r w:rsidRPr="00CF3030">
              <w:rPr>
                <w:sz w:val="22"/>
                <w:szCs w:val="22"/>
                <w:lang w:val="uk-UA"/>
              </w:rPr>
              <w:t xml:space="preserve">грн. </w:t>
            </w:r>
            <w:r w:rsidR="00CF3030" w:rsidRPr="00CF3030">
              <w:rPr>
                <w:sz w:val="22"/>
                <w:szCs w:val="22"/>
                <w:lang w:val="uk-UA"/>
              </w:rPr>
              <w:t>без</w:t>
            </w:r>
            <w:r w:rsidRPr="00CF3030">
              <w:rPr>
                <w:sz w:val="22"/>
                <w:szCs w:val="22"/>
                <w:lang w:val="uk-UA"/>
              </w:rPr>
              <w:t xml:space="preserve"> ПДВ</w:t>
            </w:r>
          </w:p>
        </w:tc>
        <w:tc>
          <w:tcPr>
            <w:tcW w:w="1102" w:type="pct"/>
          </w:tcPr>
          <w:p w:rsidR="00A76484" w:rsidRPr="00CF3030" w:rsidRDefault="00EB759C" w:rsidP="002D4D30">
            <w:pPr>
              <w:widowControl w:val="0"/>
              <w:jc w:val="center"/>
              <w:rPr>
                <w:sz w:val="22"/>
                <w:szCs w:val="22"/>
                <w:lang w:val="uk-UA"/>
              </w:rPr>
            </w:pPr>
            <w:r w:rsidRPr="00CF3030">
              <w:rPr>
                <w:sz w:val="22"/>
                <w:szCs w:val="22"/>
                <w:lang w:val="uk-UA"/>
              </w:rPr>
              <w:t>4 131,00</w:t>
            </w:r>
          </w:p>
          <w:p w:rsidR="00A76484" w:rsidRPr="00CF3030" w:rsidRDefault="00A76484" w:rsidP="002D4D30">
            <w:pPr>
              <w:widowControl w:val="0"/>
              <w:jc w:val="center"/>
              <w:rPr>
                <w:sz w:val="22"/>
                <w:szCs w:val="22"/>
                <w:lang w:val="uk-UA"/>
              </w:rPr>
            </w:pPr>
            <w:r w:rsidRPr="00CF3030">
              <w:rPr>
                <w:sz w:val="22"/>
                <w:szCs w:val="22"/>
                <w:lang w:val="uk-UA"/>
              </w:rPr>
              <w:t xml:space="preserve">грн. без ПДВ </w:t>
            </w:r>
          </w:p>
        </w:tc>
        <w:tc>
          <w:tcPr>
            <w:tcW w:w="936" w:type="pct"/>
          </w:tcPr>
          <w:p w:rsidR="00A76484" w:rsidRPr="007101A5" w:rsidRDefault="001A20C7" w:rsidP="002D4D30">
            <w:pPr>
              <w:widowControl w:val="0"/>
              <w:jc w:val="center"/>
              <w:rPr>
                <w:color w:val="0000FF"/>
                <w:sz w:val="22"/>
                <w:szCs w:val="22"/>
                <w:lang w:val="uk-UA"/>
              </w:rPr>
            </w:pPr>
            <w:hyperlink r:id="rId9" w:history="1">
              <w:r w:rsidRPr="00963C09">
                <w:rPr>
                  <w:rStyle w:val="ae"/>
                  <w:u w:val="none"/>
                  <w:shd w:val="clear" w:color="auto" w:fill="FFFFFF"/>
                </w:rPr>
                <w:t>UA-2024-02-13-012792-a</w:t>
              </w:r>
            </w:hyperlink>
            <w:bookmarkStart w:id="0" w:name="_GoBack"/>
            <w:bookmarkEnd w:id="0"/>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9975"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6856"/>
      </w:tblGrid>
      <w:tr w:rsidR="006F428D" w:rsidRPr="007101A5" w:rsidTr="00CF3030">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технічних та якісних характеристик предмета закупівлі</w:t>
            </w:r>
          </w:p>
        </w:tc>
        <w:tc>
          <w:tcPr>
            <w:tcW w:w="685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CF3030" w:rsidRPr="00801D87" w:rsidRDefault="00CF3030" w:rsidP="00CF3030">
            <w:pPr>
              <w:widowControl w:val="0"/>
              <w:ind w:right="113" w:firstLine="368"/>
              <w:jc w:val="both"/>
              <w:rPr>
                <w:sz w:val="22"/>
                <w:szCs w:val="22"/>
              </w:rPr>
            </w:pPr>
            <w:r w:rsidRPr="00801D87">
              <w:rPr>
                <w:sz w:val="22"/>
                <w:szCs w:val="22"/>
              </w:rPr>
              <w:t>Визначення очікуваної вартості здійснено на підставі Положення про порядок визначення очікуваної вартості предмета закупівлі, затвердженого наказом Генерального директора від 17.05.2022 № 50-06-1, методом розрахунку очікуваної товарів/послуг, щодо яких проводиться державне регулювання цін і тарифів.</w:t>
            </w:r>
          </w:p>
          <w:p w:rsidR="00CF3030" w:rsidRPr="00801D87" w:rsidRDefault="00CF3030" w:rsidP="00CF3030">
            <w:pPr>
              <w:widowControl w:val="0"/>
              <w:ind w:right="113" w:firstLine="368"/>
              <w:jc w:val="both"/>
              <w:rPr>
                <w:sz w:val="22"/>
                <w:szCs w:val="22"/>
              </w:rPr>
            </w:pPr>
            <w:r w:rsidRPr="00801D87">
              <w:rPr>
                <w:sz w:val="22"/>
                <w:szCs w:val="22"/>
              </w:rPr>
              <w:t>Страховий тариф визначається відповідно до типового договору обов’язкового страхування цивільної відповідальності громадян України, що мають у власності чи іншому законному володінні зброю, за шкоду, яка може бути заподіяна третій особі або її майну внаслідок володіння, зберігання чи використання цієї зброї, затвердженого Постановою Кабінету Міністрів України від 29 березня 2002 року №</w:t>
            </w:r>
            <w:r w:rsidRPr="00CF3030">
              <w:rPr>
                <w:sz w:val="22"/>
                <w:szCs w:val="22"/>
              </w:rPr>
              <w:t xml:space="preserve"> </w:t>
            </w:r>
            <w:r w:rsidRPr="00801D87">
              <w:rPr>
                <w:sz w:val="22"/>
                <w:szCs w:val="22"/>
              </w:rPr>
              <w:t>402 п1.5. Страховий тариф за цим договором визначається виходячи з розміру одного неоподатковуваного мінімуму доходів громадян і становить 17 (сімнадцять) гривень.</w:t>
            </w:r>
          </w:p>
          <w:p w:rsidR="00CF3030" w:rsidRPr="00801D87" w:rsidRDefault="00CF3030" w:rsidP="00CF3030">
            <w:pPr>
              <w:widowControl w:val="0"/>
              <w:ind w:right="113" w:firstLine="358"/>
              <w:jc w:val="both"/>
              <w:rPr>
                <w:b/>
                <w:sz w:val="22"/>
                <w:szCs w:val="22"/>
              </w:rPr>
            </w:pPr>
            <w:r w:rsidRPr="00801D87">
              <w:rPr>
                <w:b/>
                <w:sz w:val="22"/>
                <w:szCs w:val="22"/>
              </w:rPr>
              <w:t>Розрахунок страхового тарифу (загального):</w:t>
            </w:r>
          </w:p>
          <w:p w:rsidR="006F428D" w:rsidRPr="007101A5" w:rsidRDefault="00CF3030" w:rsidP="00CF3030">
            <w:pPr>
              <w:ind w:right="113"/>
              <w:rPr>
                <w:i/>
                <w:lang w:val="uk-UA"/>
              </w:rPr>
            </w:pPr>
            <w:r w:rsidRPr="00801D87">
              <w:rPr>
                <w:sz w:val="22"/>
                <w:szCs w:val="22"/>
              </w:rPr>
              <w:t>Страховий тариф (загальний) = кількість працівників *неоподатковуваний мінімум доходів громадян (НМДГ)*кількість років (81*17*3=4131,00)</w:t>
            </w:r>
          </w:p>
        </w:tc>
      </w:tr>
      <w:tr w:rsidR="006F428D" w:rsidRPr="007101A5" w:rsidTr="00CF3030">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lastRenderedPageBreak/>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очікуваної вартості предмета закупівлі</w:t>
            </w:r>
          </w:p>
        </w:tc>
        <w:tc>
          <w:tcPr>
            <w:tcW w:w="685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CF3030" w:rsidP="00CF3030">
            <w:pPr>
              <w:ind w:right="113"/>
              <w:jc w:val="both"/>
              <w:rPr>
                <w:i/>
                <w:lang w:val="uk-UA"/>
              </w:rPr>
            </w:pPr>
            <w:r w:rsidRPr="00E96390">
              <w:rPr>
                <w:sz w:val="22"/>
                <w:szCs w:val="22"/>
              </w:rPr>
              <w:t>Технічні та якісні характеристики предмету закупівлі визначені Законом України від 18.11.2021 року № 1909-ІХ «Про страхування» та Постановою Кабінету Міністрів України від 29 березня 2002 № 402 «Про затвердження Порядку і правил проведення обов’язкового страхування цивільної відповідальності громадян України, що мають у власності чи іншому законному володінні зброю, за шкоду, яка може бути заподіяна третій особі або її майну внаслідок володіння, зберігання чи використання цієї зброї.</w:t>
            </w:r>
          </w:p>
        </w:tc>
      </w:tr>
    </w:tbl>
    <w:p w:rsidR="006F428D" w:rsidRPr="007101A5" w:rsidRDefault="006F428D" w:rsidP="00A12478">
      <w:pPr>
        <w:rPr>
          <w:b/>
          <w:lang w:val="uk-UA"/>
        </w:rPr>
      </w:pPr>
    </w:p>
    <w:p w:rsidR="006926A0" w:rsidRPr="00CF3030" w:rsidRDefault="006926A0" w:rsidP="006926A0">
      <w:pPr>
        <w:ind w:firstLine="567"/>
        <w:jc w:val="both"/>
        <w:rPr>
          <w:lang w:val="uk-UA"/>
        </w:rPr>
      </w:pPr>
      <w:r w:rsidRPr="00CF3030">
        <w:rPr>
          <w:lang w:val="uk-UA"/>
        </w:rPr>
        <w:t>Враховуючи зазначене, замовник прийняв рішення стосовно застосування таких технічних та якісних характеристик предмета закупівлі:</w:t>
      </w:r>
    </w:p>
    <w:tbl>
      <w:tblPr>
        <w:tblW w:w="1009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60" w:type="dxa"/>
          <w:bottom w:w="30" w:type="dxa"/>
          <w:right w:w="30" w:type="dxa"/>
        </w:tblCellMar>
        <w:tblLook w:val="0000" w:firstRow="0" w:lastRow="0" w:firstColumn="0" w:lastColumn="0" w:noHBand="0" w:noVBand="0"/>
      </w:tblPr>
      <w:tblGrid>
        <w:gridCol w:w="478"/>
        <w:gridCol w:w="2835"/>
        <w:gridCol w:w="1134"/>
        <w:gridCol w:w="850"/>
        <w:gridCol w:w="4793"/>
      </w:tblGrid>
      <w:tr w:rsidR="00CF3030" w:rsidRPr="00D1021C" w:rsidTr="00CF3030">
        <w:trPr>
          <w:trHeight w:val="863"/>
        </w:trPr>
        <w:tc>
          <w:tcPr>
            <w:tcW w:w="478" w:type="dxa"/>
            <w:shd w:val="clear" w:color="auto" w:fill="DEEAF6" w:themeFill="accent1" w:themeFillTint="33"/>
          </w:tcPr>
          <w:p w:rsidR="00CF3030" w:rsidRPr="00D1021C" w:rsidRDefault="00CF3030" w:rsidP="00E7769F">
            <w:pPr>
              <w:rPr>
                <w:sz w:val="22"/>
                <w:szCs w:val="22"/>
              </w:rPr>
            </w:pPr>
            <w:r w:rsidRPr="00D1021C">
              <w:rPr>
                <w:sz w:val="22"/>
                <w:szCs w:val="22"/>
              </w:rPr>
              <w:t>№ п/п</w:t>
            </w:r>
          </w:p>
        </w:tc>
        <w:tc>
          <w:tcPr>
            <w:tcW w:w="2835" w:type="dxa"/>
            <w:shd w:val="clear" w:color="auto" w:fill="DEEAF6" w:themeFill="accent1" w:themeFillTint="33"/>
          </w:tcPr>
          <w:p w:rsidR="00CF3030" w:rsidRPr="00D1021C" w:rsidRDefault="00CF3030" w:rsidP="00E7769F">
            <w:pPr>
              <w:jc w:val="center"/>
              <w:rPr>
                <w:b/>
                <w:sz w:val="22"/>
                <w:szCs w:val="22"/>
              </w:rPr>
            </w:pPr>
            <w:r w:rsidRPr="00D1021C">
              <w:rPr>
                <w:b/>
                <w:sz w:val="22"/>
                <w:szCs w:val="22"/>
              </w:rPr>
              <w:t xml:space="preserve">Найменування </w:t>
            </w:r>
          </w:p>
          <w:p w:rsidR="00CF3030" w:rsidRPr="00D1021C" w:rsidRDefault="00CF3030" w:rsidP="00E7769F">
            <w:pPr>
              <w:jc w:val="center"/>
              <w:rPr>
                <w:b/>
                <w:sz w:val="22"/>
                <w:szCs w:val="22"/>
              </w:rPr>
            </w:pPr>
            <w:r w:rsidRPr="00D1021C">
              <w:rPr>
                <w:b/>
                <w:sz w:val="22"/>
                <w:szCs w:val="22"/>
              </w:rPr>
              <w:t>послуги</w:t>
            </w:r>
          </w:p>
        </w:tc>
        <w:tc>
          <w:tcPr>
            <w:tcW w:w="1134" w:type="dxa"/>
            <w:shd w:val="clear" w:color="auto" w:fill="DEEAF6" w:themeFill="accent1" w:themeFillTint="33"/>
          </w:tcPr>
          <w:p w:rsidR="00CF3030" w:rsidRPr="00D1021C" w:rsidRDefault="00CF3030" w:rsidP="00E7769F">
            <w:pPr>
              <w:jc w:val="center"/>
              <w:rPr>
                <w:b/>
                <w:sz w:val="22"/>
                <w:szCs w:val="22"/>
              </w:rPr>
            </w:pPr>
            <w:r w:rsidRPr="00D1021C">
              <w:rPr>
                <w:b/>
                <w:sz w:val="22"/>
                <w:szCs w:val="22"/>
              </w:rPr>
              <w:t>Од.</w:t>
            </w:r>
          </w:p>
          <w:p w:rsidR="00CF3030" w:rsidRPr="00D1021C" w:rsidRDefault="00CF3030" w:rsidP="00E7769F">
            <w:pPr>
              <w:jc w:val="center"/>
              <w:rPr>
                <w:b/>
                <w:sz w:val="22"/>
                <w:szCs w:val="22"/>
              </w:rPr>
            </w:pPr>
            <w:r w:rsidRPr="00D1021C">
              <w:rPr>
                <w:b/>
                <w:sz w:val="22"/>
                <w:szCs w:val="22"/>
              </w:rPr>
              <w:t>виміру</w:t>
            </w:r>
          </w:p>
        </w:tc>
        <w:tc>
          <w:tcPr>
            <w:tcW w:w="850" w:type="dxa"/>
            <w:shd w:val="clear" w:color="auto" w:fill="DEEAF6" w:themeFill="accent1" w:themeFillTint="33"/>
          </w:tcPr>
          <w:p w:rsidR="00CF3030" w:rsidRPr="00D1021C" w:rsidRDefault="00CF3030" w:rsidP="00E7769F">
            <w:pPr>
              <w:jc w:val="center"/>
              <w:rPr>
                <w:b/>
                <w:sz w:val="22"/>
                <w:szCs w:val="22"/>
              </w:rPr>
            </w:pPr>
            <w:r w:rsidRPr="00D1021C">
              <w:rPr>
                <w:b/>
                <w:sz w:val="22"/>
                <w:szCs w:val="22"/>
              </w:rPr>
              <w:t>Кіль-кість</w:t>
            </w:r>
          </w:p>
        </w:tc>
        <w:tc>
          <w:tcPr>
            <w:tcW w:w="4793" w:type="dxa"/>
            <w:shd w:val="clear" w:color="auto" w:fill="DEEAF6" w:themeFill="accent1" w:themeFillTint="33"/>
          </w:tcPr>
          <w:p w:rsidR="00CF3030" w:rsidRPr="00D1021C" w:rsidRDefault="00CF3030" w:rsidP="00E7769F">
            <w:pPr>
              <w:jc w:val="center"/>
              <w:rPr>
                <w:b/>
                <w:sz w:val="22"/>
                <w:szCs w:val="22"/>
              </w:rPr>
            </w:pPr>
            <w:r w:rsidRPr="00D1021C">
              <w:rPr>
                <w:b/>
                <w:sz w:val="22"/>
                <w:szCs w:val="22"/>
              </w:rPr>
              <w:t>Технічні та якісні характеристики</w:t>
            </w:r>
          </w:p>
          <w:p w:rsidR="00CF3030" w:rsidRPr="00D1021C" w:rsidRDefault="00CF3030" w:rsidP="00E7769F">
            <w:pPr>
              <w:jc w:val="center"/>
              <w:rPr>
                <w:b/>
                <w:sz w:val="22"/>
                <w:szCs w:val="22"/>
              </w:rPr>
            </w:pPr>
            <w:r w:rsidRPr="00D1021C">
              <w:rPr>
                <w:b/>
                <w:sz w:val="22"/>
                <w:szCs w:val="22"/>
              </w:rPr>
              <w:t>(технічна специфікація)</w:t>
            </w:r>
          </w:p>
        </w:tc>
      </w:tr>
      <w:tr w:rsidR="00CF3030" w:rsidRPr="00D1021C" w:rsidTr="00CF3030">
        <w:tc>
          <w:tcPr>
            <w:tcW w:w="478" w:type="dxa"/>
            <w:shd w:val="clear" w:color="auto" w:fill="auto"/>
          </w:tcPr>
          <w:p w:rsidR="00CF3030" w:rsidRPr="00D1021C" w:rsidRDefault="00CF3030" w:rsidP="00E7769F">
            <w:pPr>
              <w:suppressAutoHyphens/>
              <w:rPr>
                <w:b/>
                <w:bCs/>
                <w:sz w:val="22"/>
                <w:szCs w:val="22"/>
              </w:rPr>
            </w:pPr>
            <w:r w:rsidRPr="00D1021C">
              <w:rPr>
                <w:sz w:val="22"/>
                <w:szCs w:val="22"/>
              </w:rPr>
              <w:t>1</w:t>
            </w:r>
          </w:p>
        </w:tc>
        <w:tc>
          <w:tcPr>
            <w:tcW w:w="2835" w:type="dxa"/>
            <w:shd w:val="clear" w:color="auto" w:fill="auto"/>
          </w:tcPr>
          <w:p w:rsidR="00CF3030" w:rsidRPr="00D1021C" w:rsidRDefault="00CF3030" w:rsidP="00E7769F">
            <w:pPr>
              <w:suppressAutoHyphens/>
              <w:jc w:val="center"/>
              <w:rPr>
                <w:sz w:val="22"/>
                <w:szCs w:val="22"/>
              </w:rPr>
            </w:pPr>
            <w:r w:rsidRPr="00D1021C">
              <w:rPr>
                <w:sz w:val="22"/>
                <w:szCs w:val="22"/>
              </w:rPr>
              <w:t>Обов’язкове страхування цивільної відповідальності громадян України, що мають у власності чи іншому законному володінні зброю, за шкоду, яка може бути заподіяна третій особі або її майну внаслідок володіння, зберігання чи використання цієї зброї</w:t>
            </w:r>
          </w:p>
          <w:p w:rsidR="00CF3030" w:rsidRPr="00D1021C" w:rsidRDefault="00CF3030" w:rsidP="00E7769F">
            <w:pPr>
              <w:rPr>
                <w:sz w:val="22"/>
                <w:szCs w:val="22"/>
              </w:rPr>
            </w:pPr>
          </w:p>
          <w:p w:rsidR="00CF3030" w:rsidRPr="00D1021C" w:rsidRDefault="00CF3030" w:rsidP="00E7769F">
            <w:pPr>
              <w:rPr>
                <w:sz w:val="22"/>
                <w:szCs w:val="22"/>
              </w:rPr>
            </w:pPr>
          </w:p>
          <w:p w:rsidR="00CF3030" w:rsidRPr="00D1021C" w:rsidRDefault="00CF3030" w:rsidP="00E7769F">
            <w:pPr>
              <w:rPr>
                <w:sz w:val="22"/>
                <w:szCs w:val="22"/>
              </w:rPr>
            </w:pPr>
          </w:p>
        </w:tc>
        <w:tc>
          <w:tcPr>
            <w:tcW w:w="1134" w:type="dxa"/>
            <w:shd w:val="clear" w:color="auto" w:fill="auto"/>
          </w:tcPr>
          <w:p w:rsidR="00CF3030" w:rsidRPr="00D1021C" w:rsidRDefault="00CF3030" w:rsidP="00E7769F">
            <w:pPr>
              <w:jc w:val="center"/>
              <w:rPr>
                <w:i/>
                <w:color w:val="0070C0"/>
                <w:sz w:val="22"/>
                <w:szCs w:val="22"/>
              </w:rPr>
            </w:pPr>
            <w:r w:rsidRPr="00D1021C">
              <w:rPr>
                <w:sz w:val="22"/>
                <w:szCs w:val="22"/>
              </w:rPr>
              <w:t>Послуга</w:t>
            </w:r>
          </w:p>
        </w:tc>
        <w:tc>
          <w:tcPr>
            <w:tcW w:w="850" w:type="dxa"/>
            <w:shd w:val="clear" w:color="auto" w:fill="auto"/>
          </w:tcPr>
          <w:p w:rsidR="00CF3030" w:rsidRPr="00D1021C" w:rsidRDefault="00CF3030" w:rsidP="00E7769F">
            <w:pPr>
              <w:jc w:val="center"/>
              <w:rPr>
                <w:sz w:val="22"/>
                <w:szCs w:val="22"/>
              </w:rPr>
            </w:pPr>
            <w:r w:rsidRPr="00D1021C">
              <w:rPr>
                <w:sz w:val="22"/>
                <w:szCs w:val="22"/>
              </w:rPr>
              <w:t>1</w:t>
            </w:r>
          </w:p>
        </w:tc>
        <w:tc>
          <w:tcPr>
            <w:tcW w:w="4793" w:type="dxa"/>
            <w:shd w:val="clear" w:color="auto" w:fill="auto"/>
          </w:tcPr>
          <w:p w:rsidR="00CF3030" w:rsidRPr="00D1021C" w:rsidRDefault="00CF3030" w:rsidP="00E7769F">
            <w:pPr>
              <w:ind w:right="109" w:firstLine="219"/>
              <w:jc w:val="both"/>
              <w:rPr>
                <w:color w:val="000000"/>
                <w:sz w:val="22"/>
                <w:szCs w:val="22"/>
              </w:rPr>
            </w:pPr>
            <w:r w:rsidRPr="00D1021C">
              <w:rPr>
                <w:color w:val="000000"/>
                <w:sz w:val="22"/>
                <w:szCs w:val="22"/>
              </w:rPr>
              <w:t>Закон України «Про страхування» від 18.11.2021 року № 1909-ІХ та Постанова Кабінету Міністрів України від 29 березня 2002 року   № 402 «Про затвердження Порядку і правил проведення обов’язкового страхування цивільної відповідальності громадян України, що мають у власності чи іншому законному володінні зброю, за шкоду, яка може бути заподіяна третій особі або її майну внаслідок володіння, зберігання чи використання цієї  зброї».</w:t>
            </w:r>
          </w:p>
          <w:p w:rsidR="00CF3030" w:rsidRPr="00D1021C" w:rsidRDefault="00CF3030" w:rsidP="00E7769F">
            <w:pPr>
              <w:suppressAutoHyphens/>
              <w:ind w:right="109" w:firstLine="219"/>
              <w:jc w:val="both"/>
              <w:rPr>
                <w:rFonts w:ascii="Calibri" w:hAnsi="Calibri" w:cs="Calibri"/>
                <w:sz w:val="22"/>
                <w:szCs w:val="22"/>
              </w:rPr>
            </w:pPr>
            <w:r w:rsidRPr="00D1021C">
              <w:rPr>
                <w:sz w:val="22"/>
                <w:szCs w:val="22"/>
              </w:rPr>
              <w:t xml:space="preserve">    Кількість працівників відділу ВОХОР САБ ДП «МА Бориспіль», які потребують страхування </w:t>
            </w:r>
            <w:r w:rsidRPr="00D1021C">
              <w:rPr>
                <w:b/>
                <w:sz w:val="22"/>
                <w:szCs w:val="22"/>
              </w:rPr>
              <w:t>66 осіб</w:t>
            </w:r>
            <w:r w:rsidRPr="00D1021C">
              <w:rPr>
                <w:color w:val="000000"/>
                <w:sz w:val="22"/>
                <w:szCs w:val="22"/>
              </w:rPr>
              <w:t>.</w:t>
            </w:r>
          </w:p>
        </w:tc>
      </w:tr>
      <w:tr w:rsidR="00CF3030" w:rsidRPr="00D1021C" w:rsidTr="00CF3030">
        <w:tc>
          <w:tcPr>
            <w:tcW w:w="478" w:type="dxa"/>
            <w:shd w:val="clear" w:color="auto" w:fill="auto"/>
          </w:tcPr>
          <w:p w:rsidR="00CF3030" w:rsidRPr="00D1021C" w:rsidRDefault="00CF3030" w:rsidP="00E7769F">
            <w:pPr>
              <w:suppressAutoHyphens/>
              <w:rPr>
                <w:sz w:val="22"/>
                <w:szCs w:val="22"/>
              </w:rPr>
            </w:pPr>
            <w:r w:rsidRPr="00D1021C">
              <w:rPr>
                <w:sz w:val="22"/>
                <w:szCs w:val="22"/>
              </w:rPr>
              <w:t>2</w:t>
            </w:r>
          </w:p>
        </w:tc>
        <w:tc>
          <w:tcPr>
            <w:tcW w:w="2835" w:type="dxa"/>
            <w:shd w:val="clear" w:color="auto" w:fill="auto"/>
          </w:tcPr>
          <w:p w:rsidR="00CF3030" w:rsidRPr="00D1021C" w:rsidRDefault="00CF3030" w:rsidP="00E7769F">
            <w:pPr>
              <w:suppressAutoHyphens/>
              <w:jc w:val="center"/>
              <w:rPr>
                <w:sz w:val="22"/>
                <w:szCs w:val="22"/>
              </w:rPr>
            </w:pPr>
            <w:r w:rsidRPr="00D1021C">
              <w:rPr>
                <w:sz w:val="22"/>
                <w:szCs w:val="22"/>
              </w:rPr>
              <w:t>Обов’язкове страхування цивільної відповідальності громадян України, що мають у власності чи іншому законному володінні зброю, за шкоду, яка може бути заподіяна третій особі або її майну внаслідок володіння, зберігання чи використання цієї зброї</w:t>
            </w:r>
          </w:p>
          <w:p w:rsidR="00CF3030" w:rsidRPr="00D1021C" w:rsidRDefault="00CF3030" w:rsidP="00E7769F">
            <w:pPr>
              <w:suppressAutoHyphens/>
              <w:jc w:val="center"/>
              <w:rPr>
                <w:sz w:val="22"/>
                <w:szCs w:val="22"/>
              </w:rPr>
            </w:pPr>
          </w:p>
        </w:tc>
        <w:tc>
          <w:tcPr>
            <w:tcW w:w="1134" w:type="dxa"/>
            <w:shd w:val="clear" w:color="auto" w:fill="auto"/>
          </w:tcPr>
          <w:p w:rsidR="00CF3030" w:rsidRPr="00D1021C" w:rsidRDefault="00CF3030" w:rsidP="00E7769F">
            <w:pPr>
              <w:jc w:val="center"/>
              <w:rPr>
                <w:i/>
                <w:color w:val="0070C0"/>
                <w:sz w:val="22"/>
                <w:szCs w:val="22"/>
              </w:rPr>
            </w:pPr>
            <w:r w:rsidRPr="00D1021C">
              <w:rPr>
                <w:sz w:val="22"/>
                <w:szCs w:val="22"/>
              </w:rPr>
              <w:t>Послуга</w:t>
            </w:r>
          </w:p>
        </w:tc>
        <w:tc>
          <w:tcPr>
            <w:tcW w:w="850" w:type="dxa"/>
            <w:shd w:val="clear" w:color="auto" w:fill="auto"/>
          </w:tcPr>
          <w:p w:rsidR="00CF3030" w:rsidRPr="00D1021C" w:rsidRDefault="00CF3030" w:rsidP="00E7769F">
            <w:pPr>
              <w:jc w:val="center"/>
              <w:rPr>
                <w:sz w:val="22"/>
                <w:szCs w:val="22"/>
              </w:rPr>
            </w:pPr>
            <w:r w:rsidRPr="00D1021C">
              <w:rPr>
                <w:sz w:val="22"/>
                <w:szCs w:val="22"/>
              </w:rPr>
              <w:t>1</w:t>
            </w:r>
          </w:p>
        </w:tc>
        <w:tc>
          <w:tcPr>
            <w:tcW w:w="4793" w:type="dxa"/>
            <w:shd w:val="clear" w:color="auto" w:fill="auto"/>
          </w:tcPr>
          <w:p w:rsidR="00CF3030" w:rsidRPr="00D1021C" w:rsidRDefault="00CF3030" w:rsidP="00E7769F">
            <w:pPr>
              <w:ind w:right="109" w:firstLine="219"/>
              <w:jc w:val="both"/>
              <w:rPr>
                <w:color w:val="000000"/>
                <w:sz w:val="22"/>
                <w:szCs w:val="22"/>
              </w:rPr>
            </w:pPr>
            <w:r w:rsidRPr="00D1021C">
              <w:rPr>
                <w:color w:val="000000"/>
                <w:sz w:val="22"/>
                <w:szCs w:val="22"/>
              </w:rPr>
              <w:t>Закон України «Про страхування» від 18.11.2021 року № 1909-ІХ та Постанова Кабінету Міністрів України від 29 березня 2002 року   № 402 «Про затвердження Порядку і правил проведення обов’язкового страхування цивільної відповідальності громадян України, що мають у власності чи іншому законному володінні зброю, за шкоду, яка може бути заподіяна третій особі або її майну внаслідок володіння, зберігання чи використання цієї  зброї».</w:t>
            </w:r>
          </w:p>
          <w:p w:rsidR="00CF3030" w:rsidRPr="00D1021C" w:rsidRDefault="00CF3030" w:rsidP="00E7769F">
            <w:pPr>
              <w:ind w:right="109" w:firstLine="219"/>
              <w:jc w:val="both"/>
              <w:rPr>
                <w:color w:val="000000"/>
                <w:sz w:val="22"/>
                <w:szCs w:val="22"/>
              </w:rPr>
            </w:pPr>
            <w:r w:rsidRPr="00D1021C">
              <w:rPr>
                <w:sz w:val="22"/>
                <w:szCs w:val="22"/>
              </w:rPr>
              <w:t xml:space="preserve">    Кількість працівників відділу ВОХОР САБ ДП «МА Бориспіль», які потребують страхування </w:t>
            </w:r>
            <w:r w:rsidRPr="00D1021C">
              <w:rPr>
                <w:b/>
                <w:sz w:val="22"/>
                <w:szCs w:val="22"/>
              </w:rPr>
              <w:t>15 осіб.</w:t>
            </w:r>
          </w:p>
        </w:tc>
      </w:tr>
    </w:tbl>
    <w:p w:rsidR="006F428D" w:rsidRPr="00CF3030" w:rsidRDefault="006F428D" w:rsidP="00A12478">
      <w:pPr>
        <w:rPr>
          <w:b/>
        </w:rPr>
      </w:pPr>
    </w:p>
    <w:sectPr w:rsidR="006F428D" w:rsidRPr="00CF3030" w:rsidSect="00CF3030">
      <w:headerReference w:type="even" r:id="rId10"/>
      <w:headerReference w:type="default" r:id="rId11"/>
      <w:footerReference w:type="default" r:id="rId12"/>
      <w:pgSz w:w="11906" w:h="16838"/>
      <w:pgMar w:top="567" w:right="567" w:bottom="567" w:left="1134" w:header="709" w:footer="46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7FF" w:rsidRDefault="001367FF">
      <w:r>
        <w:separator/>
      </w:r>
    </w:p>
  </w:endnote>
  <w:endnote w:type="continuationSeparator" w:id="0">
    <w:p w:rsidR="001367FF" w:rsidRDefault="00136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7B0462"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B9A6EB"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EB759C">
      <w:rPr>
        <w:sz w:val="20"/>
        <w:szCs w:val="20"/>
        <w:lang w:val="uk-UA"/>
      </w:rPr>
      <w:t xml:space="preserve"> Обов’язкове страхування цивільної відповідальності  громадян України, що мають у власності чи іншому законному володінні зброю, за шкоду, яка може бути заподіяна третій особі або її майну внаслідок володіння, зберігання чи використання цієї зброї, код ДК 021:2015 - 66510000-8 - Страхові послуги </w:t>
    </w:r>
  </w:p>
  <w:p w:rsidR="00DA4230" w:rsidRPr="008762B5" w:rsidRDefault="00DA4230" w:rsidP="00DA4230">
    <w:pPr>
      <w:tabs>
        <w:tab w:val="center" w:pos="4819"/>
        <w:tab w:val="right" w:pos="9639"/>
      </w:tabs>
      <w:jc w:val="right"/>
      <w:rPr>
        <w:sz w:val="18"/>
        <w:szCs w:val="18"/>
      </w:rPr>
    </w:pPr>
    <w:r w:rsidRPr="00354DF7">
      <w:rPr>
        <w:sz w:val="20"/>
        <w:szCs w:val="20"/>
      </w:rPr>
      <w:t xml:space="preserve">Аркуш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1A20C7">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1A20C7">
      <w:rPr>
        <w:bCs/>
        <w:noProof/>
        <w:sz w:val="20"/>
        <w:szCs w:val="20"/>
      </w:rPr>
      <w:t>2</w:t>
    </w:r>
    <w:r w:rsidRPr="00354DF7">
      <w:rPr>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7FF" w:rsidRDefault="001367FF">
      <w:r>
        <w:separator/>
      </w:r>
    </w:p>
  </w:footnote>
  <w:footnote w:type="continuationSeparator" w:id="0">
    <w:p w:rsidR="001367FF" w:rsidRDefault="001367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7B0462"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ACB1FB"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800" cy="2857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r w:rsidR="00A256E7" w:rsidRPr="003C4B6B">
      <w:rPr>
        <w:sz w:val="20"/>
        <w:szCs w:val="20"/>
        <w:lang w:val="uk-UA"/>
      </w:rPr>
      <w:t>бґрунтування</w:t>
    </w:r>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67FF"/>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A20C7"/>
    <w:rsid w:val="001B0046"/>
    <w:rsid w:val="001B0D89"/>
    <w:rsid w:val="001B16C6"/>
    <w:rsid w:val="001B20AE"/>
    <w:rsid w:val="001B22BA"/>
    <w:rsid w:val="001B279E"/>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155E4"/>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2A58"/>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37AD"/>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0462"/>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5D1"/>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030"/>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303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B759C"/>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2D598DB-58E7-4F3D-81F2-C233D392A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ozorro.gov.ua/tender/UA-2024-02-13-012792-a/"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D79B1-8A2A-47F5-8372-EC316E735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3093</Words>
  <Characters>1764</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Гапонюк Наталія Володимирівна</dc:creator>
  <cp:keywords/>
  <cp:lastModifiedBy>Гапонюк Наталія Володимирівна</cp:lastModifiedBy>
  <cp:revision>4</cp:revision>
  <cp:lastPrinted>2021-11-17T09:02:00Z</cp:lastPrinted>
  <dcterms:created xsi:type="dcterms:W3CDTF">2024-02-13T14:21:00Z</dcterms:created>
  <dcterms:modified xsi:type="dcterms:W3CDTF">2024-02-13T15:34:00Z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