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D57576"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9C6D1D" w:rsidRDefault="00A41BB5" w:rsidP="009C6D1D">
            <w:pPr>
              <w:widowControl w:val="0"/>
              <w:ind w:right="-11"/>
              <w:jc w:val="center"/>
              <w:rPr>
                <w:sz w:val="22"/>
                <w:szCs w:val="22"/>
                <w:lang w:val="uk-UA" w:eastAsia="uk-UA"/>
              </w:rPr>
            </w:pPr>
            <w:r w:rsidRPr="009C6D1D">
              <w:rPr>
                <w:sz w:val="22"/>
                <w:szCs w:val="22"/>
                <w:lang w:val="uk-UA"/>
              </w:rPr>
              <w:t xml:space="preserve">23.06 </w:t>
            </w:r>
            <w:r w:rsidR="00BD6E95" w:rsidRPr="009C6D1D">
              <w:rPr>
                <w:sz w:val="22"/>
                <w:szCs w:val="22"/>
                <w:lang w:val="uk-UA" w:eastAsia="uk-UA"/>
              </w:rPr>
              <w:t>(202</w:t>
            </w:r>
            <w:r w:rsidR="005469FD" w:rsidRPr="009C6D1D">
              <w:rPr>
                <w:sz w:val="22"/>
                <w:szCs w:val="22"/>
                <w:lang w:val="uk-UA" w:eastAsia="uk-UA"/>
              </w:rPr>
              <w:t>4</w:t>
            </w:r>
            <w:r w:rsidR="00A76484" w:rsidRPr="009C6D1D">
              <w:rPr>
                <w:sz w:val="22"/>
                <w:szCs w:val="22"/>
                <w:lang w:val="uk-UA" w:eastAsia="uk-UA"/>
              </w:rPr>
              <w:t>)</w:t>
            </w:r>
          </w:p>
        </w:tc>
        <w:tc>
          <w:tcPr>
            <w:tcW w:w="1527" w:type="pct"/>
          </w:tcPr>
          <w:p w:rsidR="00A76484" w:rsidRPr="009C6D1D" w:rsidRDefault="00A41BB5" w:rsidP="00A12478">
            <w:pPr>
              <w:widowControl w:val="0"/>
              <w:rPr>
                <w:bCs/>
                <w:sz w:val="22"/>
                <w:szCs w:val="22"/>
                <w:lang w:val="uk-UA"/>
              </w:rPr>
            </w:pPr>
            <w:r w:rsidRPr="009C6D1D">
              <w:rPr>
                <w:b/>
                <w:sz w:val="22"/>
                <w:szCs w:val="22"/>
                <w:lang w:val="uk-UA"/>
              </w:rPr>
              <w:t xml:space="preserve">Надання права (повноваження) на використання програмного забезпечення </w:t>
            </w:r>
            <w:proofErr w:type="spellStart"/>
            <w:r w:rsidRPr="009C6D1D">
              <w:rPr>
                <w:b/>
                <w:sz w:val="22"/>
                <w:szCs w:val="22"/>
                <w:lang w:val="uk-UA"/>
              </w:rPr>
              <w:t>Ліга:Закон</w:t>
            </w:r>
            <w:proofErr w:type="spellEnd"/>
            <w:r w:rsidRPr="009C6D1D">
              <w:rPr>
                <w:b/>
                <w:sz w:val="22"/>
                <w:szCs w:val="22"/>
                <w:lang w:val="uk-UA"/>
              </w:rPr>
              <w:t xml:space="preserve">, </w:t>
            </w:r>
            <w:r w:rsidRPr="009C6D1D">
              <w:rPr>
                <w:sz w:val="22"/>
                <w:szCs w:val="22"/>
                <w:lang w:val="uk-UA"/>
              </w:rPr>
              <w:t>код ДК 021:2015 - 72310000-1 - Послуги з обробки даних</w:t>
            </w:r>
            <w:r w:rsidRPr="009C6D1D">
              <w:rPr>
                <w:b/>
                <w:sz w:val="22"/>
                <w:szCs w:val="22"/>
                <w:lang w:val="uk-UA"/>
              </w:rPr>
              <w:t xml:space="preserve"> </w:t>
            </w:r>
          </w:p>
        </w:tc>
        <w:tc>
          <w:tcPr>
            <w:tcW w:w="947" w:type="pct"/>
          </w:tcPr>
          <w:p w:rsidR="00A76484" w:rsidRPr="009C6D1D" w:rsidRDefault="00A41BB5" w:rsidP="002D4D30">
            <w:pPr>
              <w:widowControl w:val="0"/>
              <w:jc w:val="center"/>
              <w:rPr>
                <w:sz w:val="22"/>
                <w:szCs w:val="22"/>
                <w:lang w:val="uk-UA"/>
              </w:rPr>
            </w:pPr>
            <w:r w:rsidRPr="009C6D1D">
              <w:rPr>
                <w:sz w:val="22"/>
                <w:szCs w:val="22"/>
                <w:lang w:val="uk-UA"/>
              </w:rPr>
              <w:t>154 080,00</w:t>
            </w:r>
            <w:r w:rsidR="00A76484" w:rsidRPr="009C6D1D">
              <w:rPr>
                <w:sz w:val="22"/>
                <w:szCs w:val="22"/>
                <w:lang w:val="uk-UA"/>
              </w:rPr>
              <w:t xml:space="preserve"> </w:t>
            </w:r>
          </w:p>
          <w:p w:rsidR="00A76484" w:rsidRPr="009C6D1D" w:rsidRDefault="00A76484" w:rsidP="002D4D30">
            <w:pPr>
              <w:widowControl w:val="0"/>
              <w:jc w:val="center"/>
              <w:rPr>
                <w:sz w:val="22"/>
                <w:szCs w:val="22"/>
                <w:lang w:val="uk-UA"/>
              </w:rPr>
            </w:pPr>
            <w:r w:rsidRPr="009C6D1D">
              <w:rPr>
                <w:sz w:val="22"/>
                <w:szCs w:val="22"/>
                <w:lang w:val="uk-UA"/>
              </w:rPr>
              <w:t>грн. з ПДВ</w:t>
            </w:r>
          </w:p>
        </w:tc>
        <w:tc>
          <w:tcPr>
            <w:tcW w:w="1102" w:type="pct"/>
          </w:tcPr>
          <w:p w:rsidR="00A76484" w:rsidRPr="009C6D1D" w:rsidRDefault="009C6D1D" w:rsidP="002D4D30">
            <w:pPr>
              <w:widowControl w:val="0"/>
              <w:jc w:val="center"/>
              <w:rPr>
                <w:sz w:val="22"/>
                <w:szCs w:val="22"/>
                <w:lang w:val="uk-UA"/>
              </w:rPr>
            </w:pPr>
            <w:r w:rsidRPr="009C6D1D">
              <w:rPr>
                <w:sz w:val="22"/>
                <w:szCs w:val="22"/>
                <w:lang w:val="uk-UA"/>
              </w:rPr>
              <w:t>128 400</w:t>
            </w:r>
            <w:r w:rsidR="00A41BB5" w:rsidRPr="009C6D1D">
              <w:rPr>
                <w:sz w:val="22"/>
                <w:szCs w:val="22"/>
                <w:lang w:val="uk-UA"/>
              </w:rPr>
              <w:t>,00</w:t>
            </w:r>
          </w:p>
          <w:p w:rsidR="00A76484" w:rsidRPr="009C6D1D" w:rsidRDefault="00A76484" w:rsidP="002D4D30">
            <w:pPr>
              <w:widowControl w:val="0"/>
              <w:jc w:val="center"/>
              <w:rPr>
                <w:sz w:val="22"/>
                <w:szCs w:val="22"/>
                <w:lang w:val="uk-UA"/>
              </w:rPr>
            </w:pPr>
            <w:r w:rsidRPr="009C6D1D">
              <w:rPr>
                <w:sz w:val="22"/>
                <w:szCs w:val="22"/>
                <w:lang w:val="uk-UA"/>
              </w:rPr>
              <w:t xml:space="preserve">грн. без ПДВ </w:t>
            </w:r>
          </w:p>
        </w:tc>
        <w:tc>
          <w:tcPr>
            <w:tcW w:w="936" w:type="pct"/>
          </w:tcPr>
          <w:p w:rsidR="00A76484" w:rsidRPr="009C6D1D" w:rsidRDefault="00F75C0E" w:rsidP="00A54207">
            <w:pPr>
              <w:widowControl w:val="0"/>
              <w:jc w:val="center"/>
              <w:rPr>
                <w:color w:val="0000FF"/>
                <w:sz w:val="22"/>
                <w:szCs w:val="22"/>
                <w:lang w:val="uk-UA"/>
              </w:rPr>
            </w:pPr>
            <w:hyperlink r:id="rId9" w:history="1">
              <w:r w:rsidR="00A54207" w:rsidRPr="009C6D1D">
                <w:rPr>
                  <w:rStyle w:val="ae"/>
                  <w:sz w:val="22"/>
                  <w:szCs w:val="22"/>
                  <w:u w:val="none"/>
                  <w:shd w:val="clear" w:color="auto" w:fill="FFFFFF"/>
                </w:rPr>
                <w:t>UA-2024-07-04-006502-a</w:t>
              </w:r>
            </w:hyperlink>
          </w:p>
        </w:tc>
      </w:tr>
    </w:tbl>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9C6D1D" w:rsidRDefault="009C6D1D" w:rsidP="009C6D1D">
            <w:pPr>
              <w:autoSpaceDE w:val="0"/>
              <w:autoSpaceDN w:val="0"/>
              <w:adjustRightInd w:val="0"/>
              <w:ind w:right="54"/>
              <w:rPr>
                <w:rFonts w:ascii="TimesNewRomanPSMT" w:hAnsi="TimesNewRomanPSMT" w:cs="TimesNewRomanPSMT"/>
                <w:lang w:val="uk-UA" w:eastAsia="uk-UA"/>
              </w:rPr>
            </w:pPr>
            <w:r>
              <w:rPr>
                <w:rFonts w:ascii="TimesNewRomanPSMT" w:hAnsi="TimesNewRomanPSMT" w:cs="TimesNewRomanPSMT"/>
                <w:lang w:val="uk-UA" w:eastAsia="uk-UA"/>
              </w:rPr>
              <w:t>Якісні та технічні характеристики предмета закупівлі</w:t>
            </w:r>
            <w:r>
              <w:rPr>
                <w:rFonts w:ascii="TimesNewRomanPSMT" w:hAnsi="TimesNewRomanPSMT" w:cs="TimesNewRomanPSMT"/>
                <w:lang w:val="uk-UA" w:eastAsia="uk-UA"/>
              </w:rPr>
              <w:t xml:space="preserve"> </w:t>
            </w:r>
            <w:r>
              <w:rPr>
                <w:rFonts w:ascii="TimesNewRomanPSMT" w:hAnsi="TimesNewRomanPSMT" w:cs="TimesNewRomanPSMT"/>
                <w:lang w:val="uk-UA" w:eastAsia="uk-UA"/>
              </w:rPr>
              <w:t>визначені з урахуванням реальних потреб підприємства та</w:t>
            </w:r>
            <w:r>
              <w:rPr>
                <w:rFonts w:ascii="TimesNewRomanPSMT" w:hAnsi="TimesNewRomanPSMT" w:cs="TimesNewRomanPSMT"/>
                <w:lang w:val="uk-UA" w:eastAsia="uk-UA"/>
              </w:rPr>
              <w:t xml:space="preserve"> </w:t>
            </w:r>
            <w:r>
              <w:rPr>
                <w:rFonts w:ascii="TimesNewRomanPSMT" w:hAnsi="TimesNewRomanPSMT" w:cs="TimesNewRomanPSMT"/>
                <w:lang w:val="uk-UA" w:eastAsia="uk-UA"/>
              </w:rPr>
              <w:t xml:space="preserve">оптимального співвідношення ціни та якості. </w:t>
            </w:r>
            <w:r>
              <w:rPr>
                <w:rFonts w:ascii="TimesNewRomanPSMT" w:hAnsi="TimesNewRomanPSMT" w:cs="TimesNewRomanPSMT"/>
                <w:sz w:val="22"/>
                <w:szCs w:val="22"/>
                <w:lang w:val="uk-UA" w:eastAsia="uk-UA"/>
              </w:rPr>
              <w:t>Відповідно до</w:t>
            </w:r>
            <w:r>
              <w:rPr>
                <w:rFonts w:ascii="TimesNewRomanPSMT" w:hAnsi="TimesNewRomanPSMT" w:cs="TimesNewRomanPSMT"/>
                <w:lang w:val="uk-UA" w:eastAsia="uk-UA"/>
              </w:rPr>
              <w:t xml:space="preserve"> </w:t>
            </w:r>
            <w:r>
              <w:rPr>
                <w:rFonts w:ascii="TimesNewRomanPSMT" w:hAnsi="TimesNewRomanPSMT" w:cs="TimesNewRomanPSMT"/>
                <w:sz w:val="22"/>
                <w:szCs w:val="22"/>
                <w:lang w:val="uk-UA" w:eastAsia="uk-UA"/>
              </w:rPr>
              <w:t>діючого обсягу ліцензій на період воєнного стану</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C6D1D" w:rsidRDefault="009C6D1D" w:rsidP="009C6D1D">
            <w:pPr>
              <w:autoSpaceDE w:val="0"/>
              <w:autoSpaceDN w:val="0"/>
              <w:adjustRightInd w:val="0"/>
              <w:jc w:val="both"/>
              <w:rPr>
                <w:rFonts w:ascii="TimesNewRomanPSMT" w:hAnsi="TimesNewRomanPSMT" w:cs="TimesNewRomanPSMT"/>
                <w:lang w:val="uk-UA" w:eastAsia="uk-UA"/>
              </w:rPr>
            </w:pPr>
            <w:r>
              <w:rPr>
                <w:rFonts w:ascii="TimesNewRomanPSMT" w:hAnsi="TimesNewRomanPSMT" w:cs="TimesNewRomanPSMT"/>
                <w:lang w:val="uk-UA" w:eastAsia="uk-UA"/>
              </w:rPr>
              <w:t>Очікувана вартість предмета закупівлі розрахована згідно з</w:t>
            </w:r>
          </w:p>
          <w:p w:rsidR="009C6D1D" w:rsidRDefault="009C6D1D" w:rsidP="009C6D1D">
            <w:pPr>
              <w:autoSpaceDE w:val="0"/>
              <w:autoSpaceDN w:val="0"/>
              <w:adjustRightInd w:val="0"/>
              <w:jc w:val="both"/>
              <w:rPr>
                <w:rFonts w:ascii="TimesNewRomanPSMT" w:hAnsi="TimesNewRomanPSMT" w:cs="TimesNewRomanPSMT"/>
                <w:lang w:val="uk-UA" w:eastAsia="uk-UA"/>
              </w:rPr>
            </w:pPr>
            <w:r>
              <w:rPr>
                <w:rFonts w:ascii="TimesNewRomanPSMT" w:hAnsi="TimesNewRomanPSMT" w:cs="TimesNewRomanPSMT"/>
                <w:lang w:val="uk-UA" w:eastAsia="uk-UA"/>
              </w:rPr>
              <w:t>вимогами «Положенням про порядок визначення очікуваної</w:t>
            </w:r>
          </w:p>
          <w:p w:rsidR="009C6D1D" w:rsidRDefault="009C6D1D" w:rsidP="009C6D1D">
            <w:pPr>
              <w:autoSpaceDE w:val="0"/>
              <w:autoSpaceDN w:val="0"/>
              <w:adjustRightInd w:val="0"/>
              <w:jc w:val="both"/>
              <w:rPr>
                <w:rFonts w:ascii="TimesNewRomanPSMT" w:hAnsi="TimesNewRomanPSMT" w:cs="TimesNewRomanPSMT"/>
                <w:lang w:val="uk-UA" w:eastAsia="uk-UA"/>
              </w:rPr>
            </w:pPr>
            <w:r>
              <w:rPr>
                <w:rFonts w:ascii="TimesNewRomanPSMT" w:hAnsi="TimesNewRomanPSMT" w:cs="TimesNewRomanPSMT"/>
                <w:lang w:val="uk-UA" w:eastAsia="uk-UA"/>
              </w:rPr>
              <w:t>вартості предмета закупівлі» від 17.05.2022 №50-06-1.</w:t>
            </w:r>
          </w:p>
          <w:p w:rsidR="009C6D1D" w:rsidRDefault="009C6D1D" w:rsidP="009C6D1D">
            <w:pPr>
              <w:autoSpaceDE w:val="0"/>
              <w:autoSpaceDN w:val="0"/>
              <w:adjustRightInd w:val="0"/>
              <w:jc w:val="both"/>
              <w:rPr>
                <w:rFonts w:ascii="TimesNewRomanPSMT" w:hAnsi="TimesNewRomanPSMT" w:cs="TimesNewRomanPSMT"/>
                <w:lang w:val="uk-UA" w:eastAsia="uk-UA"/>
              </w:rPr>
            </w:pPr>
            <w:r>
              <w:rPr>
                <w:rFonts w:ascii="TimesNewRomanPSMT" w:hAnsi="TimesNewRomanPSMT" w:cs="TimesNewRomanPSMT"/>
                <w:lang w:val="uk-UA" w:eastAsia="uk-UA"/>
              </w:rPr>
              <w:t>Очікувана вартість предмета закупівлі визначена методом</w:t>
            </w:r>
          </w:p>
          <w:p w:rsidR="009C6D1D" w:rsidRDefault="009C6D1D" w:rsidP="009C6D1D">
            <w:pPr>
              <w:autoSpaceDE w:val="0"/>
              <w:autoSpaceDN w:val="0"/>
              <w:adjustRightInd w:val="0"/>
              <w:jc w:val="both"/>
              <w:rPr>
                <w:rFonts w:ascii="TimesNewRomanPSMT" w:hAnsi="TimesNewRomanPSMT" w:cs="TimesNewRomanPSMT"/>
                <w:lang w:val="uk-UA" w:eastAsia="uk-UA"/>
              </w:rPr>
            </w:pPr>
            <w:r>
              <w:rPr>
                <w:rFonts w:ascii="TimesNewRomanPSMT" w:hAnsi="TimesNewRomanPSMT" w:cs="TimesNewRomanPSMT"/>
                <w:lang w:val="uk-UA" w:eastAsia="uk-UA"/>
              </w:rPr>
              <w:t>порівняння цін в комерційних пропозиціях, отриманих</w:t>
            </w:r>
          </w:p>
          <w:p w:rsidR="006F428D" w:rsidRPr="009C6D1D" w:rsidRDefault="009C6D1D" w:rsidP="009C6D1D">
            <w:pPr>
              <w:autoSpaceDE w:val="0"/>
              <w:autoSpaceDN w:val="0"/>
              <w:adjustRightInd w:val="0"/>
              <w:jc w:val="both"/>
              <w:rPr>
                <w:rFonts w:ascii="TimesNewRomanPSMT" w:hAnsi="TimesNewRomanPSMT" w:cs="TimesNewRomanPSMT"/>
                <w:lang w:val="uk-UA" w:eastAsia="uk-UA"/>
              </w:rPr>
            </w:pPr>
            <w:r>
              <w:rPr>
                <w:rFonts w:ascii="TimesNewRomanPSMT" w:hAnsi="TimesNewRomanPSMT" w:cs="TimesNewRomanPSMT"/>
                <w:lang w:val="uk-UA" w:eastAsia="uk-UA"/>
              </w:rPr>
              <w:t>відповідно до запитів, та розрахована як</w:t>
            </w:r>
            <w:r>
              <w:rPr>
                <w:rFonts w:ascii="TimesNewRomanPSMT" w:hAnsi="TimesNewRomanPSMT" w:cs="TimesNewRomanPSMT"/>
                <w:lang w:val="uk-UA" w:eastAsia="uk-UA"/>
              </w:rPr>
              <w:t xml:space="preserve"> </w:t>
            </w:r>
            <w:r>
              <w:rPr>
                <w:rFonts w:ascii="TimesNewRomanPSMT" w:hAnsi="TimesNewRomanPSMT" w:cs="TimesNewRomanPSMT"/>
                <w:lang w:val="uk-UA" w:eastAsia="uk-UA"/>
              </w:rPr>
              <w:t>середньоарифметична.</w:t>
            </w:r>
          </w:p>
        </w:tc>
      </w:tr>
    </w:tbl>
    <w:p w:rsidR="006926A0" w:rsidRPr="009C6D1D" w:rsidRDefault="006926A0" w:rsidP="006926A0">
      <w:pPr>
        <w:ind w:firstLine="567"/>
        <w:jc w:val="both"/>
        <w:rPr>
          <w:lang w:val="uk-UA"/>
        </w:rPr>
      </w:pPr>
      <w:bookmarkStart w:id="0" w:name="_GoBack"/>
      <w:bookmarkEnd w:id="0"/>
      <w:r w:rsidRPr="009C6D1D">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003"/>
        <w:gridCol w:w="992"/>
        <w:gridCol w:w="862"/>
        <w:gridCol w:w="5233"/>
      </w:tblGrid>
      <w:tr w:rsidR="009C6D1D" w:rsidRPr="00781740" w:rsidTr="00112894">
        <w:tc>
          <w:tcPr>
            <w:tcW w:w="758" w:type="dxa"/>
            <w:tcBorders>
              <w:top w:val="single" w:sz="4" w:space="0" w:color="auto"/>
              <w:left w:val="single" w:sz="4" w:space="0" w:color="auto"/>
              <w:bottom w:val="single" w:sz="4" w:space="0" w:color="auto"/>
              <w:right w:val="single" w:sz="4" w:space="0" w:color="auto"/>
            </w:tcBorders>
            <w:shd w:val="clear" w:color="auto" w:fill="D9E2F3"/>
          </w:tcPr>
          <w:p w:rsidR="009C6D1D" w:rsidRPr="00781740" w:rsidRDefault="009C6D1D" w:rsidP="00112894">
            <w:pPr>
              <w:widowControl w:val="0"/>
              <w:rPr>
                <w:b/>
                <w:sz w:val="22"/>
                <w:szCs w:val="22"/>
                <w:lang w:val="uk-UA"/>
              </w:rPr>
            </w:pPr>
            <w:r w:rsidRPr="00781740">
              <w:rPr>
                <w:b/>
                <w:sz w:val="22"/>
                <w:szCs w:val="22"/>
                <w:lang w:val="uk-UA"/>
              </w:rPr>
              <w:t>№ п/п</w:t>
            </w:r>
          </w:p>
        </w:tc>
        <w:tc>
          <w:tcPr>
            <w:tcW w:w="2003" w:type="dxa"/>
            <w:tcBorders>
              <w:top w:val="single" w:sz="4" w:space="0" w:color="auto"/>
              <w:left w:val="single" w:sz="4" w:space="0" w:color="auto"/>
              <w:bottom w:val="single" w:sz="4" w:space="0" w:color="auto"/>
              <w:right w:val="single" w:sz="4" w:space="0" w:color="auto"/>
            </w:tcBorders>
            <w:shd w:val="clear" w:color="auto" w:fill="D9E2F3"/>
          </w:tcPr>
          <w:p w:rsidR="009C6D1D" w:rsidRPr="00781740" w:rsidRDefault="009C6D1D" w:rsidP="00112894">
            <w:pPr>
              <w:widowControl w:val="0"/>
              <w:jc w:val="center"/>
              <w:rPr>
                <w:b/>
                <w:sz w:val="22"/>
                <w:szCs w:val="22"/>
                <w:lang w:val="uk-UA"/>
              </w:rPr>
            </w:pPr>
            <w:r w:rsidRPr="00781740">
              <w:rPr>
                <w:b/>
                <w:sz w:val="22"/>
                <w:szCs w:val="22"/>
                <w:lang w:val="uk-UA"/>
              </w:rPr>
              <w:t xml:space="preserve">Найменування </w:t>
            </w:r>
          </w:p>
          <w:p w:rsidR="009C6D1D" w:rsidRPr="00781740" w:rsidRDefault="009C6D1D" w:rsidP="00112894">
            <w:pPr>
              <w:widowControl w:val="0"/>
              <w:jc w:val="center"/>
              <w:rPr>
                <w:b/>
                <w:sz w:val="22"/>
                <w:szCs w:val="22"/>
                <w:lang w:val="uk-UA"/>
              </w:rPr>
            </w:pPr>
            <w:r w:rsidRPr="00781740">
              <w:rPr>
                <w:b/>
                <w:sz w:val="22"/>
                <w:szCs w:val="22"/>
                <w:lang w:val="uk-UA"/>
              </w:rPr>
              <w:t>Послуги</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9C6D1D" w:rsidRPr="00781740" w:rsidRDefault="009C6D1D" w:rsidP="00112894">
            <w:pPr>
              <w:widowControl w:val="0"/>
              <w:jc w:val="center"/>
              <w:rPr>
                <w:b/>
                <w:sz w:val="22"/>
                <w:szCs w:val="22"/>
                <w:lang w:val="uk-UA"/>
              </w:rPr>
            </w:pPr>
            <w:r w:rsidRPr="00781740">
              <w:rPr>
                <w:b/>
                <w:sz w:val="22"/>
                <w:szCs w:val="22"/>
                <w:lang w:val="uk-UA"/>
              </w:rPr>
              <w:t>Одиниця</w:t>
            </w:r>
          </w:p>
          <w:p w:rsidR="009C6D1D" w:rsidRPr="00781740" w:rsidRDefault="009C6D1D" w:rsidP="00112894">
            <w:pPr>
              <w:widowControl w:val="0"/>
              <w:jc w:val="center"/>
              <w:rPr>
                <w:b/>
                <w:sz w:val="22"/>
                <w:szCs w:val="22"/>
                <w:lang w:val="uk-UA"/>
              </w:rPr>
            </w:pPr>
            <w:r w:rsidRPr="00781740">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9C6D1D" w:rsidRPr="00781740" w:rsidRDefault="009C6D1D" w:rsidP="00112894">
            <w:pPr>
              <w:widowControl w:val="0"/>
              <w:jc w:val="center"/>
              <w:rPr>
                <w:b/>
                <w:sz w:val="22"/>
                <w:szCs w:val="22"/>
                <w:lang w:val="uk-UA"/>
              </w:rPr>
            </w:pPr>
            <w:r w:rsidRPr="00781740">
              <w:rPr>
                <w:b/>
                <w:sz w:val="22"/>
                <w:szCs w:val="22"/>
                <w:lang w:val="uk-UA"/>
              </w:rPr>
              <w:t>Кількість</w:t>
            </w:r>
          </w:p>
          <w:p w:rsidR="009C6D1D" w:rsidRPr="00781740" w:rsidRDefault="009C6D1D" w:rsidP="00112894">
            <w:pPr>
              <w:widowControl w:val="0"/>
              <w:jc w:val="center"/>
              <w:rPr>
                <w:b/>
                <w:sz w:val="22"/>
                <w:szCs w:val="22"/>
                <w:lang w:val="uk-UA"/>
              </w:rPr>
            </w:pPr>
          </w:p>
        </w:tc>
        <w:tc>
          <w:tcPr>
            <w:tcW w:w="5233" w:type="dxa"/>
            <w:tcBorders>
              <w:top w:val="single" w:sz="4" w:space="0" w:color="auto"/>
              <w:left w:val="single" w:sz="4" w:space="0" w:color="auto"/>
              <w:bottom w:val="single" w:sz="4" w:space="0" w:color="auto"/>
              <w:right w:val="single" w:sz="4" w:space="0" w:color="auto"/>
            </w:tcBorders>
            <w:shd w:val="clear" w:color="auto" w:fill="D9E2F3"/>
            <w:hideMark/>
          </w:tcPr>
          <w:p w:rsidR="009C6D1D" w:rsidRPr="00781740" w:rsidRDefault="009C6D1D" w:rsidP="00112894">
            <w:pPr>
              <w:widowControl w:val="0"/>
              <w:jc w:val="center"/>
              <w:rPr>
                <w:b/>
                <w:sz w:val="22"/>
                <w:szCs w:val="22"/>
                <w:lang w:val="uk-UA"/>
              </w:rPr>
            </w:pPr>
            <w:r w:rsidRPr="00781740">
              <w:rPr>
                <w:b/>
                <w:sz w:val="22"/>
                <w:szCs w:val="22"/>
                <w:lang w:val="uk-UA"/>
              </w:rPr>
              <w:t>Технічні та якісні характеристики предмета закупівлі</w:t>
            </w:r>
          </w:p>
          <w:p w:rsidR="009C6D1D" w:rsidRPr="00781740" w:rsidRDefault="009C6D1D" w:rsidP="00112894">
            <w:pPr>
              <w:widowControl w:val="0"/>
              <w:jc w:val="center"/>
              <w:rPr>
                <w:b/>
                <w:sz w:val="22"/>
                <w:szCs w:val="22"/>
                <w:lang w:val="uk-UA"/>
              </w:rPr>
            </w:pPr>
            <w:r w:rsidRPr="00781740">
              <w:rPr>
                <w:b/>
                <w:sz w:val="22"/>
                <w:szCs w:val="22"/>
                <w:lang w:val="uk-UA"/>
              </w:rPr>
              <w:t>(Технічна специфікація)</w:t>
            </w:r>
          </w:p>
        </w:tc>
      </w:tr>
      <w:tr w:rsidR="009C6D1D" w:rsidRPr="00781740" w:rsidTr="00112894">
        <w:trPr>
          <w:trHeight w:val="335"/>
        </w:trPr>
        <w:tc>
          <w:tcPr>
            <w:tcW w:w="758" w:type="dxa"/>
            <w:tcBorders>
              <w:top w:val="single" w:sz="4" w:space="0" w:color="auto"/>
              <w:left w:val="single" w:sz="4" w:space="0" w:color="auto"/>
              <w:bottom w:val="single" w:sz="4" w:space="0" w:color="auto"/>
              <w:right w:val="single" w:sz="4" w:space="0" w:color="auto"/>
            </w:tcBorders>
            <w:hideMark/>
          </w:tcPr>
          <w:p w:rsidR="009C6D1D" w:rsidRPr="00781740" w:rsidRDefault="009C6D1D" w:rsidP="00112894">
            <w:pPr>
              <w:widowControl w:val="0"/>
              <w:jc w:val="center"/>
              <w:rPr>
                <w:sz w:val="20"/>
                <w:szCs w:val="20"/>
                <w:lang w:val="uk-UA"/>
              </w:rPr>
            </w:pPr>
            <w:r w:rsidRPr="00781740">
              <w:rPr>
                <w:sz w:val="20"/>
                <w:szCs w:val="20"/>
                <w:lang w:val="uk-UA"/>
              </w:rPr>
              <w:t>1</w:t>
            </w:r>
          </w:p>
        </w:tc>
        <w:tc>
          <w:tcPr>
            <w:tcW w:w="2003" w:type="dxa"/>
            <w:tcBorders>
              <w:top w:val="single" w:sz="4" w:space="0" w:color="auto"/>
              <w:left w:val="single" w:sz="4" w:space="0" w:color="auto"/>
              <w:bottom w:val="single" w:sz="4" w:space="0" w:color="auto"/>
              <w:right w:val="single" w:sz="4" w:space="0" w:color="auto"/>
            </w:tcBorders>
            <w:hideMark/>
          </w:tcPr>
          <w:p w:rsidR="009C6D1D" w:rsidRPr="00654D41" w:rsidRDefault="009C6D1D" w:rsidP="00112894">
            <w:pPr>
              <w:widowControl w:val="0"/>
              <w:jc w:val="center"/>
              <w:rPr>
                <w:sz w:val="22"/>
                <w:szCs w:val="22"/>
                <w:lang w:val="uk-UA"/>
              </w:rPr>
            </w:pPr>
            <w:r w:rsidRPr="00654D41">
              <w:rPr>
                <w:sz w:val="22"/>
                <w:szCs w:val="22"/>
                <w:lang w:val="uk-UA"/>
              </w:rPr>
              <w:t xml:space="preserve">Надання права (повноваження) на використання програмного забезпечення </w:t>
            </w:r>
            <w:proofErr w:type="spellStart"/>
            <w:r w:rsidRPr="00654D41">
              <w:rPr>
                <w:sz w:val="22"/>
                <w:szCs w:val="22"/>
                <w:lang w:val="uk-UA"/>
              </w:rPr>
              <w:t>Ліга:Закон</w:t>
            </w:r>
            <w:proofErr w:type="spellEnd"/>
          </w:p>
        </w:tc>
        <w:tc>
          <w:tcPr>
            <w:tcW w:w="992" w:type="dxa"/>
            <w:tcBorders>
              <w:top w:val="single" w:sz="4" w:space="0" w:color="auto"/>
              <w:left w:val="single" w:sz="4" w:space="0" w:color="auto"/>
              <w:bottom w:val="single" w:sz="4" w:space="0" w:color="auto"/>
              <w:right w:val="single" w:sz="4" w:space="0" w:color="auto"/>
            </w:tcBorders>
          </w:tcPr>
          <w:p w:rsidR="009C6D1D" w:rsidRPr="00781740" w:rsidRDefault="009C6D1D" w:rsidP="00112894">
            <w:pPr>
              <w:widowControl w:val="0"/>
              <w:jc w:val="center"/>
              <w:rPr>
                <w:sz w:val="22"/>
                <w:szCs w:val="22"/>
                <w:lang w:val="uk-UA"/>
              </w:rPr>
            </w:pPr>
            <w:r w:rsidRPr="00781740">
              <w:rPr>
                <w:sz w:val="22"/>
                <w:szCs w:val="22"/>
                <w:lang w:val="uk-UA"/>
              </w:rPr>
              <w:t>послуга</w:t>
            </w:r>
          </w:p>
        </w:tc>
        <w:tc>
          <w:tcPr>
            <w:tcW w:w="862" w:type="dxa"/>
            <w:tcBorders>
              <w:top w:val="single" w:sz="4" w:space="0" w:color="auto"/>
              <w:left w:val="single" w:sz="4" w:space="0" w:color="auto"/>
              <w:bottom w:val="single" w:sz="4" w:space="0" w:color="auto"/>
              <w:right w:val="single" w:sz="4" w:space="0" w:color="auto"/>
            </w:tcBorders>
          </w:tcPr>
          <w:p w:rsidR="009C6D1D" w:rsidRPr="00781740" w:rsidRDefault="009C6D1D" w:rsidP="00112894">
            <w:pPr>
              <w:widowControl w:val="0"/>
              <w:jc w:val="center"/>
              <w:rPr>
                <w:sz w:val="28"/>
                <w:szCs w:val="28"/>
                <w:lang w:val="uk-UA"/>
              </w:rPr>
            </w:pPr>
            <w:r w:rsidRPr="00781740">
              <w:rPr>
                <w:sz w:val="22"/>
                <w:szCs w:val="22"/>
                <w:lang w:val="uk-UA"/>
              </w:rPr>
              <w:t>1</w:t>
            </w:r>
          </w:p>
        </w:tc>
        <w:tc>
          <w:tcPr>
            <w:tcW w:w="5233" w:type="dxa"/>
            <w:tcBorders>
              <w:top w:val="single" w:sz="4" w:space="0" w:color="auto"/>
              <w:left w:val="single" w:sz="4" w:space="0" w:color="auto"/>
              <w:bottom w:val="single" w:sz="4" w:space="0" w:color="auto"/>
              <w:right w:val="single" w:sz="4" w:space="0" w:color="auto"/>
            </w:tcBorders>
          </w:tcPr>
          <w:p w:rsidR="009C6D1D" w:rsidRPr="00781740" w:rsidRDefault="009C6D1D" w:rsidP="00112894">
            <w:pPr>
              <w:jc w:val="both"/>
              <w:rPr>
                <w:sz w:val="22"/>
                <w:szCs w:val="22"/>
                <w:lang w:val="uk-UA"/>
              </w:rPr>
            </w:pPr>
            <w:r w:rsidRPr="00781740">
              <w:rPr>
                <w:sz w:val="22"/>
                <w:szCs w:val="22"/>
                <w:lang w:val="uk-UA"/>
              </w:rPr>
              <w:t xml:space="preserve">Надання право на використання нових ліцензій програмної продукції «LIGA 360» - </w:t>
            </w:r>
            <w:r w:rsidRPr="00781740">
              <w:rPr>
                <w:b/>
                <w:sz w:val="22"/>
                <w:szCs w:val="22"/>
                <w:lang w:val="uk-UA"/>
              </w:rPr>
              <w:t>2 ліцензії</w:t>
            </w:r>
            <w:r w:rsidRPr="00781740">
              <w:rPr>
                <w:sz w:val="22"/>
                <w:szCs w:val="22"/>
                <w:lang w:val="uk-UA"/>
              </w:rPr>
              <w:t>:</w:t>
            </w:r>
          </w:p>
          <w:p w:rsidR="009C6D1D" w:rsidRPr="00781740" w:rsidRDefault="009C6D1D" w:rsidP="00112894">
            <w:pPr>
              <w:jc w:val="both"/>
              <w:rPr>
                <w:sz w:val="22"/>
                <w:szCs w:val="22"/>
                <w:lang w:val="uk-UA"/>
              </w:rPr>
            </w:pPr>
            <w:r w:rsidRPr="00781740">
              <w:rPr>
                <w:sz w:val="22"/>
                <w:szCs w:val="22"/>
                <w:lang w:val="uk-UA"/>
              </w:rPr>
              <w:t xml:space="preserve">1. </w:t>
            </w:r>
            <w:r w:rsidRPr="00781740">
              <w:rPr>
                <w:b/>
                <w:sz w:val="22"/>
                <w:szCs w:val="22"/>
                <w:lang w:val="uk-UA"/>
              </w:rPr>
              <w:t>LIGA360: ЮРИСТ ПРЕМІУМ – 1 ліцензія</w:t>
            </w:r>
            <w:r w:rsidRPr="00781740">
              <w:rPr>
                <w:sz w:val="22"/>
                <w:szCs w:val="22"/>
                <w:lang w:val="uk-UA"/>
              </w:rPr>
              <w:t>:</w:t>
            </w:r>
          </w:p>
          <w:p w:rsidR="009C6D1D" w:rsidRPr="00781740" w:rsidRDefault="009C6D1D" w:rsidP="00112894">
            <w:pPr>
              <w:jc w:val="both"/>
              <w:rPr>
                <w:sz w:val="22"/>
                <w:szCs w:val="22"/>
                <w:lang w:val="uk-UA"/>
              </w:rPr>
            </w:pPr>
            <w:r w:rsidRPr="00781740">
              <w:rPr>
                <w:sz w:val="22"/>
                <w:szCs w:val="22"/>
                <w:lang w:val="uk-UA"/>
              </w:rPr>
              <w:t xml:space="preserve">- Система Прайм - вся законодавча база, правова картина дня, новації, влада України, банкрутство, судова практика, коментовані кодекси, європейське </w:t>
            </w:r>
            <w:r w:rsidRPr="00781740">
              <w:rPr>
                <w:sz w:val="22"/>
                <w:szCs w:val="22"/>
                <w:lang w:val="uk-UA"/>
              </w:rPr>
              <w:lastRenderedPageBreak/>
              <w:t>законодавство, типові договори та шаблони, база податкових знань, галузі економіки;</w:t>
            </w:r>
          </w:p>
          <w:p w:rsidR="009C6D1D" w:rsidRPr="00781740" w:rsidRDefault="009C6D1D" w:rsidP="00112894">
            <w:pPr>
              <w:jc w:val="both"/>
              <w:rPr>
                <w:sz w:val="22"/>
                <w:szCs w:val="22"/>
                <w:lang w:val="uk-UA"/>
              </w:rPr>
            </w:pPr>
            <w:r w:rsidRPr="00781740">
              <w:rPr>
                <w:sz w:val="22"/>
                <w:szCs w:val="22"/>
                <w:lang w:val="uk-UA"/>
              </w:rPr>
              <w:t xml:space="preserve">- Система </w:t>
            </w:r>
            <w:proofErr w:type="spellStart"/>
            <w:r w:rsidRPr="00781740">
              <w:rPr>
                <w:sz w:val="22"/>
                <w:szCs w:val="22"/>
                <w:lang w:val="uk-UA"/>
              </w:rPr>
              <w:t>VerdictumPRO</w:t>
            </w:r>
            <w:proofErr w:type="spellEnd"/>
            <w:r w:rsidRPr="00781740">
              <w:rPr>
                <w:sz w:val="22"/>
                <w:szCs w:val="22"/>
                <w:lang w:val="uk-UA"/>
              </w:rPr>
              <w:t xml:space="preserve"> - всі судові рішення</w:t>
            </w:r>
          </w:p>
          <w:p w:rsidR="009C6D1D" w:rsidRPr="00781740" w:rsidRDefault="009C6D1D" w:rsidP="00112894">
            <w:pPr>
              <w:jc w:val="both"/>
              <w:rPr>
                <w:sz w:val="22"/>
                <w:szCs w:val="22"/>
                <w:lang w:val="uk-UA"/>
              </w:rPr>
            </w:pPr>
            <w:r w:rsidRPr="00781740">
              <w:rPr>
                <w:sz w:val="22"/>
                <w:szCs w:val="22"/>
                <w:lang w:val="uk-UA"/>
              </w:rPr>
              <w:t>які є в реєстрі судових рішень, та додаткові фільтри, можливість моніторингу судових справ і судових засідань, оцінка ймовірності перемоги у суді на основі аналізу позовної заяви за допомогою штучного інтелекту;</w:t>
            </w:r>
          </w:p>
          <w:p w:rsidR="009C6D1D" w:rsidRPr="00781740" w:rsidRDefault="009C6D1D" w:rsidP="00112894">
            <w:pPr>
              <w:jc w:val="both"/>
              <w:rPr>
                <w:sz w:val="22"/>
                <w:szCs w:val="22"/>
                <w:lang w:val="uk-UA"/>
              </w:rPr>
            </w:pPr>
            <w:r w:rsidRPr="00781740">
              <w:rPr>
                <w:sz w:val="22"/>
                <w:szCs w:val="22"/>
                <w:lang w:val="uk-UA"/>
              </w:rPr>
              <w:t xml:space="preserve">- Система </w:t>
            </w:r>
            <w:proofErr w:type="spellStart"/>
            <w:r w:rsidRPr="00781740">
              <w:rPr>
                <w:sz w:val="22"/>
                <w:szCs w:val="22"/>
                <w:lang w:val="uk-UA"/>
              </w:rPr>
              <w:t>Contragent</w:t>
            </w:r>
            <w:proofErr w:type="spellEnd"/>
            <w:r w:rsidRPr="00781740">
              <w:rPr>
                <w:sz w:val="22"/>
                <w:szCs w:val="22"/>
                <w:lang w:val="uk-UA"/>
              </w:rPr>
              <w:t xml:space="preserve"> - 750 переглядів в місяць і 150 карточок на моніторинг - повне досьє </w:t>
            </w:r>
            <w:proofErr w:type="spellStart"/>
            <w:r w:rsidRPr="00781740">
              <w:rPr>
                <w:sz w:val="22"/>
                <w:szCs w:val="22"/>
                <w:lang w:val="uk-UA"/>
              </w:rPr>
              <w:t>ФОПів</w:t>
            </w:r>
            <w:proofErr w:type="spellEnd"/>
            <w:r w:rsidRPr="00781740">
              <w:rPr>
                <w:sz w:val="22"/>
                <w:szCs w:val="22"/>
                <w:lang w:val="uk-UA"/>
              </w:rPr>
              <w:t>, юридичних осіб, та фізичних осіб, інформацію про використання публічних коштів;</w:t>
            </w:r>
          </w:p>
          <w:p w:rsidR="009C6D1D" w:rsidRPr="00781740" w:rsidRDefault="009C6D1D" w:rsidP="00112894">
            <w:pPr>
              <w:jc w:val="both"/>
              <w:rPr>
                <w:sz w:val="22"/>
                <w:szCs w:val="22"/>
                <w:lang w:val="uk-UA"/>
              </w:rPr>
            </w:pPr>
            <w:r w:rsidRPr="00781740">
              <w:rPr>
                <w:sz w:val="22"/>
                <w:szCs w:val="22"/>
                <w:lang w:val="uk-UA"/>
              </w:rPr>
              <w:t>- Електронне видання ЮРИСТ і ЗАКОН – аналітичне видання щодо практики правозастосування з нагальних для юристів питань. Унікальні типи аналітичних матеріалів щодо огляду тематики професійних юридичних форумів, алгоритми дій у практичних ситуаціях, зразки документів з рекомендаціями;</w:t>
            </w:r>
          </w:p>
          <w:p w:rsidR="009C6D1D" w:rsidRPr="00781740" w:rsidRDefault="009C6D1D" w:rsidP="00112894">
            <w:pPr>
              <w:jc w:val="both"/>
              <w:rPr>
                <w:sz w:val="22"/>
                <w:szCs w:val="22"/>
                <w:lang w:val="uk-UA"/>
              </w:rPr>
            </w:pPr>
            <w:r w:rsidRPr="00781740">
              <w:rPr>
                <w:sz w:val="22"/>
                <w:szCs w:val="22"/>
                <w:lang w:val="uk-UA"/>
              </w:rPr>
              <w:t xml:space="preserve">- Система </w:t>
            </w:r>
            <w:proofErr w:type="spellStart"/>
            <w:r w:rsidRPr="00781740">
              <w:rPr>
                <w:sz w:val="22"/>
                <w:szCs w:val="22"/>
                <w:lang w:val="uk-UA"/>
              </w:rPr>
              <w:t>Contractum</w:t>
            </w:r>
            <w:proofErr w:type="spellEnd"/>
            <w:r w:rsidRPr="00781740">
              <w:rPr>
                <w:sz w:val="22"/>
                <w:szCs w:val="22"/>
                <w:lang w:val="uk-UA"/>
              </w:rPr>
              <w:t xml:space="preserve"> - управління ризиками протягом усього життєвого циклу договору, забезпечення відповідності діючому законодавству, концепція доступу для різноманітних ролей у компанії, безперервність відслідковування виконання, автоматичне нагадування про продовження термінів, зручні функції пошуку, класифікація та сортування, швидкий хмарний доступ до всіх інструментів та функцій. Автоматизація роботи з договорами на усіх етапах – від отримання вимог замовників до постановки договору на моніторинг та відстеження його виконання.</w:t>
            </w:r>
          </w:p>
          <w:p w:rsidR="009C6D1D" w:rsidRPr="00781740" w:rsidRDefault="009C6D1D" w:rsidP="00112894">
            <w:pPr>
              <w:jc w:val="both"/>
              <w:rPr>
                <w:sz w:val="22"/>
                <w:szCs w:val="22"/>
                <w:lang w:val="uk-UA"/>
              </w:rPr>
            </w:pPr>
            <w:r w:rsidRPr="00781740">
              <w:rPr>
                <w:sz w:val="22"/>
                <w:szCs w:val="22"/>
                <w:lang w:val="uk-UA"/>
              </w:rPr>
              <w:t xml:space="preserve">2. </w:t>
            </w:r>
            <w:r w:rsidRPr="00781740">
              <w:rPr>
                <w:b/>
                <w:sz w:val="22"/>
                <w:szCs w:val="22"/>
                <w:lang w:val="uk-UA"/>
              </w:rPr>
              <w:t>LIGA360: БУХГАЛТЕР ПРЕМІУМ – 1 ліцензія</w:t>
            </w:r>
            <w:r w:rsidRPr="00781740">
              <w:rPr>
                <w:sz w:val="22"/>
                <w:szCs w:val="22"/>
                <w:lang w:val="uk-UA"/>
              </w:rPr>
              <w:t>:</w:t>
            </w:r>
          </w:p>
          <w:p w:rsidR="009C6D1D" w:rsidRPr="00781740" w:rsidRDefault="009C6D1D" w:rsidP="00112894">
            <w:pPr>
              <w:jc w:val="both"/>
              <w:rPr>
                <w:sz w:val="22"/>
                <w:szCs w:val="22"/>
                <w:lang w:val="uk-UA"/>
              </w:rPr>
            </w:pPr>
            <w:r w:rsidRPr="00781740">
              <w:rPr>
                <w:sz w:val="22"/>
                <w:szCs w:val="22"/>
                <w:lang w:val="uk-UA"/>
              </w:rPr>
              <w:t>- Система Прайм - вся законодавча база, правова картина дня, новації, влада України, банкрутство, судова практика, коментовані</w:t>
            </w:r>
          </w:p>
          <w:p w:rsidR="009C6D1D" w:rsidRPr="00781740" w:rsidRDefault="009C6D1D" w:rsidP="00112894">
            <w:pPr>
              <w:jc w:val="both"/>
              <w:rPr>
                <w:sz w:val="22"/>
                <w:szCs w:val="22"/>
                <w:lang w:val="uk-UA"/>
              </w:rPr>
            </w:pPr>
            <w:r w:rsidRPr="00781740">
              <w:rPr>
                <w:sz w:val="22"/>
                <w:szCs w:val="22"/>
                <w:lang w:val="uk-UA"/>
              </w:rPr>
              <w:t>кодекси, європейське законодавство, типові</w:t>
            </w:r>
          </w:p>
          <w:p w:rsidR="009C6D1D" w:rsidRPr="00781740" w:rsidRDefault="009C6D1D" w:rsidP="00112894">
            <w:pPr>
              <w:jc w:val="both"/>
              <w:rPr>
                <w:sz w:val="22"/>
                <w:szCs w:val="22"/>
                <w:lang w:val="uk-UA"/>
              </w:rPr>
            </w:pPr>
            <w:r w:rsidRPr="00781740">
              <w:rPr>
                <w:sz w:val="22"/>
                <w:szCs w:val="22"/>
                <w:lang w:val="uk-UA"/>
              </w:rPr>
              <w:t>договори та шаблони, база податкових знань,</w:t>
            </w:r>
          </w:p>
          <w:p w:rsidR="009C6D1D" w:rsidRPr="00781740" w:rsidRDefault="009C6D1D" w:rsidP="00112894">
            <w:pPr>
              <w:jc w:val="both"/>
              <w:rPr>
                <w:sz w:val="22"/>
                <w:szCs w:val="22"/>
                <w:lang w:val="uk-UA"/>
              </w:rPr>
            </w:pPr>
            <w:r w:rsidRPr="00781740">
              <w:rPr>
                <w:sz w:val="22"/>
                <w:szCs w:val="22"/>
                <w:lang w:val="uk-UA"/>
              </w:rPr>
              <w:t>галузі економіки;</w:t>
            </w:r>
          </w:p>
          <w:p w:rsidR="009C6D1D" w:rsidRPr="00781740" w:rsidRDefault="009C6D1D" w:rsidP="00112894">
            <w:pPr>
              <w:jc w:val="both"/>
              <w:rPr>
                <w:sz w:val="22"/>
                <w:szCs w:val="22"/>
                <w:lang w:val="uk-UA"/>
              </w:rPr>
            </w:pPr>
            <w:r w:rsidRPr="00781740">
              <w:rPr>
                <w:sz w:val="22"/>
                <w:szCs w:val="22"/>
                <w:lang w:val="uk-UA"/>
              </w:rPr>
              <w:t>- Система REPORT - хмарний сервіс для подання звітності та реєстрації ПН/РК;</w:t>
            </w:r>
          </w:p>
          <w:p w:rsidR="009C6D1D" w:rsidRPr="00781740" w:rsidRDefault="009C6D1D" w:rsidP="00112894">
            <w:pPr>
              <w:jc w:val="both"/>
              <w:rPr>
                <w:sz w:val="22"/>
                <w:szCs w:val="22"/>
                <w:lang w:val="uk-UA"/>
              </w:rPr>
            </w:pPr>
            <w:r w:rsidRPr="00781740">
              <w:rPr>
                <w:sz w:val="22"/>
                <w:szCs w:val="22"/>
                <w:lang w:val="uk-UA"/>
              </w:rPr>
              <w:t xml:space="preserve">- Система </w:t>
            </w:r>
            <w:proofErr w:type="spellStart"/>
            <w:r w:rsidRPr="00781740">
              <w:rPr>
                <w:sz w:val="22"/>
                <w:szCs w:val="22"/>
                <w:lang w:val="uk-UA"/>
              </w:rPr>
              <w:t>Contragent</w:t>
            </w:r>
            <w:proofErr w:type="spellEnd"/>
            <w:r w:rsidRPr="00781740">
              <w:rPr>
                <w:sz w:val="22"/>
                <w:szCs w:val="22"/>
                <w:lang w:val="uk-UA"/>
              </w:rPr>
              <w:t xml:space="preserve"> - 250 переглядів в місяць і 50 карточок на моніторинг, повне досьє </w:t>
            </w:r>
            <w:proofErr w:type="spellStart"/>
            <w:r w:rsidRPr="00781740">
              <w:rPr>
                <w:sz w:val="22"/>
                <w:szCs w:val="22"/>
                <w:lang w:val="uk-UA"/>
              </w:rPr>
              <w:t>ФОПів</w:t>
            </w:r>
            <w:proofErr w:type="spellEnd"/>
            <w:r w:rsidRPr="00781740">
              <w:rPr>
                <w:sz w:val="22"/>
                <w:szCs w:val="22"/>
                <w:lang w:val="uk-UA"/>
              </w:rPr>
              <w:t>, юридичних осіб, та фізичних осіб, інформація про використання публічних коштів, всі тендерні закупівлі;</w:t>
            </w:r>
          </w:p>
          <w:p w:rsidR="009C6D1D" w:rsidRPr="00781740" w:rsidRDefault="009C6D1D" w:rsidP="00112894">
            <w:pPr>
              <w:jc w:val="both"/>
              <w:rPr>
                <w:sz w:val="22"/>
                <w:szCs w:val="22"/>
                <w:lang w:val="uk-UA"/>
              </w:rPr>
            </w:pPr>
            <w:r w:rsidRPr="00781740">
              <w:rPr>
                <w:sz w:val="22"/>
                <w:szCs w:val="22"/>
                <w:lang w:val="uk-UA"/>
              </w:rPr>
              <w:t>- Електронне видання БУХГАЛТЕР і ЗАКОН -</w:t>
            </w:r>
          </w:p>
          <w:p w:rsidR="009C6D1D" w:rsidRPr="00781740" w:rsidRDefault="009C6D1D" w:rsidP="00112894">
            <w:pPr>
              <w:jc w:val="both"/>
              <w:rPr>
                <w:sz w:val="22"/>
                <w:szCs w:val="22"/>
                <w:lang w:val="uk-UA"/>
              </w:rPr>
            </w:pPr>
            <w:r w:rsidRPr="00781740">
              <w:rPr>
                <w:sz w:val="22"/>
                <w:szCs w:val="22"/>
                <w:lang w:val="uk-UA"/>
              </w:rPr>
              <w:t xml:space="preserve">аналітичне видання для бухгалтерів та фінансистів із глибинним систематизованим аналізом найважливіших бухгалтерських </w:t>
            </w:r>
            <w:proofErr w:type="spellStart"/>
            <w:r w:rsidRPr="00781740">
              <w:rPr>
                <w:sz w:val="22"/>
                <w:szCs w:val="22"/>
                <w:lang w:val="uk-UA"/>
              </w:rPr>
              <w:t>тематик</w:t>
            </w:r>
            <w:proofErr w:type="spellEnd"/>
            <w:r w:rsidRPr="00781740">
              <w:rPr>
                <w:sz w:val="22"/>
                <w:szCs w:val="22"/>
                <w:lang w:val="uk-UA"/>
              </w:rPr>
              <w:t xml:space="preserve"> з оглядом на практику, досвід судового вирішення питань, рекомендації фіскальних та контролюючих органів;</w:t>
            </w:r>
          </w:p>
          <w:p w:rsidR="009C6D1D" w:rsidRPr="00781740" w:rsidRDefault="009C6D1D" w:rsidP="00112894">
            <w:pPr>
              <w:jc w:val="both"/>
              <w:rPr>
                <w:sz w:val="22"/>
                <w:szCs w:val="22"/>
                <w:lang w:val="uk-UA"/>
              </w:rPr>
            </w:pPr>
            <w:r w:rsidRPr="00781740">
              <w:rPr>
                <w:sz w:val="22"/>
                <w:szCs w:val="22"/>
                <w:lang w:val="uk-UA"/>
              </w:rPr>
              <w:lastRenderedPageBreak/>
              <w:t xml:space="preserve">- Електронне видання ІНТРЕБУХ – щоденна електронна газета та новини, база нормативних документів, тематичні спецвипуски, </w:t>
            </w:r>
            <w:proofErr w:type="spellStart"/>
            <w:r w:rsidRPr="00781740">
              <w:rPr>
                <w:sz w:val="22"/>
                <w:szCs w:val="22"/>
                <w:lang w:val="uk-UA"/>
              </w:rPr>
              <w:t>вебінари</w:t>
            </w:r>
            <w:proofErr w:type="spellEnd"/>
            <w:r w:rsidRPr="00781740">
              <w:rPr>
                <w:sz w:val="22"/>
                <w:szCs w:val="22"/>
                <w:lang w:val="uk-UA"/>
              </w:rPr>
              <w:t>;</w:t>
            </w:r>
          </w:p>
          <w:p w:rsidR="009C6D1D" w:rsidRPr="00781740" w:rsidRDefault="009C6D1D" w:rsidP="00112894">
            <w:pPr>
              <w:jc w:val="both"/>
              <w:rPr>
                <w:sz w:val="22"/>
                <w:szCs w:val="22"/>
                <w:lang w:val="uk-UA"/>
              </w:rPr>
            </w:pPr>
            <w:r w:rsidRPr="00781740">
              <w:rPr>
                <w:sz w:val="22"/>
                <w:szCs w:val="22"/>
                <w:lang w:val="uk-UA"/>
              </w:rPr>
              <w:t>- Електронне видання ВІСНИК МСФЗ -аналітичне видання про застосування міжнародних стандартів фінансової звітності (МСФЗ) в практиці українських підприємств. Бібліотека офіційних перекладів МСФЗ та аналітичні матеріали експертів, також висвітлюються питання міжнародного оподаткування;</w:t>
            </w:r>
          </w:p>
          <w:p w:rsidR="009C6D1D" w:rsidRPr="00781740" w:rsidRDefault="009C6D1D" w:rsidP="00112894">
            <w:pPr>
              <w:jc w:val="both"/>
              <w:rPr>
                <w:sz w:val="22"/>
                <w:szCs w:val="22"/>
                <w:lang w:val="uk-UA"/>
              </w:rPr>
            </w:pPr>
            <w:r w:rsidRPr="00781740">
              <w:rPr>
                <w:sz w:val="22"/>
                <w:szCs w:val="22"/>
                <w:lang w:val="uk-UA"/>
              </w:rPr>
              <w:t>- ОСОБИСТИЙ ЕКСПЕРТ ПРОФЕСІЙНИЙ – 3 онлайн консультації на місяць.</w:t>
            </w:r>
          </w:p>
          <w:p w:rsidR="009C6D1D" w:rsidRPr="00781740" w:rsidRDefault="009C6D1D" w:rsidP="00112894">
            <w:pPr>
              <w:jc w:val="both"/>
              <w:rPr>
                <w:sz w:val="22"/>
                <w:szCs w:val="22"/>
                <w:lang w:val="uk-UA"/>
              </w:rPr>
            </w:pPr>
          </w:p>
          <w:p w:rsidR="009C6D1D" w:rsidRPr="00781740" w:rsidRDefault="009C6D1D" w:rsidP="00112894">
            <w:pPr>
              <w:pStyle w:val="Default"/>
              <w:jc w:val="both"/>
              <w:rPr>
                <w:i/>
                <w:sz w:val="28"/>
                <w:szCs w:val="28"/>
              </w:rPr>
            </w:pPr>
            <w:r w:rsidRPr="00781740">
              <w:rPr>
                <w:sz w:val="22"/>
                <w:szCs w:val="22"/>
              </w:rPr>
              <w:t xml:space="preserve">Строк права використання ліцензій – </w:t>
            </w:r>
            <w:r w:rsidRPr="00781740">
              <w:rPr>
                <w:b/>
                <w:sz w:val="22"/>
                <w:szCs w:val="22"/>
              </w:rPr>
              <w:t>12 місяців</w:t>
            </w:r>
            <w:r w:rsidRPr="00781740">
              <w:rPr>
                <w:sz w:val="22"/>
                <w:szCs w:val="22"/>
              </w:rPr>
              <w:t>.</w:t>
            </w:r>
          </w:p>
        </w:tc>
      </w:tr>
    </w:tbl>
    <w:p w:rsidR="006F428D" w:rsidRPr="007101A5" w:rsidRDefault="006F428D" w:rsidP="00A12478">
      <w:pPr>
        <w:rPr>
          <w:b/>
          <w:lang w:val="uk-UA"/>
        </w:rPr>
      </w:pPr>
    </w:p>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C0E" w:rsidRDefault="00F75C0E">
      <w:r>
        <w:separator/>
      </w:r>
    </w:p>
  </w:endnote>
  <w:endnote w:type="continuationSeparator" w:id="0">
    <w:p w:rsidR="00F75C0E" w:rsidRDefault="00F7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D57576"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48F04A"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A41BB5">
      <w:rPr>
        <w:sz w:val="20"/>
        <w:szCs w:val="20"/>
        <w:lang w:val="uk-UA"/>
      </w:rPr>
      <w:t xml:space="preserve">Надання права (повноваження) на використання програмного забезпечення </w:t>
    </w:r>
    <w:proofErr w:type="spellStart"/>
    <w:r w:rsidR="00A41BB5">
      <w:rPr>
        <w:sz w:val="20"/>
        <w:szCs w:val="20"/>
        <w:lang w:val="uk-UA"/>
      </w:rPr>
      <w:t>Ліга:Закон</w:t>
    </w:r>
    <w:proofErr w:type="spellEnd"/>
    <w:r w:rsidR="00A41BB5">
      <w:rPr>
        <w:sz w:val="20"/>
        <w:szCs w:val="20"/>
        <w:lang w:val="uk-UA"/>
      </w:rPr>
      <w:t xml:space="preserve">, код ДК 021:2015 - 72310000-1 - Послуги з обробки даних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9C6D1D">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9C6D1D">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C0E" w:rsidRDefault="00F75C0E">
      <w:r>
        <w:separator/>
      </w:r>
    </w:p>
  </w:footnote>
  <w:footnote w:type="continuationSeparator" w:id="0">
    <w:p w:rsidR="00F75C0E" w:rsidRDefault="00F75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D57576"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E1A9D0"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4895"/>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69FD"/>
    <w:rsid w:val="00547419"/>
    <w:rsid w:val="00547D23"/>
    <w:rsid w:val="005532FE"/>
    <w:rsid w:val="005539E3"/>
    <w:rsid w:val="00555528"/>
    <w:rsid w:val="00555EB9"/>
    <w:rsid w:val="00556091"/>
    <w:rsid w:val="00557BF8"/>
    <w:rsid w:val="00570DE1"/>
    <w:rsid w:val="00571F8C"/>
    <w:rsid w:val="00573C3C"/>
    <w:rsid w:val="00574C65"/>
    <w:rsid w:val="00577483"/>
    <w:rsid w:val="0057754F"/>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D1D"/>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1BB5"/>
    <w:rsid w:val="00A46DA5"/>
    <w:rsid w:val="00A54207"/>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576"/>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159"/>
    <w:rsid w:val="00F675AC"/>
    <w:rsid w:val="00F7096D"/>
    <w:rsid w:val="00F71B58"/>
    <w:rsid w:val="00F71DAF"/>
    <w:rsid w:val="00F75C0E"/>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25C21B"/>
  <w15:chartTrackingRefBased/>
  <w15:docId w15:val="{4ABE696B-D806-495F-B67B-3F52924B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styleId="a4">
    <w:name w:val="Title"/>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і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і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у Знак"/>
    <w:link w:val="af5"/>
    <w:uiPriority w:val="34"/>
    <w:locked/>
    <w:rsid w:val="006F0757"/>
    <w:rPr>
      <w:rFonts w:ascii="Calibri" w:eastAsia="Calibri" w:hAnsi="Calibri"/>
      <w:sz w:val="22"/>
      <w:szCs w:val="22"/>
      <w:lang w:val="ru-RU" w:eastAsia="en-US"/>
    </w:rPr>
  </w:style>
  <w:style w:type="paragraph" w:customStyle="1" w:styleId="Default">
    <w:name w:val="Default"/>
    <w:rsid w:val="009C6D1D"/>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zorro.gov.ua/tender/UA-2024-07-04-006502-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96B84-44D5-4359-8D25-62CFE50B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3338</Words>
  <Characters>1904</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Airport Boryspil</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2024-07-04T11:47:00Z</dcterms:created>
  <dcterms:modified xsi:type="dcterms:W3CDTF">2024-07-04T11:59:00Z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