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0B5AE7"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D86540" w:rsidP="001670A2">
            <w:pPr>
              <w:widowControl w:val="0"/>
              <w:ind w:right="-11"/>
              <w:jc w:val="center"/>
              <w:rPr>
                <w:sz w:val="22"/>
                <w:szCs w:val="22"/>
                <w:lang w:val="uk-UA" w:eastAsia="uk-UA"/>
              </w:rPr>
            </w:pPr>
            <w:r w:rsidRPr="001670A2">
              <w:rPr>
                <w:sz w:val="22"/>
                <w:szCs w:val="22"/>
                <w:lang w:val="uk-UA"/>
              </w:rPr>
              <w:t xml:space="preserve">41.24 </w:t>
            </w:r>
            <w:r w:rsidR="00BD6E95" w:rsidRPr="001670A2">
              <w:rPr>
                <w:sz w:val="22"/>
                <w:szCs w:val="22"/>
                <w:lang w:val="uk-UA" w:eastAsia="uk-UA"/>
              </w:rPr>
              <w:t>(202</w:t>
            </w:r>
            <w:r w:rsidR="005469FD" w:rsidRPr="001670A2">
              <w:rPr>
                <w:sz w:val="22"/>
                <w:szCs w:val="22"/>
                <w:lang w:val="uk-UA" w:eastAsia="uk-UA"/>
              </w:rPr>
              <w:t>4</w:t>
            </w:r>
            <w:r w:rsidR="00A76484" w:rsidRPr="001670A2">
              <w:rPr>
                <w:sz w:val="22"/>
                <w:szCs w:val="22"/>
                <w:lang w:val="uk-UA" w:eastAsia="uk-UA"/>
              </w:rPr>
              <w:t>)</w:t>
            </w:r>
          </w:p>
        </w:tc>
        <w:tc>
          <w:tcPr>
            <w:tcW w:w="1527" w:type="pct"/>
          </w:tcPr>
          <w:p w:rsidR="00A76484" w:rsidRPr="007101A5" w:rsidRDefault="00D86540" w:rsidP="00A12478">
            <w:pPr>
              <w:widowControl w:val="0"/>
              <w:rPr>
                <w:bCs/>
                <w:sz w:val="22"/>
                <w:szCs w:val="22"/>
                <w:lang w:val="uk-UA"/>
              </w:rPr>
            </w:pPr>
            <w:r>
              <w:rPr>
                <w:b/>
                <w:sz w:val="22"/>
                <w:szCs w:val="22"/>
                <w:lang w:val="uk-UA"/>
              </w:rPr>
              <w:t xml:space="preserve">Послуга SSL сертифікації домену, </w:t>
            </w:r>
            <w:r w:rsidRPr="001670A2">
              <w:rPr>
                <w:sz w:val="22"/>
                <w:szCs w:val="22"/>
                <w:lang w:val="uk-UA"/>
              </w:rPr>
              <w:t>код ДК 021:2015 - 72410000-7 - Послуги провайдерів</w:t>
            </w:r>
            <w:r>
              <w:rPr>
                <w:b/>
                <w:sz w:val="22"/>
                <w:szCs w:val="22"/>
                <w:lang w:val="uk-UA"/>
              </w:rPr>
              <w:t xml:space="preserve"> </w:t>
            </w:r>
          </w:p>
        </w:tc>
        <w:tc>
          <w:tcPr>
            <w:tcW w:w="947" w:type="pct"/>
          </w:tcPr>
          <w:p w:rsidR="00A76484" w:rsidRPr="001670A2" w:rsidRDefault="00D86540" w:rsidP="002D4D30">
            <w:pPr>
              <w:widowControl w:val="0"/>
              <w:jc w:val="center"/>
              <w:rPr>
                <w:sz w:val="22"/>
                <w:szCs w:val="22"/>
                <w:lang w:val="uk-UA"/>
              </w:rPr>
            </w:pPr>
            <w:r w:rsidRPr="001670A2">
              <w:rPr>
                <w:sz w:val="22"/>
                <w:szCs w:val="22"/>
                <w:lang w:val="uk-UA"/>
              </w:rPr>
              <w:t>3 593,64</w:t>
            </w:r>
            <w:r w:rsidR="00A76484" w:rsidRPr="001670A2">
              <w:rPr>
                <w:sz w:val="22"/>
                <w:szCs w:val="22"/>
                <w:lang w:val="uk-UA"/>
              </w:rPr>
              <w:t xml:space="preserve"> </w:t>
            </w:r>
          </w:p>
          <w:p w:rsidR="00A76484" w:rsidRPr="001670A2" w:rsidRDefault="00A76484" w:rsidP="002D4D30">
            <w:pPr>
              <w:widowControl w:val="0"/>
              <w:jc w:val="center"/>
              <w:rPr>
                <w:sz w:val="22"/>
                <w:szCs w:val="22"/>
                <w:lang w:val="uk-UA"/>
              </w:rPr>
            </w:pPr>
            <w:r w:rsidRPr="001670A2">
              <w:rPr>
                <w:sz w:val="22"/>
                <w:szCs w:val="22"/>
                <w:lang w:val="uk-UA"/>
              </w:rPr>
              <w:t>грн. з ПДВ</w:t>
            </w:r>
          </w:p>
        </w:tc>
        <w:tc>
          <w:tcPr>
            <w:tcW w:w="1102" w:type="pct"/>
          </w:tcPr>
          <w:p w:rsidR="00A76484" w:rsidRPr="001670A2" w:rsidRDefault="001670A2" w:rsidP="002D4D30">
            <w:pPr>
              <w:widowControl w:val="0"/>
              <w:jc w:val="center"/>
              <w:rPr>
                <w:sz w:val="22"/>
                <w:szCs w:val="22"/>
                <w:lang w:val="uk-UA"/>
              </w:rPr>
            </w:pPr>
            <w:r w:rsidRPr="001670A2">
              <w:rPr>
                <w:sz w:val="22"/>
                <w:szCs w:val="22"/>
                <w:lang w:val="uk-UA"/>
              </w:rPr>
              <w:t>2 994,70</w:t>
            </w:r>
          </w:p>
          <w:p w:rsidR="00A76484" w:rsidRPr="001670A2" w:rsidRDefault="00A76484" w:rsidP="002D4D30">
            <w:pPr>
              <w:widowControl w:val="0"/>
              <w:jc w:val="center"/>
              <w:rPr>
                <w:sz w:val="22"/>
                <w:szCs w:val="22"/>
                <w:lang w:val="uk-UA"/>
              </w:rPr>
            </w:pPr>
            <w:r w:rsidRPr="001670A2">
              <w:rPr>
                <w:sz w:val="22"/>
                <w:szCs w:val="22"/>
                <w:lang w:val="uk-UA"/>
              </w:rPr>
              <w:t xml:space="preserve">грн. без ПДВ </w:t>
            </w:r>
          </w:p>
        </w:tc>
        <w:tc>
          <w:tcPr>
            <w:tcW w:w="936" w:type="pct"/>
          </w:tcPr>
          <w:p w:rsidR="00A76484" w:rsidRPr="001670A2" w:rsidRDefault="00D86540" w:rsidP="002D4D30">
            <w:pPr>
              <w:widowControl w:val="0"/>
              <w:jc w:val="center"/>
              <w:rPr>
                <w:color w:val="0000FF"/>
                <w:sz w:val="22"/>
                <w:szCs w:val="22"/>
                <w:lang w:val="uk-UA"/>
              </w:rPr>
            </w:pPr>
            <w:r w:rsidRPr="001670A2">
              <w:rPr>
                <w:b/>
                <w:sz w:val="22"/>
                <w:szCs w:val="22"/>
                <w:lang w:val="uk-UA"/>
              </w:rPr>
              <w:t>UA-2024-07-08-009094-a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1670A2" w:rsidRDefault="001670A2" w:rsidP="001670A2">
            <w:pPr>
              <w:ind w:right="195"/>
              <w:jc w:val="both"/>
              <w:rPr>
                <w:i/>
                <w:lang w:val="uk-UA"/>
              </w:rPr>
            </w:pPr>
            <w:r w:rsidRPr="001670A2">
              <w:rPr>
                <w:lang w:val="uk-UA"/>
              </w:rPr>
              <w:t>Технічні та якісні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1670A2" w:rsidRDefault="001670A2" w:rsidP="001670A2">
            <w:pPr>
              <w:ind w:right="195"/>
              <w:jc w:val="both"/>
              <w:rPr>
                <w:i/>
                <w:lang w:val="uk-UA"/>
              </w:rPr>
            </w:pPr>
            <w:r w:rsidRPr="001670A2">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1670A2">
              <w:rPr>
                <w:lang w:val="uk-UA"/>
              </w:rPr>
              <w:t>закупівель</w:t>
            </w:r>
            <w:proofErr w:type="spellEnd"/>
            <w:r w:rsidRPr="001670A2">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та відповідно до затвердженої на підприємстві методики №50-06-1 від 17.05.2022. Очікувана вартість предмета закупівлі визначена методом порівняння ринкових цін за інформацією, що міститься у відкритих джерелах в мережі Інтернет, на сайтах постачальників послуг з реєстрації SSL сертифікатів. Очікувану вартість закупівлі розраховано, як середньоарифметичне значення масиву отриманих даних.</w:t>
            </w:r>
          </w:p>
        </w:tc>
      </w:tr>
    </w:tbl>
    <w:p w:rsidR="006F428D" w:rsidRPr="007101A5" w:rsidRDefault="006F428D" w:rsidP="00A12478">
      <w:pPr>
        <w:rPr>
          <w:b/>
          <w:lang w:val="uk-UA"/>
        </w:rPr>
      </w:pPr>
    </w:p>
    <w:p w:rsidR="006926A0" w:rsidRPr="001670A2" w:rsidRDefault="006926A0" w:rsidP="006926A0">
      <w:pPr>
        <w:ind w:firstLine="567"/>
        <w:jc w:val="both"/>
        <w:rPr>
          <w:lang w:val="uk-UA"/>
        </w:rPr>
      </w:pPr>
      <w:r w:rsidRPr="001670A2">
        <w:rPr>
          <w:lang w:val="uk-UA"/>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997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567"/>
        <w:gridCol w:w="1895"/>
        <w:gridCol w:w="992"/>
        <w:gridCol w:w="992"/>
        <w:gridCol w:w="5529"/>
      </w:tblGrid>
      <w:tr w:rsidR="001670A2" w:rsidRPr="008613CA" w:rsidTr="00BF06E6">
        <w:tc>
          <w:tcPr>
            <w:tcW w:w="567" w:type="dxa"/>
            <w:shd w:val="clear" w:color="auto" w:fill="DEEAF6" w:themeFill="accent1" w:themeFillTint="33"/>
          </w:tcPr>
          <w:p w:rsidR="001670A2" w:rsidRPr="008613CA" w:rsidRDefault="001670A2" w:rsidP="00BF06E6">
            <w:pPr>
              <w:widowControl w:val="0"/>
              <w:rPr>
                <w:noProof/>
                <w:sz w:val="22"/>
                <w:szCs w:val="22"/>
                <w:lang w:val="uk-UA"/>
              </w:rPr>
            </w:pPr>
            <w:r w:rsidRPr="008613CA">
              <w:rPr>
                <w:noProof/>
                <w:sz w:val="22"/>
                <w:szCs w:val="22"/>
                <w:lang w:val="uk-UA"/>
              </w:rPr>
              <w:t>№ п/п</w:t>
            </w:r>
          </w:p>
        </w:tc>
        <w:tc>
          <w:tcPr>
            <w:tcW w:w="1895" w:type="dxa"/>
            <w:shd w:val="clear" w:color="auto" w:fill="DEEAF6" w:themeFill="accent1" w:themeFillTint="33"/>
          </w:tcPr>
          <w:p w:rsidR="001670A2" w:rsidRPr="008613CA" w:rsidRDefault="001670A2" w:rsidP="00BF06E6">
            <w:pPr>
              <w:widowControl w:val="0"/>
              <w:jc w:val="center"/>
              <w:rPr>
                <w:b/>
                <w:noProof/>
                <w:sz w:val="22"/>
                <w:szCs w:val="22"/>
                <w:lang w:val="uk-UA"/>
              </w:rPr>
            </w:pPr>
            <w:r w:rsidRPr="008613CA">
              <w:rPr>
                <w:b/>
                <w:noProof/>
                <w:sz w:val="22"/>
                <w:szCs w:val="22"/>
                <w:lang w:val="uk-UA"/>
              </w:rPr>
              <w:t xml:space="preserve">Найменування </w:t>
            </w:r>
          </w:p>
          <w:p w:rsidR="001670A2" w:rsidRPr="008613CA" w:rsidRDefault="001670A2" w:rsidP="00BF06E6">
            <w:pPr>
              <w:widowControl w:val="0"/>
              <w:jc w:val="center"/>
              <w:rPr>
                <w:b/>
                <w:noProof/>
                <w:sz w:val="22"/>
                <w:szCs w:val="22"/>
                <w:lang w:val="uk-UA"/>
              </w:rPr>
            </w:pPr>
            <w:r w:rsidRPr="008613CA">
              <w:rPr>
                <w:b/>
                <w:noProof/>
                <w:sz w:val="22"/>
                <w:szCs w:val="22"/>
                <w:lang w:val="uk-UA"/>
              </w:rPr>
              <w:t xml:space="preserve">послуги </w:t>
            </w:r>
          </w:p>
        </w:tc>
        <w:tc>
          <w:tcPr>
            <w:tcW w:w="992" w:type="dxa"/>
            <w:shd w:val="clear" w:color="auto" w:fill="DEEAF6" w:themeFill="accent1" w:themeFillTint="33"/>
          </w:tcPr>
          <w:p w:rsidR="001670A2" w:rsidRPr="008613CA" w:rsidRDefault="001670A2" w:rsidP="00BF06E6">
            <w:pPr>
              <w:widowControl w:val="0"/>
              <w:jc w:val="center"/>
              <w:rPr>
                <w:b/>
                <w:noProof/>
                <w:sz w:val="22"/>
                <w:szCs w:val="22"/>
                <w:lang w:val="uk-UA"/>
              </w:rPr>
            </w:pPr>
            <w:r w:rsidRPr="008613CA">
              <w:rPr>
                <w:b/>
                <w:noProof/>
                <w:sz w:val="22"/>
                <w:szCs w:val="22"/>
                <w:lang w:val="uk-UA"/>
              </w:rPr>
              <w:t>Од.</w:t>
            </w:r>
          </w:p>
          <w:p w:rsidR="001670A2" w:rsidRPr="008613CA" w:rsidRDefault="001670A2" w:rsidP="00BF06E6">
            <w:pPr>
              <w:widowControl w:val="0"/>
              <w:jc w:val="center"/>
              <w:rPr>
                <w:b/>
                <w:noProof/>
                <w:sz w:val="22"/>
                <w:szCs w:val="22"/>
                <w:lang w:val="uk-UA"/>
              </w:rPr>
            </w:pPr>
            <w:r w:rsidRPr="008613CA">
              <w:rPr>
                <w:b/>
                <w:noProof/>
                <w:sz w:val="22"/>
                <w:szCs w:val="22"/>
                <w:lang w:val="uk-UA"/>
              </w:rPr>
              <w:t>виміру</w:t>
            </w:r>
          </w:p>
        </w:tc>
        <w:tc>
          <w:tcPr>
            <w:tcW w:w="992" w:type="dxa"/>
            <w:shd w:val="clear" w:color="auto" w:fill="DEEAF6" w:themeFill="accent1" w:themeFillTint="33"/>
          </w:tcPr>
          <w:p w:rsidR="001670A2" w:rsidRPr="008613CA" w:rsidRDefault="001670A2" w:rsidP="00BF06E6">
            <w:pPr>
              <w:widowControl w:val="0"/>
              <w:jc w:val="center"/>
              <w:rPr>
                <w:b/>
                <w:noProof/>
                <w:sz w:val="22"/>
                <w:szCs w:val="22"/>
                <w:lang w:val="uk-UA"/>
              </w:rPr>
            </w:pPr>
            <w:r w:rsidRPr="008613CA">
              <w:rPr>
                <w:b/>
                <w:noProof/>
                <w:sz w:val="22"/>
                <w:szCs w:val="22"/>
                <w:lang w:val="uk-UA"/>
              </w:rPr>
              <w:t>Кількість</w:t>
            </w:r>
          </w:p>
        </w:tc>
        <w:tc>
          <w:tcPr>
            <w:tcW w:w="5529" w:type="dxa"/>
            <w:shd w:val="clear" w:color="auto" w:fill="DEEAF6" w:themeFill="accent1" w:themeFillTint="33"/>
          </w:tcPr>
          <w:p w:rsidR="001670A2" w:rsidRPr="008613CA" w:rsidRDefault="001670A2" w:rsidP="00BF06E6">
            <w:pPr>
              <w:widowControl w:val="0"/>
              <w:jc w:val="center"/>
              <w:rPr>
                <w:b/>
                <w:noProof/>
                <w:sz w:val="22"/>
                <w:szCs w:val="22"/>
                <w:lang w:val="uk-UA"/>
              </w:rPr>
            </w:pPr>
            <w:r w:rsidRPr="008613CA">
              <w:rPr>
                <w:b/>
                <w:noProof/>
                <w:sz w:val="22"/>
                <w:szCs w:val="22"/>
                <w:lang w:val="uk-UA"/>
              </w:rPr>
              <w:t>Технічні та якісні характеристики</w:t>
            </w:r>
          </w:p>
          <w:p w:rsidR="001670A2" w:rsidRPr="008613CA" w:rsidRDefault="001670A2" w:rsidP="00BF06E6">
            <w:pPr>
              <w:widowControl w:val="0"/>
              <w:jc w:val="center"/>
              <w:rPr>
                <w:b/>
                <w:noProof/>
                <w:sz w:val="22"/>
                <w:szCs w:val="22"/>
                <w:lang w:val="uk-UA"/>
              </w:rPr>
            </w:pPr>
            <w:r w:rsidRPr="008613CA">
              <w:rPr>
                <w:b/>
                <w:noProof/>
                <w:sz w:val="22"/>
                <w:szCs w:val="22"/>
                <w:lang w:val="uk-UA"/>
              </w:rPr>
              <w:t>(технічна специфікація)</w:t>
            </w:r>
          </w:p>
        </w:tc>
      </w:tr>
      <w:tr w:rsidR="001670A2" w:rsidRPr="008613CA" w:rsidTr="00BF06E6">
        <w:tc>
          <w:tcPr>
            <w:tcW w:w="567" w:type="dxa"/>
          </w:tcPr>
          <w:p w:rsidR="001670A2" w:rsidRPr="008613CA" w:rsidRDefault="001670A2" w:rsidP="00BF06E6">
            <w:pPr>
              <w:suppressAutoHyphens/>
              <w:jc w:val="center"/>
              <w:rPr>
                <w:b/>
                <w:bCs/>
                <w:noProof/>
                <w:sz w:val="22"/>
                <w:szCs w:val="22"/>
                <w:lang w:val="uk-UA"/>
              </w:rPr>
            </w:pPr>
            <w:r w:rsidRPr="008613CA">
              <w:rPr>
                <w:noProof/>
                <w:sz w:val="22"/>
                <w:szCs w:val="22"/>
                <w:lang w:val="uk-UA"/>
              </w:rPr>
              <w:t>1</w:t>
            </w:r>
          </w:p>
        </w:tc>
        <w:tc>
          <w:tcPr>
            <w:tcW w:w="1895" w:type="dxa"/>
          </w:tcPr>
          <w:p w:rsidR="001670A2" w:rsidRPr="008613CA" w:rsidRDefault="001670A2" w:rsidP="00BF06E6">
            <w:pPr>
              <w:suppressAutoHyphens/>
              <w:jc w:val="center"/>
              <w:rPr>
                <w:noProof/>
                <w:sz w:val="22"/>
                <w:szCs w:val="22"/>
                <w:lang w:val="uk-UA"/>
              </w:rPr>
            </w:pPr>
            <w:r w:rsidRPr="008613CA">
              <w:rPr>
                <w:noProof/>
                <w:sz w:val="22"/>
                <w:szCs w:val="22"/>
                <w:lang w:val="uk-UA"/>
              </w:rPr>
              <w:t>Послуга SSL сертифікації</w:t>
            </w:r>
          </w:p>
          <w:p w:rsidR="001670A2" w:rsidRPr="008613CA" w:rsidRDefault="001670A2" w:rsidP="00BF06E6">
            <w:pPr>
              <w:suppressAutoHyphens/>
              <w:jc w:val="center"/>
              <w:rPr>
                <w:noProof/>
                <w:sz w:val="22"/>
                <w:szCs w:val="22"/>
                <w:lang w:val="uk-UA"/>
              </w:rPr>
            </w:pPr>
            <w:r>
              <w:rPr>
                <w:noProof/>
                <w:sz w:val="22"/>
                <w:szCs w:val="22"/>
                <w:lang w:val="uk-UA"/>
              </w:rPr>
              <w:t>д</w:t>
            </w:r>
            <w:r w:rsidRPr="008613CA">
              <w:rPr>
                <w:noProof/>
                <w:sz w:val="22"/>
                <w:szCs w:val="22"/>
                <w:lang w:val="uk-UA"/>
              </w:rPr>
              <w:t>омену</w:t>
            </w:r>
          </w:p>
          <w:p w:rsidR="001670A2" w:rsidRPr="008613CA" w:rsidRDefault="001670A2" w:rsidP="00BF06E6">
            <w:pPr>
              <w:rPr>
                <w:noProof/>
                <w:sz w:val="22"/>
                <w:szCs w:val="22"/>
                <w:lang w:val="uk-UA"/>
              </w:rPr>
            </w:pPr>
          </w:p>
          <w:p w:rsidR="001670A2" w:rsidRPr="008613CA" w:rsidRDefault="001670A2" w:rsidP="00BF06E6">
            <w:pPr>
              <w:rPr>
                <w:noProof/>
                <w:sz w:val="22"/>
                <w:szCs w:val="22"/>
                <w:lang w:val="uk-UA"/>
              </w:rPr>
            </w:pPr>
          </w:p>
          <w:p w:rsidR="001670A2" w:rsidRPr="008613CA" w:rsidRDefault="001670A2" w:rsidP="00BF06E6">
            <w:pPr>
              <w:rPr>
                <w:noProof/>
                <w:sz w:val="22"/>
                <w:szCs w:val="22"/>
                <w:lang w:val="uk-UA"/>
              </w:rPr>
            </w:pPr>
          </w:p>
          <w:p w:rsidR="001670A2" w:rsidRPr="008613CA" w:rsidRDefault="001670A2" w:rsidP="00BF06E6">
            <w:pPr>
              <w:rPr>
                <w:noProof/>
                <w:sz w:val="22"/>
                <w:szCs w:val="22"/>
                <w:lang w:val="uk-UA"/>
              </w:rPr>
            </w:pPr>
          </w:p>
        </w:tc>
        <w:tc>
          <w:tcPr>
            <w:tcW w:w="992" w:type="dxa"/>
          </w:tcPr>
          <w:p w:rsidR="001670A2" w:rsidRPr="008613CA" w:rsidRDefault="001670A2" w:rsidP="00BF06E6">
            <w:pPr>
              <w:suppressAutoHyphens/>
              <w:jc w:val="center"/>
              <w:rPr>
                <w:noProof/>
                <w:sz w:val="22"/>
                <w:szCs w:val="22"/>
                <w:lang w:val="uk-UA"/>
              </w:rPr>
            </w:pPr>
            <w:r w:rsidRPr="008613CA">
              <w:rPr>
                <w:noProof/>
                <w:sz w:val="22"/>
                <w:szCs w:val="22"/>
                <w:lang w:val="uk-UA"/>
              </w:rPr>
              <w:t>послуга</w:t>
            </w:r>
          </w:p>
        </w:tc>
        <w:tc>
          <w:tcPr>
            <w:tcW w:w="992" w:type="dxa"/>
          </w:tcPr>
          <w:p w:rsidR="001670A2" w:rsidRPr="008613CA" w:rsidRDefault="001670A2" w:rsidP="00BF06E6">
            <w:pPr>
              <w:suppressAutoHyphens/>
              <w:jc w:val="center"/>
              <w:rPr>
                <w:noProof/>
                <w:sz w:val="22"/>
                <w:szCs w:val="22"/>
                <w:lang w:val="uk-UA"/>
              </w:rPr>
            </w:pPr>
            <w:bookmarkStart w:id="0" w:name="_GoBack"/>
            <w:bookmarkEnd w:id="0"/>
            <w:r w:rsidRPr="008613CA">
              <w:rPr>
                <w:noProof/>
                <w:sz w:val="22"/>
                <w:szCs w:val="22"/>
                <w:lang w:val="uk-UA"/>
              </w:rPr>
              <w:t>1</w:t>
            </w:r>
          </w:p>
        </w:tc>
        <w:tc>
          <w:tcPr>
            <w:tcW w:w="5529" w:type="dxa"/>
          </w:tcPr>
          <w:p w:rsidR="001670A2" w:rsidRPr="008613CA" w:rsidRDefault="001670A2" w:rsidP="00BF06E6">
            <w:pPr>
              <w:suppressAutoHyphens/>
              <w:ind w:right="232" w:firstLine="110"/>
              <w:jc w:val="both"/>
              <w:rPr>
                <w:noProof/>
                <w:sz w:val="22"/>
                <w:szCs w:val="22"/>
                <w:lang w:val="uk-UA"/>
              </w:rPr>
            </w:pPr>
            <w:r w:rsidRPr="008613CA">
              <w:rPr>
                <w:noProof/>
                <w:sz w:val="22"/>
                <w:szCs w:val="22"/>
                <w:lang w:val="uk-UA"/>
              </w:rPr>
              <w:t>Послуга SSL сертифікації домену:</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забезпечує підтримку субдоменів (WildCard SSL Certificates);</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підтверджує достовірність адреси сайту (Domain validation SSL) - основного домену та всіх його субдоменів (має наявність захисту субдоменів);</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виконує верифікацію по домену;</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має наявну можливість перевірки роботи сертифікату послуги;</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надається в автоматизованому режимі після оформлення замовлення та внесення CSR запиту;</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надає можливість, на сайті постачальника послуги виконати генерацію файлу – SSL сертифікату;</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термін дії сертифікату становить 12 місяців.</w:t>
            </w:r>
          </w:p>
          <w:p w:rsidR="001670A2" w:rsidRPr="008613CA" w:rsidRDefault="001670A2" w:rsidP="00BF06E6">
            <w:pPr>
              <w:suppressAutoHyphens/>
              <w:ind w:right="232" w:firstLine="110"/>
              <w:jc w:val="both"/>
              <w:rPr>
                <w:noProof/>
                <w:sz w:val="22"/>
                <w:szCs w:val="22"/>
                <w:lang w:val="uk-UA"/>
              </w:rPr>
            </w:pPr>
          </w:p>
          <w:p w:rsidR="001670A2" w:rsidRPr="008613CA" w:rsidRDefault="001670A2" w:rsidP="00BF06E6">
            <w:pPr>
              <w:suppressAutoHyphens/>
              <w:ind w:right="232" w:firstLine="110"/>
              <w:jc w:val="both"/>
              <w:rPr>
                <w:noProof/>
                <w:sz w:val="22"/>
                <w:szCs w:val="22"/>
                <w:lang w:val="uk-UA"/>
              </w:rPr>
            </w:pPr>
            <w:r w:rsidRPr="008613CA">
              <w:rPr>
                <w:noProof/>
                <w:sz w:val="22"/>
                <w:szCs w:val="22"/>
                <w:lang w:val="uk-UA"/>
              </w:rPr>
              <w:t>Отримання SSL сертифікату здійснюється через панель керування Виконавця.</w:t>
            </w:r>
          </w:p>
          <w:p w:rsidR="001670A2" w:rsidRPr="008613CA" w:rsidRDefault="001670A2" w:rsidP="00BF06E6">
            <w:pPr>
              <w:suppressAutoHyphens/>
              <w:ind w:right="232" w:firstLine="110"/>
              <w:jc w:val="both"/>
              <w:rPr>
                <w:noProof/>
                <w:sz w:val="22"/>
                <w:szCs w:val="22"/>
                <w:lang w:val="uk-UA"/>
              </w:rPr>
            </w:pPr>
          </w:p>
          <w:p w:rsidR="001670A2" w:rsidRPr="008613CA" w:rsidRDefault="001670A2" w:rsidP="00BF06E6">
            <w:pPr>
              <w:suppressAutoHyphens/>
              <w:ind w:right="232" w:firstLine="110"/>
              <w:jc w:val="both"/>
              <w:rPr>
                <w:noProof/>
                <w:sz w:val="22"/>
                <w:szCs w:val="22"/>
                <w:lang w:val="uk-UA"/>
              </w:rPr>
            </w:pPr>
            <w:r w:rsidRPr="008613CA">
              <w:rPr>
                <w:noProof/>
                <w:sz w:val="22"/>
                <w:szCs w:val="22"/>
                <w:lang w:val="uk-UA"/>
              </w:rPr>
              <w:t>Панель керування містить наступні можливості:</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доступ до кабінету здійснюється через логін і пароль визначений Замовником;</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доступ до кабінету здійснюється з підтримкою двох-факторної аутентифікації;</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наявна можливість замовлення сертифіката з панелі керування;</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наявна можливість заповнення CSR запиту для фактичної реєстрації SSL сертифіката з панелі керування;</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відображення замовленого сертифікату;</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відображення по сертифікату інформації про його статус, дату дійсності;</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наявна можливість перевипуску SSL сертифікату;</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наявна можливість відкликання SSL сертифікату;</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відображення інформації по оплаті, по балансу коштів в особистому кабінеті;</w:t>
            </w:r>
          </w:p>
          <w:p w:rsidR="001670A2" w:rsidRPr="008613CA" w:rsidRDefault="001670A2" w:rsidP="00BF06E6">
            <w:pPr>
              <w:tabs>
                <w:tab w:val="left" w:pos="394"/>
              </w:tabs>
              <w:suppressAutoHyphens/>
              <w:ind w:right="232" w:firstLine="110"/>
              <w:jc w:val="both"/>
              <w:rPr>
                <w:noProof/>
                <w:sz w:val="22"/>
                <w:szCs w:val="22"/>
                <w:lang w:val="uk-UA"/>
              </w:rPr>
            </w:pPr>
            <w:r w:rsidRPr="008613CA">
              <w:rPr>
                <w:noProof/>
                <w:sz w:val="22"/>
                <w:szCs w:val="22"/>
                <w:lang w:val="uk-UA"/>
              </w:rPr>
              <w:t>-</w:t>
            </w:r>
            <w:r w:rsidRPr="008613CA">
              <w:rPr>
                <w:noProof/>
                <w:sz w:val="22"/>
                <w:szCs w:val="22"/>
                <w:lang w:val="uk-UA"/>
              </w:rPr>
              <w:tab/>
              <w:t>наявна можливість відправлення повідомлення по e-mail про закінчення терміну дії ssl сертифікату.</w:t>
            </w:r>
          </w:p>
          <w:p w:rsidR="001670A2" w:rsidRPr="008613CA" w:rsidRDefault="001670A2" w:rsidP="00BF06E6">
            <w:pPr>
              <w:suppressAutoHyphens/>
              <w:ind w:right="232" w:firstLine="110"/>
              <w:jc w:val="both"/>
              <w:rPr>
                <w:noProof/>
                <w:sz w:val="22"/>
                <w:szCs w:val="22"/>
                <w:lang w:val="uk-UA"/>
              </w:rPr>
            </w:pPr>
          </w:p>
          <w:p w:rsidR="001670A2" w:rsidRPr="008613CA" w:rsidRDefault="001670A2" w:rsidP="00BF06E6">
            <w:pPr>
              <w:suppressAutoHyphens/>
              <w:ind w:right="232" w:firstLine="110"/>
              <w:jc w:val="both"/>
              <w:rPr>
                <w:noProof/>
                <w:sz w:val="22"/>
                <w:szCs w:val="22"/>
                <w:lang w:val="uk-UA"/>
              </w:rPr>
            </w:pPr>
            <w:r>
              <w:rPr>
                <w:noProof/>
                <w:sz w:val="22"/>
                <w:szCs w:val="22"/>
                <w:lang w:val="uk-UA"/>
              </w:rPr>
              <w:t xml:space="preserve">      К</w:t>
            </w:r>
            <w:r w:rsidRPr="008613CA">
              <w:rPr>
                <w:noProof/>
                <w:sz w:val="22"/>
                <w:szCs w:val="22"/>
                <w:lang w:val="uk-UA"/>
              </w:rPr>
              <w:t>онсультаційн</w:t>
            </w:r>
            <w:r>
              <w:rPr>
                <w:noProof/>
                <w:sz w:val="22"/>
                <w:szCs w:val="22"/>
                <w:lang w:val="uk-UA"/>
              </w:rPr>
              <w:t>а</w:t>
            </w:r>
            <w:r w:rsidRPr="008613CA">
              <w:rPr>
                <w:noProof/>
                <w:sz w:val="22"/>
                <w:szCs w:val="22"/>
                <w:lang w:val="uk-UA"/>
              </w:rPr>
              <w:t xml:space="preserve"> та технічн</w:t>
            </w:r>
            <w:r>
              <w:rPr>
                <w:noProof/>
                <w:sz w:val="22"/>
                <w:szCs w:val="22"/>
                <w:lang w:val="uk-UA"/>
              </w:rPr>
              <w:t>а</w:t>
            </w:r>
            <w:r w:rsidRPr="008613CA">
              <w:rPr>
                <w:noProof/>
                <w:sz w:val="22"/>
                <w:szCs w:val="22"/>
                <w:lang w:val="uk-UA"/>
              </w:rPr>
              <w:t xml:space="preserve"> допомог</w:t>
            </w:r>
            <w:r>
              <w:rPr>
                <w:noProof/>
                <w:sz w:val="22"/>
                <w:szCs w:val="22"/>
                <w:lang w:val="uk-UA"/>
              </w:rPr>
              <w:t>а</w:t>
            </w:r>
            <w:r w:rsidRPr="008613CA">
              <w:rPr>
                <w:noProof/>
                <w:sz w:val="22"/>
                <w:szCs w:val="22"/>
                <w:lang w:val="uk-UA"/>
              </w:rPr>
              <w:t xml:space="preserve"> при замовленні, генеруванні CSR запиту, перевипуску сертифікату тощо.</w:t>
            </w:r>
          </w:p>
          <w:p w:rsidR="001670A2" w:rsidRPr="008613CA" w:rsidRDefault="001670A2" w:rsidP="00BF06E6">
            <w:pPr>
              <w:suppressAutoHyphens/>
              <w:ind w:right="232" w:firstLine="110"/>
              <w:jc w:val="both"/>
              <w:rPr>
                <w:noProof/>
                <w:sz w:val="22"/>
                <w:szCs w:val="22"/>
                <w:lang w:val="uk-UA"/>
              </w:rPr>
            </w:pPr>
            <w:r w:rsidRPr="008613CA">
              <w:rPr>
                <w:noProof/>
                <w:sz w:val="22"/>
                <w:szCs w:val="22"/>
                <w:lang w:val="uk-UA"/>
              </w:rPr>
              <w:t xml:space="preserve">      </w:t>
            </w:r>
            <w:r>
              <w:rPr>
                <w:noProof/>
                <w:sz w:val="22"/>
                <w:szCs w:val="22"/>
                <w:lang w:val="uk-UA"/>
              </w:rPr>
              <w:t>Т</w:t>
            </w:r>
            <w:r w:rsidRPr="008613CA">
              <w:rPr>
                <w:noProof/>
                <w:sz w:val="22"/>
                <w:szCs w:val="22"/>
                <w:lang w:val="uk-UA"/>
              </w:rPr>
              <w:t>ехнічн</w:t>
            </w:r>
            <w:r>
              <w:rPr>
                <w:noProof/>
                <w:sz w:val="22"/>
                <w:szCs w:val="22"/>
                <w:lang w:val="uk-UA"/>
              </w:rPr>
              <w:t>а</w:t>
            </w:r>
            <w:r w:rsidRPr="008613CA">
              <w:rPr>
                <w:noProof/>
                <w:sz w:val="22"/>
                <w:szCs w:val="22"/>
                <w:lang w:val="uk-UA"/>
              </w:rPr>
              <w:t xml:space="preserve"> підтримк</w:t>
            </w:r>
            <w:r>
              <w:rPr>
                <w:noProof/>
                <w:sz w:val="22"/>
                <w:szCs w:val="22"/>
                <w:lang w:val="uk-UA"/>
              </w:rPr>
              <w:t>а</w:t>
            </w:r>
            <w:r w:rsidRPr="008613CA">
              <w:rPr>
                <w:noProof/>
                <w:sz w:val="22"/>
                <w:szCs w:val="22"/>
                <w:lang w:val="uk-UA"/>
              </w:rPr>
              <w:t xml:space="preserve"> в режимі 24х7 за телефоном та/або електронною поштою.</w:t>
            </w: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13" w:rsidRDefault="00DF5B13">
      <w:r>
        <w:separator/>
      </w:r>
    </w:p>
  </w:endnote>
  <w:endnote w:type="continuationSeparator" w:id="0">
    <w:p w:rsidR="00DF5B13" w:rsidRDefault="00DF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B5AE7"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4C6E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86540">
      <w:rPr>
        <w:sz w:val="20"/>
        <w:szCs w:val="20"/>
        <w:lang w:val="uk-UA"/>
      </w:rPr>
      <w:t xml:space="preserve">Послуга SSL сертифікації домену, код ДК 021:2015 - 72410000-7 - Послуги провайдерів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670A2">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670A2">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13" w:rsidRDefault="00DF5B13">
      <w:r>
        <w:separator/>
      </w:r>
    </w:p>
  </w:footnote>
  <w:footnote w:type="continuationSeparator" w:id="0">
    <w:p w:rsidR="00DF5B13" w:rsidRDefault="00DF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B5AE7"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6374B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5AE7"/>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670A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9FD"/>
    <w:rsid w:val="00547419"/>
    <w:rsid w:val="00547D23"/>
    <w:rsid w:val="005532FE"/>
    <w:rsid w:val="005539E3"/>
    <w:rsid w:val="00555528"/>
    <w:rsid w:val="00555EB9"/>
    <w:rsid w:val="00556091"/>
    <w:rsid w:val="00557BF8"/>
    <w:rsid w:val="00570DE1"/>
    <w:rsid w:val="00571F8C"/>
    <w:rsid w:val="00573C3C"/>
    <w:rsid w:val="00574C65"/>
    <w:rsid w:val="00577483"/>
    <w:rsid w:val="0057754F"/>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14E"/>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65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5B13"/>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B2446"/>
  <w15:chartTrackingRefBased/>
  <w15:docId w15:val="{A2D6D4DD-FFC3-4583-BCC4-97B6ABD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styleId="a4">
    <w:name w:val="Title"/>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і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і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у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9134-3ABD-4F75-915E-D6A79D68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2631</Words>
  <Characters>1500</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Airport Boryspil</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3</cp:revision>
  <cp:lastPrinted>2021-11-17T09:02:00Z</cp:lastPrinted>
  <dcterms:created xsi:type="dcterms:W3CDTF">2024-07-09T11:48:00Z</dcterms:created>
  <dcterms:modified xsi:type="dcterms:W3CDTF">2024-07-09T11:51:00Z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