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C7A7C" w:rsidP="006926A0">
            <w:pPr>
              <w:pStyle w:val="a3"/>
              <w:widowControl w:val="0"/>
              <w:rPr>
                <w:szCs w:val="17"/>
                <w:lang w:val="uk-UA"/>
              </w:rPr>
            </w:pPr>
            <w:r>
              <w:rPr>
                <w:noProof/>
                <w:lang w:val="ru-RU"/>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7101A5" w:rsidRDefault="003C4B6B" w:rsidP="00043EE7">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B05CD" w:rsidRDefault="004072F7" w:rsidP="00FB05CD">
            <w:pPr>
              <w:widowControl w:val="0"/>
              <w:ind w:right="-11"/>
              <w:jc w:val="center"/>
              <w:rPr>
                <w:sz w:val="22"/>
                <w:szCs w:val="22"/>
                <w:lang w:val="uk-UA" w:eastAsia="uk-UA"/>
              </w:rPr>
            </w:pPr>
            <w:r w:rsidRPr="00FB05CD">
              <w:rPr>
                <w:sz w:val="22"/>
                <w:szCs w:val="22"/>
                <w:lang w:val="uk-UA"/>
              </w:rPr>
              <w:t>п.</w:t>
            </w:r>
            <w:r w:rsidR="00A76484" w:rsidRPr="00FB05CD">
              <w:rPr>
                <w:sz w:val="22"/>
                <w:szCs w:val="22"/>
                <w:lang w:val="uk-UA"/>
              </w:rPr>
              <w:t xml:space="preserve"> </w:t>
            </w:r>
            <w:r w:rsidR="003C383E" w:rsidRPr="00FB05CD">
              <w:rPr>
                <w:sz w:val="22"/>
                <w:szCs w:val="22"/>
                <w:lang w:val="uk-UA"/>
              </w:rPr>
              <w:t xml:space="preserve">20.03 </w:t>
            </w:r>
            <w:r w:rsidR="00BD6E95" w:rsidRPr="00FB05CD">
              <w:rPr>
                <w:sz w:val="22"/>
                <w:szCs w:val="22"/>
                <w:lang w:val="uk-UA" w:eastAsia="uk-UA"/>
              </w:rPr>
              <w:t>(202</w:t>
            </w:r>
            <w:r w:rsidR="005469FD" w:rsidRPr="00FB05CD">
              <w:rPr>
                <w:sz w:val="22"/>
                <w:szCs w:val="22"/>
                <w:lang w:val="uk-UA" w:eastAsia="uk-UA"/>
              </w:rPr>
              <w:t>4</w:t>
            </w:r>
            <w:r w:rsidR="00A76484" w:rsidRPr="00FB05CD">
              <w:rPr>
                <w:sz w:val="22"/>
                <w:szCs w:val="22"/>
                <w:lang w:val="uk-UA" w:eastAsia="uk-UA"/>
              </w:rPr>
              <w:t>)</w:t>
            </w:r>
          </w:p>
        </w:tc>
        <w:tc>
          <w:tcPr>
            <w:tcW w:w="1527" w:type="pct"/>
          </w:tcPr>
          <w:p w:rsidR="00A76484" w:rsidRPr="00FB05CD" w:rsidRDefault="003C383E" w:rsidP="00A12478">
            <w:pPr>
              <w:widowControl w:val="0"/>
              <w:rPr>
                <w:bCs/>
                <w:sz w:val="22"/>
                <w:szCs w:val="22"/>
                <w:lang w:val="uk-UA"/>
              </w:rPr>
            </w:pPr>
            <w:r w:rsidRPr="00FB05CD">
              <w:rPr>
                <w:b/>
                <w:sz w:val="22"/>
                <w:szCs w:val="22"/>
                <w:lang w:val="uk-UA"/>
              </w:rPr>
              <w:t xml:space="preserve">Особисте страхування працівників служби аварійно-рятувального та протипожежного забезпечення польотів, код ДК 021:2015 - 66510000-8 - Страхові послуги </w:t>
            </w:r>
          </w:p>
        </w:tc>
        <w:tc>
          <w:tcPr>
            <w:tcW w:w="947" w:type="pct"/>
          </w:tcPr>
          <w:p w:rsidR="00A76484" w:rsidRPr="00FB05CD" w:rsidRDefault="003C383E" w:rsidP="002D4D30">
            <w:pPr>
              <w:widowControl w:val="0"/>
              <w:jc w:val="center"/>
              <w:rPr>
                <w:sz w:val="22"/>
                <w:szCs w:val="22"/>
                <w:lang w:val="uk-UA"/>
              </w:rPr>
            </w:pPr>
            <w:r w:rsidRPr="00FB05CD">
              <w:rPr>
                <w:sz w:val="22"/>
                <w:szCs w:val="22"/>
                <w:lang w:val="uk-UA"/>
              </w:rPr>
              <w:t>160 580,00</w:t>
            </w:r>
            <w:r w:rsidR="00A76484" w:rsidRPr="00FB05CD">
              <w:rPr>
                <w:sz w:val="22"/>
                <w:szCs w:val="22"/>
                <w:lang w:val="uk-UA"/>
              </w:rPr>
              <w:t xml:space="preserve"> </w:t>
            </w:r>
          </w:p>
          <w:p w:rsidR="00A76484" w:rsidRPr="00FB05CD" w:rsidRDefault="00A76484" w:rsidP="002D4D30">
            <w:pPr>
              <w:widowControl w:val="0"/>
              <w:jc w:val="center"/>
              <w:rPr>
                <w:sz w:val="22"/>
                <w:szCs w:val="22"/>
                <w:lang w:val="uk-UA"/>
              </w:rPr>
            </w:pPr>
            <w:r w:rsidRPr="00FB05CD">
              <w:rPr>
                <w:sz w:val="22"/>
                <w:szCs w:val="22"/>
                <w:lang w:val="uk-UA"/>
              </w:rPr>
              <w:t xml:space="preserve">грн. </w:t>
            </w:r>
            <w:r w:rsidR="00F5324E">
              <w:rPr>
                <w:sz w:val="22"/>
                <w:szCs w:val="22"/>
                <w:lang w:val="uk-UA"/>
              </w:rPr>
              <w:t>бе</w:t>
            </w:r>
            <w:r w:rsidRPr="00FB05CD">
              <w:rPr>
                <w:sz w:val="22"/>
                <w:szCs w:val="22"/>
                <w:lang w:val="uk-UA"/>
              </w:rPr>
              <w:t>з ПДВ</w:t>
            </w:r>
          </w:p>
        </w:tc>
        <w:tc>
          <w:tcPr>
            <w:tcW w:w="1102" w:type="pct"/>
          </w:tcPr>
          <w:p w:rsidR="00A76484" w:rsidRPr="00FB05CD" w:rsidRDefault="003C383E" w:rsidP="002D4D30">
            <w:pPr>
              <w:widowControl w:val="0"/>
              <w:jc w:val="center"/>
              <w:rPr>
                <w:sz w:val="22"/>
                <w:szCs w:val="22"/>
                <w:lang w:val="uk-UA"/>
              </w:rPr>
            </w:pPr>
            <w:r w:rsidRPr="00FB05CD">
              <w:rPr>
                <w:sz w:val="22"/>
                <w:szCs w:val="22"/>
                <w:lang w:val="uk-UA"/>
              </w:rPr>
              <w:t>160 580,00</w:t>
            </w:r>
          </w:p>
          <w:p w:rsidR="00A76484" w:rsidRPr="00FB05CD" w:rsidRDefault="00A76484" w:rsidP="002D4D30">
            <w:pPr>
              <w:widowControl w:val="0"/>
              <w:jc w:val="center"/>
              <w:rPr>
                <w:sz w:val="22"/>
                <w:szCs w:val="22"/>
                <w:lang w:val="uk-UA"/>
              </w:rPr>
            </w:pPr>
            <w:r w:rsidRPr="00FB05CD">
              <w:rPr>
                <w:sz w:val="22"/>
                <w:szCs w:val="22"/>
                <w:lang w:val="uk-UA"/>
              </w:rPr>
              <w:t xml:space="preserve">грн. без ПДВ </w:t>
            </w:r>
          </w:p>
        </w:tc>
        <w:tc>
          <w:tcPr>
            <w:tcW w:w="936" w:type="pct"/>
          </w:tcPr>
          <w:p w:rsidR="00A76484" w:rsidRPr="007101A5" w:rsidRDefault="00B16432" w:rsidP="002D4D30">
            <w:pPr>
              <w:widowControl w:val="0"/>
              <w:jc w:val="center"/>
              <w:rPr>
                <w:color w:val="0000FF"/>
                <w:sz w:val="22"/>
                <w:szCs w:val="22"/>
                <w:lang w:val="uk-UA"/>
              </w:rPr>
            </w:pPr>
            <w:bookmarkStart w:id="0" w:name="_GoBack"/>
            <w:r w:rsidRPr="00B16432">
              <w:rPr>
                <w:sz w:val="22"/>
                <w:szCs w:val="22"/>
                <w:lang w:val="uk-UA"/>
              </w:rPr>
              <w:t>UA-2024-07-09-003700-a</w:t>
            </w:r>
            <w:r>
              <w:rPr>
                <w:rFonts w:ascii="Arial" w:hAnsi="Arial" w:cs="Arial"/>
                <w:color w:val="454545"/>
                <w:sz w:val="21"/>
                <w:szCs w:val="21"/>
                <w:shd w:val="clear" w:color="auto" w:fill="F0F5F2"/>
              </w:rPr>
              <w:t> </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57377"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Pr="007101A5" w:rsidRDefault="00A57377" w:rsidP="00A57377">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Default="00A57377" w:rsidP="00A57377">
            <w:pPr>
              <w:rPr>
                <w:lang w:val="uk-UA"/>
              </w:rPr>
            </w:pPr>
            <w:r w:rsidRPr="007101A5">
              <w:rPr>
                <w:lang w:val="uk-UA"/>
              </w:rPr>
              <w:t>Обґрунтування очікуваної вартості предмета закупівлі</w:t>
            </w:r>
          </w:p>
          <w:p w:rsidR="00A57377" w:rsidRPr="007101A5" w:rsidRDefault="00A57377" w:rsidP="00A57377">
            <w:pPr>
              <w:rPr>
                <w:lang w:val="uk-UA"/>
              </w:rPr>
            </w:pP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Pr="00712086" w:rsidRDefault="00A57377" w:rsidP="00A57377">
            <w:pPr>
              <w:widowControl w:val="0"/>
              <w:ind w:right="162" w:firstLine="368"/>
              <w:jc w:val="both"/>
              <w:rPr>
                <w:noProof/>
              </w:rPr>
            </w:pPr>
            <w:r w:rsidRPr="00712086">
              <w:rPr>
                <w:b/>
                <w:i/>
                <w:noProof/>
              </w:rPr>
              <w:t>Обґрунтування очікуваної вартості предмета закупівлі:</w:t>
            </w:r>
            <w:r w:rsidRPr="00712086">
              <w:rPr>
                <w:noProof/>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57377" w:rsidRPr="00712086" w:rsidRDefault="00A57377" w:rsidP="00A57377">
            <w:pPr>
              <w:widowControl w:val="0"/>
              <w:ind w:firstLine="368"/>
              <w:jc w:val="both"/>
              <w:rPr>
                <w:noProof/>
              </w:rPr>
            </w:pPr>
            <w:r w:rsidRPr="00712086">
              <w:rPr>
                <w:noProof/>
              </w:rPr>
              <w:t>Розрахунок очікуваної вартості предмета закупівлі здійснено відповідно до Положення «Про порядок визначення очікуваної вартості предмета заку</w:t>
            </w:r>
            <w:r>
              <w:rPr>
                <w:noProof/>
              </w:rPr>
              <w:t>півлі» від 17.05.2022 № 50-06-1</w:t>
            </w:r>
            <w:r>
              <w:rPr>
                <w:noProof/>
                <w:lang w:val="uk-UA"/>
              </w:rPr>
              <w:t xml:space="preserve"> </w:t>
            </w:r>
            <w:r w:rsidRPr="00A57377">
              <w:rPr>
                <w:noProof/>
              </w:rPr>
              <w:t>методом порівняння ринкових цін на підставі отриманих цінових  пропозицій</w:t>
            </w:r>
          </w:p>
          <w:p w:rsidR="00A57377" w:rsidRPr="00712086" w:rsidRDefault="00A57377" w:rsidP="00A57377">
            <w:pPr>
              <w:widowControl w:val="0"/>
              <w:ind w:firstLine="216"/>
              <w:jc w:val="both"/>
              <w:rPr>
                <w:noProof/>
                <w:sz w:val="22"/>
                <w:szCs w:val="22"/>
              </w:rPr>
            </w:pPr>
            <w:r w:rsidRPr="00712086">
              <w:rPr>
                <w:b/>
                <w:i/>
                <w:noProof/>
              </w:rPr>
              <w:t>Обґрунтування обсягів закупівлі:</w:t>
            </w:r>
            <w:r w:rsidRPr="00712086">
              <w:rPr>
                <w:b/>
                <w:noProof/>
              </w:rPr>
              <w:t xml:space="preserve"> </w:t>
            </w:r>
            <w:r w:rsidRPr="00712086">
              <w:rPr>
                <w:noProof/>
              </w:rPr>
              <w:t>Обсяги визначено відповідно до очікуваної потреби.</w:t>
            </w:r>
          </w:p>
        </w:tc>
      </w:tr>
      <w:tr w:rsidR="00A57377"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Pr="007101A5" w:rsidRDefault="00A57377" w:rsidP="00A57377">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Pr="007101A5" w:rsidRDefault="00A57377" w:rsidP="00A57377">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7377" w:rsidRPr="006641B3" w:rsidRDefault="00A57377" w:rsidP="00A57377">
            <w:pPr>
              <w:widowControl w:val="0"/>
              <w:ind w:firstLine="226"/>
              <w:jc w:val="both"/>
              <w:rPr>
                <w:noProof/>
                <w:lang w:val="uk-UA"/>
              </w:rPr>
            </w:pPr>
            <w:r w:rsidRPr="006641B3">
              <w:rPr>
                <w:b/>
                <w:i/>
                <w:noProof/>
                <w:lang w:val="uk-UA"/>
              </w:rPr>
              <w:t>Визначення потреби в закупівлі:</w:t>
            </w:r>
            <w:r w:rsidRPr="006641B3">
              <w:rPr>
                <w:noProof/>
                <w:lang w:val="uk-UA"/>
              </w:rPr>
              <w:t xml:space="preserve"> Страхування працівників служби аварійно-рятувального та протипожежного забезпечення польотів на випадок загибелі (смерті), поранення (контузія, травма або каліцтво), хвороби застрахованого працівника, який виконував свої обов'язки згідно з командами і наказами командирів і начальників, одержані під час гасіння пожеж, ліквідації наслідків надзвичайних ситуацій, проведення навчань, практичних тренувань, аварійно-рятувальних та інших невідкладних робіт, що потребують залучення працівників, які мають спеціальну підготовку, засоби індивідуального захисту та оснащення.</w:t>
            </w:r>
          </w:p>
          <w:p w:rsidR="006641B3" w:rsidRPr="006641B3" w:rsidRDefault="00A57377" w:rsidP="00A57377">
            <w:pPr>
              <w:widowControl w:val="0"/>
              <w:ind w:firstLine="226"/>
              <w:jc w:val="both"/>
              <w:rPr>
                <w:noProof/>
                <w:lang w:val="uk-UA"/>
              </w:rPr>
            </w:pPr>
            <w:r w:rsidRPr="006641B3">
              <w:rPr>
                <w:noProof/>
                <w:lang w:val="uk-UA"/>
              </w:rPr>
              <w:lastRenderedPageBreak/>
              <w:t>Технічні та якісні характеристики предмету закупівлі визначені Законом України від 18.11.2021 року № 1909-ІХ «Про страхування»</w:t>
            </w:r>
          </w:p>
          <w:p w:rsidR="00A57377" w:rsidRPr="00712086" w:rsidRDefault="006641B3" w:rsidP="006641B3">
            <w:pPr>
              <w:widowControl w:val="0"/>
              <w:ind w:right="117" w:firstLine="219"/>
              <w:jc w:val="both"/>
              <w:rPr>
                <w:i/>
                <w:noProof/>
              </w:rPr>
            </w:pPr>
            <w:r w:rsidRPr="006641B3">
              <w:rPr>
                <w:noProof/>
                <w:lang w:val="uk-UA"/>
              </w:rPr>
              <w:t xml:space="preserve">Особистому страхуванню підлягають працівники ДП МА «БОРИСПІЛЬ» (далі – Страхувальник), які є працівниками пожежно-рятувального підрозділу (служби аварійно-рятувального та протипожежного забезпечення польотів) (далі – Застрахований або Застрахована особа), життя, здоров’я та працездатність яких, підлягають страхуванню згідно з укладеним договором страхування за класами страхування 1 і 2, визначеними статтею 4 Закону України «Про страхування» та згідно вимог </w:t>
            </w:r>
            <w:r w:rsidR="00A57377" w:rsidRPr="006641B3">
              <w:rPr>
                <w:noProof/>
                <w:lang w:val="uk-UA"/>
              </w:rPr>
              <w:t>Постанов</w:t>
            </w:r>
            <w:r w:rsidRPr="006641B3">
              <w:rPr>
                <w:noProof/>
                <w:lang w:val="uk-UA"/>
              </w:rPr>
              <w:t>и</w:t>
            </w:r>
            <w:r w:rsidR="00A57377" w:rsidRPr="006641B3">
              <w:rPr>
                <w:noProof/>
                <w:lang w:val="uk-UA"/>
              </w:rPr>
              <w:t xml:space="preserve"> КМУ від 09.01.2014 № 5 «Про затвердження Типового положення про відомчу пожежну охорону» та Наказ</w:t>
            </w:r>
            <w:r w:rsidRPr="006641B3">
              <w:rPr>
                <w:noProof/>
                <w:lang w:val="uk-UA"/>
              </w:rPr>
              <w:t>у</w:t>
            </w:r>
            <w:r w:rsidR="00A57377" w:rsidRPr="006641B3">
              <w:rPr>
                <w:noProof/>
                <w:lang w:val="uk-UA"/>
              </w:rPr>
              <w:t xml:space="preserve"> від 28.05.2023 № 882 «Про затвердження Правил проведення аварійно-рятувальних робіт на повітряному транспорті».</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935D0B" w:rsidRPr="00935D0B" w:rsidRDefault="00935D0B" w:rsidP="00935D0B">
      <w:pPr>
        <w:keepNext/>
        <w:keepLines/>
        <w:suppressLineNumbers/>
        <w:jc w:val="center"/>
        <w:rPr>
          <w:b/>
          <w:lang w:val="uk-UA"/>
        </w:rPr>
      </w:pPr>
      <w:r w:rsidRPr="00935D0B">
        <w:rPr>
          <w:b/>
          <w:lang w:val="uk-UA"/>
        </w:rPr>
        <w:t>Специфікація</w:t>
      </w:r>
    </w:p>
    <w:p w:rsidR="00935D0B" w:rsidRPr="00935D0B" w:rsidRDefault="00935D0B" w:rsidP="00935D0B">
      <w:pPr>
        <w:keepNext/>
        <w:keepLines/>
        <w:suppressLineNumbers/>
        <w:jc w:val="both"/>
        <w:rPr>
          <w:b/>
          <w:lang w:val="uk-UA"/>
        </w:rPr>
      </w:pPr>
    </w:p>
    <w:p w:rsidR="00935D0B" w:rsidRPr="00935D0B" w:rsidRDefault="00935D0B" w:rsidP="00935D0B">
      <w:pPr>
        <w:keepNext/>
        <w:keepLines/>
        <w:suppressLineNumbers/>
        <w:jc w:val="both"/>
        <w:rPr>
          <w:lang w:val="uk-UA"/>
        </w:rPr>
      </w:pPr>
      <w:r w:rsidRPr="00935D0B">
        <w:rPr>
          <w:b/>
          <w:lang w:val="uk-UA"/>
        </w:rPr>
        <w:t>Найменування послуги:</w:t>
      </w:r>
      <w:r w:rsidRPr="00935D0B">
        <w:rPr>
          <w:lang w:val="uk-UA"/>
        </w:rPr>
        <w:t xml:space="preserve"> особисте страхування працівників служби аварійно-рятувального та протипожежного забезпечення польотів.</w:t>
      </w:r>
    </w:p>
    <w:p w:rsidR="00935D0B" w:rsidRPr="00935D0B" w:rsidRDefault="00935D0B" w:rsidP="00935D0B">
      <w:pPr>
        <w:keepNext/>
        <w:keepLines/>
        <w:suppressLineNumbers/>
        <w:jc w:val="both"/>
        <w:rPr>
          <w:lang w:val="uk-UA"/>
        </w:rPr>
      </w:pPr>
      <w:r w:rsidRPr="00935D0B">
        <w:rPr>
          <w:b/>
          <w:lang w:val="uk-UA"/>
        </w:rPr>
        <w:t xml:space="preserve">Кількість </w:t>
      </w:r>
      <w:r w:rsidRPr="00935D0B">
        <w:rPr>
          <w:lang w:val="uk-UA"/>
        </w:rPr>
        <w:t>– 1 послуга.</w:t>
      </w:r>
    </w:p>
    <w:p w:rsidR="00935D0B" w:rsidRPr="00935D0B" w:rsidRDefault="00935D0B" w:rsidP="00935D0B">
      <w:pPr>
        <w:keepNext/>
        <w:keepLines/>
        <w:suppressLineNumbers/>
        <w:jc w:val="both"/>
        <w:rPr>
          <w:noProof/>
          <w:lang w:val="uk-UA"/>
        </w:rPr>
      </w:pPr>
      <w:r w:rsidRPr="00935D0B">
        <w:rPr>
          <w:b/>
          <w:color w:val="000000"/>
          <w:lang w:val="uk-UA"/>
        </w:rPr>
        <w:t xml:space="preserve">Мета надання Послуг: </w:t>
      </w:r>
      <w:r w:rsidRPr="00935D0B">
        <w:rPr>
          <w:noProof/>
          <w:lang w:val="uk-UA"/>
        </w:rPr>
        <w:t>страхування працівників служби аварійно-рятувального та протипожежного забезпечення польотів на випадок загибелі (смерті) або поранення (контузії, травми або каліцтва), хвороби, одержані під час гасіння пожеж, ліквідації наслідків надзвичайних ситуацій ,  проведення  навчань, практичних тренувань, аварійно-рятувальних та інших невідкладних робіт застрахованим,  який виконував свої обов'язки згідно з наказом або дорученням.</w:t>
      </w:r>
    </w:p>
    <w:p w:rsidR="00935D0B" w:rsidRPr="00935D0B" w:rsidRDefault="00935D0B" w:rsidP="00935D0B">
      <w:pPr>
        <w:widowControl w:val="0"/>
        <w:jc w:val="center"/>
        <w:rPr>
          <w:b/>
          <w:color w:val="FF0000"/>
          <w:lang w:val="uk-UA"/>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577"/>
        <w:gridCol w:w="7797"/>
      </w:tblGrid>
      <w:tr w:rsidR="00935D0B" w:rsidRPr="00935D0B" w:rsidTr="00BA714C">
        <w:tc>
          <w:tcPr>
            <w:tcW w:w="758" w:type="dxa"/>
            <w:tcBorders>
              <w:top w:val="single" w:sz="4" w:space="0" w:color="auto"/>
              <w:left w:val="single" w:sz="4" w:space="0" w:color="auto"/>
              <w:bottom w:val="single" w:sz="4" w:space="0" w:color="auto"/>
              <w:right w:val="single" w:sz="4" w:space="0" w:color="auto"/>
            </w:tcBorders>
            <w:shd w:val="clear" w:color="auto" w:fill="D9E2F3"/>
          </w:tcPr>
          <w:p w:rsidR="00935D0B" w:rsidRPr="00935D0B" w:rsidRDefault="00935D0B" w:rsidP="00C54156">
            <w:pPr>
              <w:widowControl w:val="0"/>
              <w:rPr>
                <w:b/>
                <w:lang w:val="uk-UA"/>
              </w:rPr>
            </w:pPr>
            <w:r w:rsidRPr="00935D0B">
              <w:rPr>
                <w:b/>
                <w:lang w:val="uk-UA"/>
              </w:rPr>
              <w:t>№ п/п</w:t>
            </w:r>
          </w:p>
        </w:tc>
        <w:tc>
          <w:tcPr>
            <w:tcW w:w="1577" w:type="dxa"/>
            <w:tcBorders>
              <w:top w:val="single" w:sz="4" w:space="0" w:color="auto"/>
              <w:left w:val="single" w:sz="4" w:space="0" w:color="auto"/>
              <w:bottom w:val="single" w:sz="4" w:space="0" w:color="auto"/>
              <w:right w:val="single" w:sz="4" w:space="0" w:color="auto"/>
            </w:tcBorders>
            <w:shd w:val="clear" w:color="auto" w:fill="D9E2F3"/>
          </w:tcPr>
          <w:p w:rsidR="00935D0B" w:rsidRPr="00935D0B" w:rsidRDefault="00935D0B" w:rsidP="00C54156">
            <w:pPr>
              <w:widowControl w:val="0"/>
              <w:jc w:val="center"/>
              <w:rPr>
                <w:b/>
                <w:lang w:val="uk-UA"/>
              </w:rPr>
            </w:pPr>
            <w:r w:rsidRPr="00935D0B">
              <w:rPr>
                <w:b/>
                <w:lang w:val="uk-UA"/>
              </w:rPr>
              <w:t>Вид інформації</w:t>
            </w:r>
          </w:p>
        </w:tc>
        <w:tc>
          <w:tcPr>
            <w:tcW w:w="7797" w:type="dxa"/>
            <w:tcBorders>
              <w:top w:val="single" w:sz="4" w:space="0" w:color="auto"/>
              <w:left w:val="single" w:sz="4" w:space="0" w:color="auto"/>
              <w:bottom w:val="single" w:sz="4" w:space="0" w:color="auto"/>
              <w:right w:val="single" w:sz="4" w:space="0" w:color="auto"/>
            </w:tcBorders>
            <w:shd w:val="clear" w:color="auto" w:fill="D9E2F3"/>
          </w:tcPr>
          <w:p w:rsidR="00935D0B" w:rsidRPr="00935D0B" w:rsidRDefault="00935D0B" w:rsidP="00C54156">
            <w:pPr>
              <w:widowControl w:val="0"/>
              <w:jc w:val="center"/>
              <w:rPr>
                <w:b/>
                <w:lang w:val="uk-UA"/>
              </w:rPr>
            </w:pPr>
            <w:r w:rsidRPr="00935D0B">
              <w:rPr>
                <w:b/>
                <w:lang w:val="uk-UA"/>
              </w:rPr>
              <w:t>Технічні та якісні характеристики предмета закупівлі</w:t>
            </w:r>
          </w:p>
          <w:p w:rsidR="00935D0B" w:rsidRPr="00935D0B" w:rsidRDefault="00935D0B" w:rsidP="00C54156">
            <w:pPr>
              <w:widowControl w:val="0"/>
              <w:jc w:val="center"/>
              <w:rPr>
                <w:b/>
                <w:lang w:val="uk-UA"/>
              </w:rPr>
            </w:pPr>
            <w:r w:rsidRPr="00935D0B">
              <w:rPr>
                <w:b/>
                <w:lang w:val="uk-UA"/>
              </w:rPr>
              <w:t>(Технічна специфікація)</w:t>
            </w:r>
          </w:p>
        </w:tc>
      </w:tr>
      <w:tr w:rsidR="00935D0B" w:rsidRPr="00935D0B" w:rsidTr="00BA714C">
        <w:trPr>
          <w:trHeight w:val="335"/>
        </w:trPr>
        <w:tc>
          <w:tcPr>
            <w:tcW w:w="758" w:type="dxa"/>
            <w:vMerge w:val="restart"/>
            <w:tcBorders>
              <w:top w:val="single" w:sz="4" w:space="0" w:color="auto"/>
              <w:left w:val="single" w:sz="4" w:space="0" w:color="auto"/>
              <w:right w:val="single" w:sz="4" w:space="0" w:color="auto"/>
            </w:tcBorders>
            <w:hideMark/>
          </w:tcPr>
          <w:p w:rsidR="00935D0B" w:rsidRPr="00935D0B" w:rsidRDefault="00935D0B" w:rsidP="00C54156">
            <w:pPr>
              <w:widowControl w:val="0"/>
              <w:rPr>
                <w:noProof/>
                <w:lang w:val="uk-UA"/>
              </w:rPr>
            </w:pPr>
            <w:r w:rsidRPr="00935D0B">
              <w:rPr>
                <w:noProof/>
                <w:lang w:val="uk-UA"/>
              </w:rPr>
              <w:t>1</w:t>
            </w:r>
          </w:p>
        </w:tc>
        <w:tc>
          <w:tcPr>
            <w:tcW w:w="1577" w:type="dxa"/>
            <w:vMerge w:val="restart"/>
            <w:tcBorders>
              <w:top w:val="single" w:sz="4" w:space="0" w:color="auto"/>
              <w:left w:val="single" w:sz="4" w:space="0" w:color="auto"/>
              <w:right w:val="single" w:sz="4" w:space="0" w:color="auto"/>
            </w:tcBorders>
            <w:hideMark/>
          </w:tcPr>
          <w:p w:rsidR="00935D0B" w:rsidRPr="00935D0B" w:rsidRDefault="00935D0B" w:rsidP="00C54156">
            <w:pPr>
              <w:widowControl w:val="0"/>
              <w:rPr>
                <w:noProof/>
                <w:lang w:val="uk-UA"/>
              </w:rPr>
            </w:pPr>
            <w:r w:rsidRPr="00935D0B">
              <w:rPr>
                <w:noProof/>
                <w:lang w:val="uk-UA"/>
              </w:rPr>
              <w:t xml:space="preserve">Клас страхування та опис страхового продукту </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i/>
                <w:noProof/>
                <w:highlight w:val="yellow"/>
                <w:lang w:val="uk-UA"/>
              </w:rPr>
            </w:pPr>
            <w:r w:rsidRPr="00935D0B">
              <w:rPr>
                <w:noProof/>
                <w:lang w:val="uk-UA"/>
              </w:rPr>
              <w:t xml:space="preserve">Особисте страхування 109 працівників ДП МА «БОРИСПІЛЬ», які є працівниками пожежно-рятувального підрозділу (служби аварійно-рятувального та протипожежного забезпечення польотів), життя, здоров’я та працездатність яких, підлягають страхуванню згідно з укладеним договором страхування </w:t>
            </w:r>
            <w:r w:rsidRPr="00935D0B">
              <w:rPr>
                <w:b/>
                <w:noProof/>
                <w:lang w:val="uk-UA"/>
              </w:rPr>
              <w:t>за класами страхування 1 і 2</w:t>
            </w:r>
            <w:r w:rsidRPr="00935D0B">
              <w:rPr>
                <w:noProof/>
                <w:lang w:val="uk-UA"/>
              </w:rPr>
              <w:t>, визначеними ч.1 статті 4 Закону України «Про страхування».</w:t>
            </w:r>
          </w:p>
        </w:tc>
      </w:tr>
      <w:tr w:rsidR="00935D0B" w:rsidRPr="00935D0B" w:rsidTr="00BA714C">
        <w:trPr>
          <w:trHeight w:val="335"/>
        </w:trPr>
        <w:tc>
          <w:tcPr>
            <w:tcW w:w="758"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uk-UA"/>
              </w:rPr>
              <w:t>Надання послуг страхування здійснюється згідно з вимогами Закону України від 18.11.2021 № 1909-IX «Про страхування».</w:t>
            </w:r>
          </w:p>
        </w:tc>
      </w:tr>
      <w:tr w:rsidR="00935D0B" w:rsidRPr="00935D0B" w:rsidTr="00BA714C">
        <w:trPr>
          <w:trHeight w:val="335"/>
        </w:trPr>
        <w:tc>
          <w:tcPr>
            <w:tcW w:w="758"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uk-UA"/>
              </w:rPr>
              <w:t xml:space="preserve">Ризик, пов’язаний з об’єктом страхування (умови надання послуг): </w:t>
            </w:r>
            <w:r w:rsidRPr="00935D0B">
              <w:rPr>
                <w:b/>
                <w:noProof/>
                <w:lang w:val="uk-UA"/>
              </w:rPr>
              <w:t>нещасний випадок</w:t>
            </w:r>
            <w:r w:rsidRPr="00935D0B">
              <w:rPr>
                <w:noProof/>
                <w:lang w:val="uk-UA"/>
              </w:rPr>
              <w:t>.</w:t>
            </w:r>
          </w:p>
        </w:tc>
      </w:tr>
      <w:tr w:rsidR="00935D0B" w:rsidRPr="00935D0B" w:rsidTr="00BA714C">
        <w:trPr>
          <w:trHeight w:val="335"/>
        </w:trPr>
        <w:tc>
          <w:tcPr>
            <w:tcW w:w="758"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b/>
                <w:noProof/>
                <w:lang w:val="uk-UA"/>
              </w:rPr>
              <w:t>Об’єкт страхування</w:t>
            </w:r>
            <w:r w:rsidRPr="00935D0B">
              <w:rPr>
                <w:noProof/>
                <w:lang w:val="uk-UA"/>
              </w:rPr>
              <w:t xml:space="preserve">: життя, здоров’я та працездатність застрахованих працівників служби аварійно-рятувального та протипожежного забезпечення польотів ДП МА «Бориспіль» на випадок загибелі (смерті), поранення (контузія, травма або каліцтво), хвороби застрахованого працівника, який виконував свої обов'язки згідно з командами і наказами командирів і начальників, одержані під час гасіння пожеж, ліквідації наслідків надзвичайних ситуацій, проведення </w:t>
            </w:r>
            <w:r w:rsidRPr="00935D0B">
              <w:rPr>
                <w:noProof/>
                <w:lang w:val="uk-UA"/>
              </w:rPr>
              <w:lastRenderedPageBreak/>
              <w:t>навчань, практичних тренувань, аварійно-рятувальних та інших невідкладних робіт, що потребують залучення працівників, які мають спеціальну підготовку, засоби індивідуального захисту та оснащення, що стався протягом терміну страхування та на території дії договору страхування.</w:t>
            </w:r>
          </w:p>
        </w:tc>
      </w:tr>
      <w:tr w:rsidR="00935D0B" w:rsidRPr="00935D0B" w:rsidTr="00BA714C">
        <w:trPr>
          <w:trHeight w:val="335"/>
        </w:trPr>
        <w:tc>
          <w:tcPr>
            <w:tcW w:w="758"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b/>
                <w:noProof/>
              </w:rPr>
              <w:t xml:space="preserve">Страхувальник – </w:t>
            </w:r>
            <w:r w:rsidRPr="00935D0B">
              <w:rPr>
                <w:noProof/>
              </w:rPr>
              <w:t>ДП МА «Бориспіль», яке має в своїй структурі службу аварійно-рятувального та протипожежного забезпечення польотів (далі – САРтаПЗП), працівники якої підлягають страхуванню відповідно до Постанови КМУ від 09.01.2014 № 5 «Про затвердження Типового положення про відомчу пожежну охорону» та п.10 розділу V наказу від 28.05.2023 № 882 «Про затвердження Правил проведення аварійно-рятувальних робіт на повітряному транспорті» підлягають страхуванню.</w:t>
            </w:r>
          </w:p>
        </w:tc>
      </w:tr>
      <w:tr w:rsidR="00935D0B" w:rsidRPr="00935D0B" w:rsidTr="00BA714C">
        <w:trPr>
          <w:trHeight w:val="335"/>
        </w:trPr>
        <w:tc>
          <w:tcPr>
            <w:tcW w:w="758" w:type="dxa"/>
            <w:vMerge/>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b/>
                <w:noProof/>
              </w:rPr>
              <w:t xml:space="preserve">Застрахований (застрахована особа) - </w:t>
            </w:r>
            <w:r w:rsidRPr="00935D0B">
              <w:rPr>
                <w:noProof/>
              </w:rPr>
              <w:t>працівник САРтаПЗП, який виконує</w:t>
            </w:r>
            <w:r w:rsidRPr="00935D0B">
              <w:rPr>
                <w:b/>
                <w:noProof/>
              </w:rPr>
              <w:t xml:space="preserve"> </w:t>
            </w:r>
            <w:r w:rsidRPr="00935D0B">
              <w:rPr>
                <w:noProof/>
              </w:rPr>
              <w:t>свої обов'язки згідно з командами і наказами командирів і начальників, одержані під час гасіння пожеж, ліквідації наслідків надзвичайних ситуацій, проведення навчань, практичних тренувань, аварійно-рятувальних та інших невідкладних робіт, що потребують залучення працівників, які мають спеціальну підготовку, засоби індивідуального захисту та оснащення.</w:t>
            </w:r>
          </w:p>
        </w:tc>
      </w:tr>
      <w:tr w:rsidR="00935D0B" w:rsidRPr="00935D0B" w:rsidTr="00BA714C">
        <w:trPr>
          <w:trHeight w:val="335"/>
        </w:trPr>
        <w:tc>
          <w:tcPr>
            <w:tcW w:w="758" w:type="dxa"/>
            <w:vMerge w:val="restart"/>
            <w:tcBorders>
              <w:top w:val="single" w:sz="4" w:space="0" w:color="auto"/>
              <w:left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2</w:t>
            </w:r>
          </w:p>
        </w:tc>
        <w:tc>
          <w:tcPr>
            <w:tcW w:w="1577" w:type="dxa"/>
            <w:vMerge w:val="restart"/>
            <w:tcBorders>
              <w:top w:val="single" w:sz="4" w:space="0" w:color="auto"/>
              <w:left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Страховий випадок, страхові ризики та обмеження страхування</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b/>
                <w:noProof/>
                <w:lang w:val="uk-UA"/>
              </w:rPr>
              <w:t xml:space="preserve">Страховий випадок - </w:t>
            </w:r>
            <w:r w:rsidRPr="00935D0B">
              <w:rPr>
                <w:noProof/>
                <w:lang w:val="uk-UA"/>
              </w:rPr>
              <w:t>загибель (смерть), поранення (контузія, травма або каліцтво), хвороба  застрахованого, який виконував свої обов'язки згідно з командами і наказами командирів і начальників, одержані під час гасіння пожеж, ліквідації наслідків надзвичайних ситуацій, проведення навчань, практичних тренувань, аварійно-рятувальних та інших невідкладних робіт, що потребують залучення працівників, які мають спеціальну підготовку, засоби індивідуального захисту та оснащення.</w:t>
            </w:r>
          </w:p>
        </w:tc>
      </w:tr>
      <w:tr w:rsidR="00935D0B" w:rsidRPr="00935D0B" w:rsidTr="00BA714C">
        <w:trPr>
          <w:trHeight w:val="335"/>
        </w:trPr>
        <w:tc>
          <w:tcPr>
            <w:tcW w:w="758" w:type="dxa"/>
            <w:vMerge/>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pStyle w:val="xmsonormal"/>
              <w:shd w:val="clear" w:color="auto" w:fill="FFFFFF"/>
              <w:jc w:val="both"/>
              <w:rPr>
                <w:b/>
                <w:noProof/>
                <w:color w:val="242424"/>
                <w:bdr w:val="none" w:sz="0" w:space="0" w:color="auto" w:frame="1"/>
              </w:rPr>
            </w:pPr>
            <w:r w:rsidRPr="00935D0B">
              <w:rPr>
                <w:b/>
                <w:noProof/>
                <w:color w:val="242424"/>
                <w:bdr w:val="none" w:sz="0" w:space="0" w:color="auto" w:frame="1"/>
              </w:rPr>
              <w:t xml:space="preserve">Страхові ризики, на випадок яких здійснюється страхування: </w:t>
            </w:r>
          </w:p>
          <w:p w:rsidR="00935D0B" w:rsidRPr="00935D0B" w:rsidRDefault="00935D0B" w:rsidP="00C54156">
            <w:pPr>
              <w:pStyle w:val="xmsonormal"/>
              <w:shd w:val="clear" w:color="auto" w:fill="FFFFFF"/>
              <w:jc w:val="both"/>
              <w:rPr>
                <w:noProof/>
                <w:color w:val="242424"/>
                <w:bdr w:val="none" w:sz="0" w:space="0" w:color="auto" w:frame="1"/>
              </w:rPr>
            </w:pPr>
            <w:r w:rsidRPr="00935D0B">
              <w:rPr>
                <w:noProof/>
                <w:color w:val="242424"/>
                <w:bdr w:val="none" w:sz="0" w:space="0" w:color="auto" w:frame="1"/>
              </w:rPr>
              <w:t>1. тимчасова втрата застрахованої особи загальної працездатності внаслідок нещасного випадку;</w:t>
            </w:r>
          </w:p>
          <w:p w:rsidR="00935D0B" w:rsidRPr="00935D0B" w:rsidRDefault="00935D0B" w:rsidP="00C54156">
            <w:pPr>
              <w:pStyle w:val="xmsonormal"/>
              <w:shd w:val="clear" w:color="auto" w:fill="FFFFFF"/>
              <w:jc w:val="both"/>
              <w:rPr>
                <w:noProof/>
                <w:color w:val="242424"/>
                <w:bdr w:val="none" w:sz="0" w:space="0" w:color="auto" w:frame="1"/>
              </w:rPr>
            </w:pPr>
            <w:r w:rsidRPr="00935D0B">
              <w:rPr>
                <w:noProof/>
                <w:color w:val="242424"/>
                <w:bdr w:val="none" w:sz="0" w:space="0" w:color="auto" w:frame="1"/>
              </w:rPr>
              <w:t>2. стійка втрата застрахованої особи загальної працездатності внаслідок нещасного випадку (поранення (контузія, травми або каліцтва) в тому числі, встановлення їй первинної інвалідності І, ІІ чи ІІІ групи внаслідок нещасного випадку);</w:t>
            </w:r>
          </w:p>
          <w:p w:rsidR="00935D0B" w:rsidRPr="00935D0B" w:rsidRDefault="00935D0B" w:rsidP="00C54156">
            <w:pPr>
              <w:pStyle w:val="xmsonormal"/>
              <w:shd w:val="clear" w:color="auto" w:fill="FFFFFF"/>
              <w:jc w:val="both"/>
              <w:rPr>
                <w:noProof/>
                <w:color w:val="242424"/>
                <w:bdr w:val="none" w:sz="0" w:space="0" w:color="auto" w:frame="1"/>
              </w:rPr>
            </w:pPr>
            <w:r w:rsidRPr="00935D0B">
              <w:rPr>
                <w:noProof/>
                <w:color w:val="242424"/>
                <w:bdr w:val="none" w:sz="0" w:space="0" w:color="auto" w:frame="1"/>
              </w:rPr>
              <w:t>3. загибель або смерть застрахованої особи внаслідок нещасного випадку.</w:t>
            </w:r>
          </w:p>
          <w:p w:rsidR="00935D0B" w:rsidRPr="00935D0B" w:rsidRDefault="00935D0B" w:rsidP="00C54156">
            <w:pPr>
              <w:pStyle w:val="xmsonormal"/>
              <w:shd w:val="clear" w:color="auto" w:fill="FFFFFF"/>
              <w:jc w:val="both"/>
              <w:rPr>
                <w:b/>
                <w:noProof/>
                <w:color w:val="242424"/>
                <w:bdr w:val="none" w:sz="0" w:space="0" w:color="auto" w:frame="1"/>
              </w:rPr>
            </w:pPr>
            <w:r w:rsidRPr="00935D0B">
              <w:rPr>
                <w:b/>
                <w:noProof/>
                <w:color w:val="242424"/>
                <w:bdr w:val="none" w:sz="0" w:space="0" w:color="auto" w:frame="1"/>
              </w:rPr>
              <w:t>Обмеження страхування:</w:t>
            </w:r>
          </w:p>
          <w:p w:rsidR="00935D0B" w:rsidRPr="00935D0B" w:rsidRDefault="00935D0B" w:rsidP="00C54156">
            <w:pPr>
              <w:pStyle w:val="xmsonormal"/>
              <w:shd w:val="clear" w:color="auto" w:fill="FFFFFF"/>
              <w:jc w:val="both"/>
              <w:rPr>
                <w:noProof/>
                <w:color w:val="242424"/>
                <w:bdr w:val="none" w:sz="0" w:space="0" w:color="auto" w:frame="1"/>
              </w:rPr>
            </w:pPr>
            <w:r w:rsidRPr="00935D0B">
              <w:rPr>
                <w:noProof/>
                <w:color w:val="242424"/>
                <w:bdr w:val="none" w:sz="0" w:space="0" w:color="auto" w:frame="1"/>
              </w:rPr>
              <w:t xml:space="preserve">На страхування не приймаються особи, які на момент укладення Договору: визнані у встановленому порядку недієздатними; страждають на важкі форми соматичних захворювань; мають будь-які психічні розлади чи захворювання; страждають на алкоголізм, наркоманію, токсикоманію. </w:t>
            </w:r>
          </w:p>
          <w:p w:rsidR="00935D0B" w:rsidRPr="00935D0B" w:rsidRDefault="00935D0B" w:rsidP="00C54156">
            <w:pPr>
              <w:widowControl w:val="0"/>
              <w:ind w:firstLine="219"/>
              <w:rPr>
                <w:noProof/>
                <w:lang w:val="uk-UA"/>
              </w:rPr>
            </w:pPr>
            <w:r w:rsidRPr="00935D0B">
              <w:rPr>
                <w:noProof/>
                <w:color w:val="242424"/>
                <w:bdr w:val="none" w:sz="0" w:space="0" w:color="auto" w:frame="1"/>
                <w:lang w:val="uk-UA"/>
              </w:rPr>
              <w:t>Застрахованими особами не можуть бути особи, які в період дії Договору є військовослужбовцями, приймають участь в проведенні будь-яких операцій Збройних сил України, проведенні заходів територіальної оборони, будь-яких воєнних/військових діях.</w:t>
            </w:r>
          </w:p>
        </w:tc>
      </w:tr>
      <w:tr w:rsidR="00935D0B" w:rsidRPr="00935D0B" w:rsidTr="00BA714C">
        <w:trPr>
          <w:trHeight w:val="335"/>
        </w:trPr>
        <w:tc>
          <w:tcPr>
            <w:tcW w:w="758"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lastRenderedPageBreak/>
              <w:t>3</w:t>
            </w:r>
          </w:p>
        </w:tc>
        <w:tc>
          <w:tcPr>
            <w:tcW w:w="157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az-Cyrl-AZ"/>
              </w:rPr>
              <w:t>Розмір страхової суми (ліміту відповідальності)</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pStyle w:val="xmsonormal"/>
              <w:keepNext/>
              <w:keepLines/>
              <w:suppressLineNumbers/>
              <w:shd w:val="clear" w:color="auto" w:fill="FFFFFF"/>
              <w:ind w:right="116" w:firstLine="229"/>
              <w:jc w:val="both"/>
              <w:rPr>
                <w:rFonts w:eastAsiaTheme="minorEastAsia"/>
                <w:noProof/>
                <w:lang w:val="az-Cyrl-AZ" w:eastAsia="ru-RU"/>
              </w:rPr>
            </w:pPr>
            <w:r w:rsidRPr="00935D0B">
              <w:rPr>
                <w:rFonts w:eastAsiaTheme="minorEastAsia"/>
                <w:noProof/>
                <w:lang w:val="az-Cyrl-AZ" w:eastAsia="ru-RU"/>
              </w:rPr>
              <w:t>Розрахунок страхової суми, відповідно до переліку працівників служби аварійно-рятувального та протипожежного забезпечення польотів, які підлягають страхуванню:</w:t>
            </w:r>
          </w:p>
          <w:tbl>
            <w:tblPr>
              <w:tblW w:w="7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1827"/>
              <w:gridCol w:w="1249"/>
              <w:gridCol w:w="2116"/>
            </w:tblGrid>
            <w:tr w:rsidR="00935D0B" w:rsidRPr="00935D0B" w:rsidTr="00BA714C">
              <w:trPr>
                <w:trHeight w:val="1275"/>
              </w:trPr>
              <w:tc>
                <w:tcPr>
                  <w:tcW w:w="22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D0B" w:rsidRPr="00935D0B" w:rsidRDefault="00935D0B" w:rsidP="00C54156">
                  <w:pPr>
                    <w:keepNext/>
                    <w:keepLines/>
                    <w:suppressLineNumbers/>
                    <w:jc w:val="center"/>
                    <w:rPr>
                      <w:b/>
                      <w:noProof/>
                      <w:lang w:val="uk-UA"/>
                    </w:rPr>
                  </w:pPr>
                  <w:r w:rsidRPr="00935D0B">
                    <w:rPr>
                      <w:b/>
                      <w:noProof/>
                      <w:lang w:val="uk-UA"/>
                    </w:rPr>
                    <w:t>Кількість працівників САРтаПЗП ДП МА «БОРИСПІЛЬ», які потребують страхування на 2024-2025 рр.</w:t>
                  </w:r>
                </w:p>
              </w:tc>
              <w:tc>
                <w:tcPr>
                  <w:tcW w:w="1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D0B" w:rsidRPr="00935D0B" w:rsidRDefault="00935D0B" w:rsidP="00C54156">
                  <w:pPr>
                    <w:keepNext/>
                    <w:keepLines/>
                    <w:suppressLineNumbers/>
                    <w:jc w:val="center"/>
                    <w:rPr>
                      <w:b/>
                      <w:noProof/>
                      <w:lang w:val="uk-UA"/>
                    </w:rPr>
                  </w:pPr>
                  <w:r w:rsidRPr="00935D0B">
                    <w:rPr>
                      <w:b/>
                      <w:noProof/>
                      <w:lang w:val="uk-UA"/>
                    </w:rPr>
                    <w:t>Середньомісячна заробітна плата працівників</w:t>
                  </w:r>
                </w:p>
                <w:p w:rsidR="00935D0B" w:rsidRPr="00935D0B" w:rsidRDefault="00935D0B" w:rsidP="00C54156">
                  <w:pPr>
                    <w:keepNext/>
                    <w:keepLines/>
                    <w:suppressLineNumbers/>
                    <w:jc w:val="center"/>
                    <w:rPr>
                      <w:b/>
                      <w:noProof/>
                      <w:lang w:val="uk-UA"/>
                    </w:rPr>
                  </w:pPr>
                  <w:r w:rsidRPr="00935D0B">
                    <w:rPr>
                      <w:b/>
                      <w:noProof/>
                      <w:lang w:val="uk-UA"/>
                    </w:rPr>
                    <w:t xml:space="preserve">САРтаПЗП, </w:t>
                  </w:r>
                </w:p>
                <w:p w:rsidR="00935D0B" w:rsidRPr="00935D0B" w:rsidRDefault="00935D0B" w:rsidP="00C54156">
                  <w:pPr>
                    <w:keepNext/>
                    <w:keepLines/>
                    <w:suppressLineNumbers/>
                    <w:jc w:val="center"/>
                    <w:rPr>
                      <w:b/>
                      <w:noProof/>
                      <w:lang w:val="uk-UA"/>
                    </w:rPr>
                  </w:pPr>
                  <w:r w:rsidRPr="00935D0B">
                    <w:rPr>
                      <w:b/>
                      <w:noProof/>
                      <w:lang w:val="uk-UA"/>
                    </w:rPr>
                    <w:t>грн</w:t>
                  </w:r>
                </w:p>
              </w:tc>
              <w:tc>
                <w:tcPr>
                  <w:tcW w:w="12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D0B" w:rsidRPr="00935D0B" w:rsidRDefault="00935D0B" w:rsidP="00C54156">
                  <w:pPr>
                    <w:keepNext/>
                    <w:keepLines/>
                    <w:suppressLineNumbers/>
                    <w:jc w:val="center"/>
                    <w:rPr>
                      <w:b/>
                      <w:noProof/>
                      <w:lang w:val="uk-UA"/>
                    </w:rPr>
                  </w:pPr>
                  <w:r w:rsidRPr="00935D0B">
                    <w:rPr>
                      <w:b/>
                      <w:noProof/>
                      <w:lang w:val="uk-UA"/>
                    </w:rPr>
                    <w:t>К-ть місяців</w:t>
                  </w:r>
                </w:p>
                <w:p w:rsidR="00935D0B" w:rsidRPr="00935D0B" w:rsidRDefault="00935D0B" w:rsidP="00C54156">
                  <w:pPr>
                    <w:keepNext/>
                    <w:keepLines/>
                    <w:suppressLineNumbers/>
                    <w:jc w:val="center"/>
                    <w:rPr>
                      <w:b/>
                      <w:noProof/>
                      <w:lang w:val="uk-UA"/>
                    </w:rPr>
                  </w:pPr>
                  <w:r w:rsidRPr="00935D0B">
                    <w:rPr>
                      <w:b/>
                      <w:noProof/>
                      <w:lang w:val="uk-UA"/>
                    </w:rPr>
                    <w:t>(за 10 років)</w:t>
                  </w:r>
                </w:p>
              </w:tc>
              <w:tc>
                <w:tcPr>
                  <w:tcW w:w="21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D0B" w:rsidRPr="00935D0B" w:rsidRDefault="00935D0B" w:rsidP="00C54156">
                  <w:pPr>
                    <w:keepNext/>
                    <w:keepLines/>
                    <w:suppressLineNumbers/>
                    <w:jc w:val="center"/>
                    <w:rPr>
                      <w:b/>
                      <w:noProof/>
                      <w:lang w:val="uk-UA"/>
                    </w:rPr>
                  </w:pPr>
                  <w:r w:rsidRPr="00935D0B">
                    <w:rPr>
                      <w:b/>
                      <w:noProof/>
                      <w:lang w:val="uk-UA"/>
                    </w:rPr>
                    <w:t>Страхова сума (загальна) грн без ПДВ</w:t>
                  </w:r>
                </w:p>
              </w:tc>
            </w:tr>
            <w:tr w:rsidR="00935D0B" w:rsidRPr="00935D0B" w:rsidTr="00BA714C">
              <w:trPr>
                <w:trHeight w:val="308"/>
              </w:trPr>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rsidR="00935D0B" w:rsidRPr="00935D0B" w:rsidRDefault="00935D0B" w:rsidP="00C54156">
                  <w:pPr>
                    <w:keepNext/>
                    <w:keepLines/>
                    <w:suppressLineNumbers/>
                    <w:ind w:right="117"/>
                    <w:jc w:val="center"/>
                    <w:rPr>
                      <w:highlight w:val="yellow"/>
                      <w:lang w:val="uk-UA"/>
                    </w:rPr>
                  </w:pPr>
                  <w:r w:rsidRPr="00935D0B">
                    <w:rPr>
                      <w:lang w:val="uk-UA"/>
                    </w:rPr>
                    <w:t>109 осіб</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935D0B" w:rsidRPr="00935D0B" w:rsidRDefault="00935D0B" w:rsidP="00C54156">
                  <w:pPr>
                    <w:keepNext/>
                    <w:keepLines/>
                    <w:suppressLineNumbers/>
                    <w:ind w:right="117"/>
                    <w:jc w:val="center"/>
                    <w:rPr>
                      <w:highlight w:val="yellow"/>
                      <w:lang w:val="uk-UA"/>
                    </w:rPr>
                  </w:pPr>
                  <w:r w:rsidRPr="00935D0B">
                    <w:rPr>
                      <w:lang w:val="uk-UA"/>
                    </w:rPr>
                    <w:t>1 189 505,00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935D0B" w:rsidRPr="00935D0B" w:rsidRDefault="00935D0B" w:rsidP="00C54156">
                  <w:pPr>
                    <w:keepNext/>
                    <w:keepLines/>
                    <w:suppressLineNumbers/>
                    <w:ind w:right="117"/>
                    <w:jc w:val="center"/>
                    <w:rPr>
                      <w:highlight w:val="yellow"/>
                      <w:lang w:val="uk-UA"/>
                    </w:rPr>
                  </w:pPr>
                  <w:r w:rsidRPr="00935D0B">
                    <w:rPr>
                      <w:lang w:val="uk-UA"/>
                    </w:rPr>
                    <w:t>120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935D0B" w:rsidRPr="00935D0B" w:rsidRDefault="00935D0B" w:rsidP="00C54156">
                  <w:pPr>
                    <w:keepNext/>
                    <w:keepLines/>
                    <w:suppressLineNumbers/>
                    <w:ind w:right="-107"/>
                    <w:jc w:val="center"/>
                    <w:rPr>
                      <w:highlight w:val="yellow"/>
                      <w:lang w:val="uk-UA"/>
                    </w:rPr>
                  </w:pPr>
                  <w:r w:rsidRPr="00935D0B">
                    <w:rPr>
                      <w:lang w:val="uk-UA"/>
                    </w:rPr>
                    <w:t>142 740 600,00</w:t>
                  </w:r>
                </w:p>
              </w:tc>
            </w:tr>
          </w:tbl>
          <w:p w:rsidR="00935D0B" w:rsidRPr="00935D0B" w:rsidRDefault="00935D0B" w:rsidP="00C54156">
            <w:pPr>
              <w:widowControl w:val="0"/>
              <w:ind w:right="117" w:firstLine="219"/>
              <w:rPr>
                <w:noProof/>
                <w:lang w:val="uk-UA"/>
              </w:rPr>
            </w:pPr>
          </w:p>
        </w:tc>
      </w:tr>
      <w:tr w:rsidR="00935D0B" w:rsidRPr="00935D0B" w:rsidTr="00BA714C">
        <w:trPr>
          <w:trHeight w:val="335"/>
        </w:trPr>
        <w:tc>
          <w:tcPr>
            <w:tcW w:w="758"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4</w:t>
            </w:r>
          </w:p>
        </w:tc>
        <w:tc>
          <w:tcPr>
            <w:tcW w:w="157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uk-UA"/>
              </w:rPr>
              <w:t>Винятки із страхових випадків та підстави для відмови у страховій виплаті</w:t>
            </w:r>
          </w:p>
          <w:p w:rsidR="00935D0B" w:rsidRPr="00935D0B" w:rsidRDefault="00935D0B" w:rsidP="00C54156">
            <w:pPr>
              <w:keepNext/>
              <w:keepLines/>
              <w:suppressLineNumbers/>
              <w:rPr>
                <w:noProof/>
                <w:lang w:val="az-Cyrl-AZ"/>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uk-UA"/>
              </w:rPr>
              <w:t>До страхових випадків не відносяться i страхова виплата не здійснюється:</w:t>
            </w:r>
          </w:p>
          <w:p w:rsidR="00935D0B" w:rsidRPr="00935D0B" w:rsidRDefault="00935D0B" w:rsidP="00C54156">
            <w:pPr>
              <w:widowControl w:val="0"/>
              <w:ind w:right="117"/>
              <w:rPr>
                <w:noProof/>
                <w:lang w:val="uk-UA"/>
              </w:rPr>
            </w:pPr>
            <w:r w:rsidRPr="00935D0B">
              <w:rPr>
                <w:noProof/>
                <w:lang w:val="uk-UA"/>
              </w:rPr>
              <w:t>а) якщо застрахований надав страховику свідомо неправдиву інформацію;</w:t>
            </w:r>
          </w:p>
          <w:p w:rsidR="00935D0B" w:rsidRPr="00935D0B" w:rsidRDefault="00935D0B" w:rsidP="00C54156">
            <w:pPr>
              <w:widowControl w:val="0"/>
              <w:ind w:right="117"/>
              <w:rPr>
                <w:noProof/>
                <w:lang w:val="uk-UA"/>
              </w:rPr>
            </w:pPr>
            <w:r w:rsidRPr="00935D0B">
              <w:rPr>
                <w:noProof/>
                <w:lang w:val="uk-UA"/>
              </w:rPr>
              <w:t>б) якщо страховий випадок стався, коли застрахований перебував у стані алкогольного, наркотичного або токсичного сп'яніння, що документально підтверджено у встановленому порядку;</w:t>
            </w:r>
          </w:p>
          <w:p w:rsidR="00935D0B" w:rsidRPr="00935D0B" w:rsidRDefault="00935D0B" w:rsidP="00C54156">
            <w:pPr>
              <w:widowControl w:val="0"/>
              <w:ind w:right="117"/>
              <w:rPr>
                <w:noProof/>
                <w:lang w:val="uk-UA"/>
              </w:rPr>
            </w:pPr>
            <w:r w:rsidRPr="00935D0B">
              <w:rPr>
                <w:noProof/>
                <w:lang w:val="uk-UA"/>
              </w:rPr>
              <w:t>в) якщо страховий випадок стався внаслідок дій, не пов'язаних із гасінням пожеж, ліквідацією наслідків надзвичайних ситуацій, проведенням навчань, практичних тренувань, аварійно-рятувальних та інших невідкладних робіт, що потребують залучення працівників, які мають спеціальну підготовку, засоби індивідуального захисту та оснащення.</w:t>
            </w:r>
          </w:p>
          <w:p w:rsidR="00935D0B" w:rsidRPr="00935D0B" w:rsidRDefault="00935D0B" w:rsidP="00C54156">
            <w:pPr>
              <w:widowControl w:val="0"/>
              <w:ind w:right="117"/>
              <w:rPr>
                <w:noProof/>
                <w:lang w:val="uk-UA"/>
              </w:rPr>
            </w:pPr>
            <w:r w:rsidRPr="00935D0B">
              <w:rPr>
                <w:noProof/>
                <w:lang w:val="uk-UA"/>
              </w:rPr>
              <w:t>Не визнаються страховими випадками події, які настали до початку дії</w:t>
            </w:r>
          </w:p>
          <w:p w:rsidR="00935D0B" w:rsidRPr="00935D0B" w:rsidRDefault="00935D0B" w:rsidP="00C54156">
            <w:pPr>
              <w:widowControl w:val="0"/>
              <w:ind w:right="117"/>
              <w:rPr>
                <w:noProof/>
                <w:lang w:val="uk-UA"/>
              </w:rPr>
            </w:pPr>
            <w:r w:rsidRPr="00935D0B">
              <w:rPr>
                <w:noProof/>
                <w:lang w:val="uk-UA"/>
              </w:rPr>
              <w:t>Договору або після закінчення строку дії Договору та ті, що сталися на територіях, на яких договір страхування не діє.</w:t>
            </w:r>
          </w:p>
        </w:tc>
      </w:tr>
      <w:tr w:rsidR="00935D0B" w:rsidRPr="00935D0B" w:rsidTr="00BA714C">
        <w:trPr>
          <w:trHeight w:val="335"/>
        </w:trPr>
        <w:tc>
          <w:tcPr>
            <w:tcW w:w="758" w:type="dxa"/>
            <w:tcBorders>
              <w:top w:val="single" w:sz="4" w:space="0" w:color="auto"/>
              <w:left w:val="single" w:sz="4" w:space="0" w:color="auto"/>
              <w:right w:val="single" w:sz="4" w:space="0" w:color="auto"/>
            </w:tcBorders>
            <w:shd w:val="clear" w:color="auto" w:fill="D9E2F3" w:themeFill="accent5" w:themeFillTint="33"/>
          </w:tcPr>
          <w:p w:rsidR="00935D0B" w:rsidRPr="00935D0B" w:rsidRDefault="00935D0B" w:rsidP="00C54156">
            <w:pPr>
              <w:widowControl w:val="0"/>
              <w:rPr>
                <w:b/>
                <w:lang w:val="uk-UA"/>
              </w:rPr>
            </w:pPr>
            <w:r w:rsidRPr="00935D0B">
              <w:rPr>
                <w:b/>
                <w:lang w:val="uk-UA"/>
              </w:rPr>
              <w:t>№ п/п</w:t>
            </w:r>
          </w:p>
        </w:tc>
        <w:tc>
          <w:tcPr>
            <w:tcW w:w="1577" w:type="dxa"/>
            <w:tcBorders>
              <w:top w:val="single" w:sz="4" w:space="0" w:color="auto"/>
              <w:left w:val="single" w:sz="4" w:space="0" w:color="auto"/>
              <w:right w:val="single" w:sz="4" w:space="0" w:color="auto"/>
            </w:tcBorders>
            <w:shd w:val="clear" w:color="auto" w:fill="D9E2F3" w:themeFill="accent5" w:themeFillTint="33"/>
          </w:tcPr>
          <w:p w:rsidR="00935D0B" w:rsidRPr="00935D0B" w:rsidRDefault="00935D0B" w:rsidP="00C54156">
            <w:pPr>
              <w:widowControl w:val="0"/>
              <w:jc w:val="center"/>
              <w:rPr>
                <w:b/>
                <w:lang w:val="uk-UA"/>
              </w:rPr>
            </w:pPr>
            <w:r w:rsidRPr="00935D0B">
              <w:rPr>
                <w:b/>
                <w:lang w:val="uk-UA"/>
              </w:rPr>
              <w:t>Вид інформації</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35D0B" w:rsidRPr="00935D0B" w:rsidRDefault="00935D0B" w:rsidP="00C54156">
            <w:pPr>
              <w:widowControl w:val="0"/>
              <w:jc w:val="center"/>
              <w:rPr>
                <w:b/>
                <w:lang w:val="uk-UA"/>
              </w:rPr>
            </w:pPr>
            <w:r w:rsidRPr="00935D0B">
              <w:rPr>
                <w:b/>
                <w:lang w:val="uk-UA"/>
              </w:rPr>
              <w:t>Інші вимоги до предмета закупівлі</w:t>
            </w:r>
          </w:p>
        </w:tc>
      </w:tr>
      <w:tr w:rsidR="00935D0B" w:rsidRPr="00935D0B" w:rsidTr="00BA714C">
        <w:trPr>
          <w:trHeight w:val="335"/>
        </w:trPr>
        <w:tc>
          <w:tcPr>
            <w:tcW w:w="758" w:type="dxa"/>
            <w:vMerge w:val="restart"/>
            <w:tcBorders>
              <w:top w:val="single" w:sz="4" w:space="0" w:color="auto"/>
              <w:left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5</w:t>
            </w:r>
          </w:p>
        </w:tc>
        <w:tc>
          <w:tcPr>
            <w:tcW w:w="1577" w:type="dxa"/>
            <w:vMerge w:val="restart"/>
            <w:tcBorders>
              <w:top w:val="single" w:sz="4" w:space="0" w:color="auto"/>
              <w:left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uk-UA"/>
              </w:rPr>
              <w:t>Територія (місце надання Послуг), термін стрхування та строк дії договору страхування</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jc w:val="both"/>
              <w:rPr>
                <w:noProof/>
                <w:lang w:val="uk-UA"/>
              </w:rPr>
            </w:pPr>
            <w:r w:rsidRPr="00935D0B">
              <w:rPr>
                <w:rFonts w:eastAsiaTheme="minorHAnsi"/>
                <w:b/>
                <w:lang w:val="uk-UA" w:eastAsia="en-US"/>
              </w:rPr>
              <w:t>Україна</w:t>
            </w:r>
            <w:r w:rsidRPr="00935D0B">
              <w:rPr>
                <w:rFonts w:eastAsiaTheme="minorHAnsi"/>
                <w:lang w:val="uk-UA" w:eastAsia="en-US"/>
              </w:rPr>
              <w:t xml:space="preserve"> (за виключенням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розмежування, затверджених розпорядженням Кабінету Міністрів України від 07 листопада 2014 року № 1085-р (із змінами) та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p>
        </w:tc>
      </w:tr>
      <w:tr w:rsidR="00935D0B" w:rsidRPr="00935D0B" w:rsidTr="00BA714C">
        <w:trPr>
          <w:trHeight w:val="335"/>
        </w:trPr>
        <w:tc>
          <w:tcPr>
            <w:tcW w:w="758" w:type="dxa"/>
            <w:vMerge/>
            <w:tcBorders>
              <w:left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right w:val="single" w:sz="4" w:space="0" w:color="auto"/>
            </w:tcBorders>
          </w:tcPr>
          <w:p w:rsidR="00935D0B" w:rsidRPr="00935D0B" w:rsidRDefault="00935D0B" w:rsidP="00C54156">
            <w:pPr>
              <w:widowControl w:val="0"/>
              <w:ind w:right="117"/>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b/>
                <w:lang w:val="uk-UA"/>
              </w:rPr>
              <w:t xml:space="preserve">365 календарних днів, </w:t>
            </w:r>
            <w:r w:rsidRPr="00935D0B">
              <w:rPr>
                <w:lang w:val="uk-UA"/>
              </w:rPr>
              <w:t>з дня, наступного за днем укладання договору</w:t>
            </w:r>
            <w:r w:rsidRPr="00935D0B">
              <w:rPr>
                <w:b/>
                <w:lang w:val="uk-UA"/>
              </w:rPr>
              <w:t>.</w:t>
            </w:r>
          </w:p>
        </w:tc>
      </w:tr>
      <w:tr w:rsidR="00935D0B" w:rsidRPr="00935D0B" w:rsidTr="00BA714C">
        <w:trPr>
          <w:trHeight w:val="335"/>
        </w:trPr>
        <w:tc>
          <w:tcPr>
            <w:tcW w:w="758" w:type="dxa"/>
            <w:vMerge/>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p>
        </w:tc>
        <w:tc>
          <w:tcPr>
            <w:tcW w:w="1577" w:type="dxa"/>
            <w:vMerge/>
            <w:tcBorders>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b/>
                <w:noProof/>
                <w:lang w:val="az-Cyrl-AZ"/>
              </w:rPr>
              <w:t>Строк дії Договору страхування</w:t>
            </w:r>
            <w:r w:rsidRPr="00935D0B">
              <w:rPr>
                <w:noProof/>
                <w:lang w:val="az-Cyrl-AZ"/>
              </w:rPr>
              <w:t xml:space="preserve"> починається з 00 год. 01 хв. </w:t>
            </w:r>
            <w:r w:rsidRPr="00935D0B">
              <w:rPr>
                <w:b/>
                <w:noProof/>
                <w:lang w:val="az-Cyrl-AZ"/>
              </w:rPr>
              <w:t>дня,</w:t>
            </w:r>
            <w:r w:rsidRPr="00935D0B">
              <w:rPr>
                <w:b/>
                <w:noProof/>
              </w:rPr>
              <w:t xml:space="preserve"> </w:t>
            </w:r>
            <w:r w:rsidRPr="00935D0B">
              <w:rPr>
                <w:b/>
                <w:noProof/>
                <w:lang w:val="az-Cyrl-AZ"/>
              </w:rPr>
              <w:t>наступного за днем укладання договору</w:t>
            </w:r>
            <w:r w:rsidRPr="00935D0B">
              <w:rPr>
                <w:noProof/>
                <w:lang w:val="az-Cyrl-AZ"/>
              </w:rPr>
              <w:t>, та</w:t>
            </w:r>
            <w:r w:rsidRPr="00935D0B">
              <w:rPr>
                <w:noProof/>
              </w:rPr>
              <w:t xml:space="preserve"> </w:t>
            </w:r>
            <w:r w:rsidRPr="00935D0B">
              <w:rPr>
                <w:noProof/>
                <w:lang w:val="az-Cyrl-AZ"/>
              </w:rPr>
              <w:t>завершується о 23 год. 59 хв. за київським часом 365-го календарного дня від дати початку дії Договору</w:t>
            </w:r>
          </w:p>
        </w:tc>
      </w:tr>
      <w:tr w:rsidR="00935D0B" w:rsidRPr="00935D0B" w:rsidTr="00BA714C">
        <w:trPr>
          <w:trHeight w:val="335"/>
        </w:trPr>
        <w:tc>
          <w:tcPr>
            <w:tcW w:w="758" w:type="dxa"/>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6</w:t>
            </w:r>
          </w:p>
        </w:tc>
        <w:tc>
          <w:tcPr>
            <w:tcW w:w="1577" w:type="dxa"/>
            <w:tcBorders>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uk-UA"/>
              </w:rPr>
            </w:pPr>
            <w:r w:rsidRPr="00935D0B">
              <w:rPr>
                <w:noProof/>
                <w:lang w:val="az-Cyrl-AZ"/>
              </w:rPr>
              <w:t>Сплата страхового платежу</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ind w:right="117"/>
              <w:rPr>
                <w:noProof/>
                <w:lang w:val="az-Cyrl-AZ"/>
              </w:rPr>
            </w:pPr>
            <w:r w:rsidRPr="00935D0B">
              <w:rPr>
                <w:noProof/>
                <w:lang w:val="az-Cyrl-AZ"/>
              </w:rPr>
              <w:t xml:space="preserve">здійснюється одноразово протягом 30 календарних днів з дати укладення договору </w:t>
            </w:r>
          </w:p>
        </w:tc>
      </w:tr>
      <w:tr w:rsidR="00935D0B" w:rsidRPr="00935D0B" w:rsidTr="00BA714C">
        <w:trPr>
          <w:trHeight w:val="335"/>
        </w:trPr>
        <w:tc>
          <w:tcPr>
            <w:tcW w:w="758" w:type="dxa"/>
            <w:tcBorders>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t>7</w:t>
            </w:r>
          </w:p>
        </w:tc>
        <w:tc>
          <w:tcPr>
            <w:tcW w:w="1577" w:type="dxa"/>
            <w:tcBorders>
              <w:left w:val="single" w:sz="4" w:space="0" w:color="auto"/>
              <w:bottom w:val="single" w:sz="4" w:space="0" w:color="auto"/>
              <w:right w:val="single" w:sz="4" w:space="0" w:color="auto"/>
            </w:tcBorders>
          </w:tcPr>
          <w:p w:rsidR="00935D0B" w:rsidRPr="00935D0B" w:rsidRDefault="00935D0B" w:rsidP="00C54156">
            <w:pPr>
              <w:keepNext/>
              <w:keepLines/>
              <w:suppressLineNumbers/>
              <w:rPr>
                <w:noProof/>
                <w:lang w:val="az-Cyrl-AZ"/>
              </w:rPr>
            </w:pPr>
            <w:r w:rsidRPr="00935D0B">
              <w:rPr>
                <w:noProof/>
                <w:lang w:val="az-Cyrl-AZ"/>
              </w:rPr>
              <w:t>Франшиза</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keepNext/>
              <w:keepLines/>
              <w:suppressLineNumbers/>
              <w:rPr>
                <w:noProof/>
                <w:lang w:val="az-Cyrl-AZ"/>
              </w:rPr>
            </w:pPr>
            <w:r w:rsidRPr="00935D0B">
              <w:rPr>
                <w:noProof/>
                <w:lang w:val="az-Cyrl-AZ"/>
              </w:rPr>
              <w:t xml:space="preserve">не передбачена </w:t>
            </w:r>
          </w:p>
        </w:tc>
      </w:tr>
      <w:tr w:rsidR="00935D0B" w:rsidRPr="00935D0B" w:rsidTr="00BA714C">
        <w:trPr>
          <w:trHeight w:val="335"/>
        </w:trPr>
        <w:tc>
          <w:tcPr>
            <w:tcW w:w="758"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widowControl w:val="0"/>
              <w:rPr>
                <w:noProof/>
                <w:lang w:val="uk-UA"/>
              </w:rPr>
            </w:pPr>
            <w:r w:rsidRPr="00935D0B">
              <w:rPr>
                <w:noProof/>
                <w:lang w:val="uk-UA"/>
              </w:rPr>
              <w:lastRenderedPageBreak/>
              <w:t>8</w:t>
            </w:r>
          </w:p>
        </w:tc>
        <w:tc>
          <w:tcPr>
            <w:tcW w:w="157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keepNext/>
              <w:keepLines/>
              <w:suppressLineNumbers/>
              <w:rPr>
                <w:noProof/>
                <w:lang w:val="az-Cyrl-AZ"/>
              </w:rPr>
            </w:pPr>
            <w:r w:rsidRPr="00935D0B">
              <w:rPr>
                <w:noProof/>
                <w:lang w:val="az-Cyrl-AZ"/>
              </w:rPr>
              <w:t>Розмір страхового тарифу</w:t>
            </w:r>
          </w:p>
        </w:tc>
        <w:tc>
          <w:tcPr>
            <w:tcW w:w="7797" w:type="dxa"/>
            <w:tcBorders>
              <w:top w:val="single" w:sz="4" w:space="0" w:color="auto"/>
              <w:left w:val="single" w:sz="4" w:space="0" w:color="auto"/>
              <w:bottom w:val="single" w:sz="4" w:space="0" w:color="auto"/>
              <w:right w:val="single" w:sz="4" w:space="0" w:color="auto"/>
            </w:tcBorders>
          </w:tcPr>
          <w:p w:rsidR="00935D0B" w:rsidRPr="00935D0B" w:rsidRDefault="00935D0B" w:rsidP="00C54156">
            <w:pPr>
              <w:keepNext/>
              <w:keepLines/>
              <w:suppressLineNumbers/>
              <w:rPr>
                <w:noProof/>
                <w:lang w:val="az-Cyrl-AZ"/>
              </w:rPr>
            </w:pPr>
            <w:r w:rsidRPr="00935D0B">
              <w:rPr>
                <w:noProof/>
                <w:lang w:val="az-Cyrl-AZ"/>
              </w:rPr>
              <w:t xml:space="preserve">Максимальний страховий тариф становить 2 % страхової суми </w:t>
            </w:r>
          </w:p>
        </w:tc>
      </w:tr>
    </w:tbl>
    <w:p w:rsidR="00935D0B" w:rsidRPr="00935D0B" w:rsidRDefault="00935D0B" w:rsidP="00935D0B">
      <w:pPr>
        <w:widowControl w:val="0"/>
        <w:rPr>
          <w:lang w:val="uk-UA"/>
        </w:rPr>
      </w:pPr>
    </w:p>
    <w:p w:rsidR="006F428D" w:rsidRPr="00935D0B" w:rsidRDefault="006F428D" w:rsidP="00935D0B">
      <w:pPr>
        <w:rPr>
          <w:b/>
          <w:lang w:val="uk-UA"/>
        </w:rPr>
      </w:pPr>
    </w:p>
    <w:sectPr w:rsidR="006F428D" w:rsidRPr="00935D0B"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76" w:rsidRDefault="00796376">
      <w:r>
        <w:separator/>
      </w:r>
    </w:p>
  </w:endnote>
  <w:endnote w:type="continuationSeparator" w:id="0">
    <w:p w:rsidR="00796376" w:rsidRDefault="0079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C7A7C"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F20B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C383E">
      <w:rPr>
        <w:sz w:val="20"/>
        <w:szCs w:val="20"/>
        <w:lang w:val="uk-UA"/>
      </w:rPr>
      <w:t xml:space="preserve">Особисте страхування працівників служби аварійно-рятувального та протипожежного забезпечення польотів,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16432">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16432">
      <w:rPr>
        <w:bCs/>
        <w:noProof/>
        <w:sz w:val="20"/>
        <w:szCs w:val="20"/>
      </w:rPr>
      <w:t>5</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76" w:rsidRDefault="00796376">
      <w:r>
        <w:separator/>
      </w:r>
    </w:p>
  </w:footnote>
  <w:footnote w:type="continuationSeparator" w:id="0">
    <w:p w:rsidR="00796376" w:rsidRDefault="00796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C7A7C"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3C83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BA714C">
      <w:rPr>
        <w:noProof/>
        <w:sz w:val="20"/>
        <w:szCs w:val="20"/>
        <w:lang w:val="uk-UA"/>
      </w:rPr>
      <w:t>О</w:t>
    </w:r>
    <w:r w:rsidR="00BA714C" w:rsidRPr="00BA714C">
      <w:rPr>
        <w:noProof/>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3EE7"/>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C7A7C"/>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5E66"/>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379F"/>
    <w:rsid w:val="003C383E"/>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41B3"/>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1E9"/>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6376"/>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5D0B"/>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377"/>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432"/>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14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D5F"/>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24E"/>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05CD"/>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51E29F-ABD7-4C1A-82C5-8992DEA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xmsonormal">
    <w:name w:val="x_msonormal"/>
    <w:basedOn w:val="a"/>
    <w:rsid w:val="00935D0B"/>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9A17-6B3B-49C1-AA7E-185119DC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11</cp:revision>
  <cp:lastPrinted>2021-11-17T09:02:00Z</cp:lastPrinted>
  <dcterms:created xsi:type="dcterms:W3CDTF">2024-07-04T13:35:00Z</dcterms:created>
  <dcterms:modified xsi:type="dcterms:W3CDTF">2024-07-09T09:40:00Z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