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7101A5" w:rsidTr="001021AF">
        <w:tc>
          <w:tcPr>
            <w:tcW w:w="4683" w:type="dxa"/>
          </w:tcPr>
          <w:p w:rsidR="00825A6B" w:rsidRPr="007101A5" w:rsidRDefault="00D771BE" w:rsidP="006926A0">
            <w:pPr>
              <w:pStyle w:val="a3"/>
              <w:widowControl w:val="0"/>
              <w:rPr>
                <w:szCs w:val="17"/>
                <w:lang w:val="uk-UA"/>
              </w:rPr>
            </w:pPr>
            <w:r>
              <w:rPr>
                <w:noProof/>
                <w:lang w:val="ru-RU"/>
              </w:rPr>
              <w:drawing>
                <wp:inline distT="0" distB="0" distL="0" distR="0">
                  <wp:extent cx="1445895" cy="2889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895" cy="288925"/>
                          </a:xfrm>
                          <a:prstGeom prst="rect">
                            <a:avLst/>
                          </a:prstGeom>
                          <a:noFill/>
                          <a:ln>
                            <a:noFill/>
                          </a:ln>
                        </pic:spPr>
                      </pic:pic>
                    </a:graphicData>
                  </a:graphic>
                </wp:inline>
              </w:drawing>
            </w:r>
          </w:p>
        </w:tc>
        <w:tc>
          <w:tcPr>
            <w:tcW w:w="5171" w:type="dxa"/>
          </w:tcPr>
          <w:p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926A0" w:rsidRPr="007101A5" w:rsidRDefault="006926A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825A6B" w:rsidRPr="007101A5" w:rsidRDefault="006926A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1021AF" w:rsidRPr="007101A5" w:rsidTr="00C62708">
        <w:tc>
          <w:tcPr>
            <w:tcW w:w="9854" w:type="dxa"/>
            <w:gridSpan w:val="2"/>
          </w:tcPr>
          <w:p w:rsidR="003C4B6B" w:rsidRPr="007101A5" w:rsidRDefault="003C4B6B" w:rsidP="007D7B6F">
            <w:pPr>
              <w:pStyle w:val="1"/>
              <w:keepNext w:val="0"/>
              <w:widowControl w:val="0"/>
              <w:rPr>
                <w:sz w:val="28"/>
                <w:szCs w:val="28"/>
              </w:rPr>
            </w:pPr>
          </w:p>
          <w:p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7101A5" w:rsidRDefault="005F3529" w:rsidP="0063471D">
      <w:pPr>
        <w:pStyle w:val="a3"/>
        <w:widowControl w:val="0"/>
        <w:jc w:val="both"/>
        <w:rPr>
          <w:sz w:val="24"/>
          <w:szCs w:val="24"/>
          <w:lang w:val="uk-UA"/>
        </w:rPr>
      </w:pPr>
    </w:p>
    <w:p w:rsidR="007D7B6F" w:rsidRPr="007101A5" w:rsidRDefault="003C4B6B" w:rsidP="0063471D">
      <w:pPr>
        <w:pStyle w:val="a3"/>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5"/>
        <w:gridCol w:w="3116"/>
        <w:gridCol w:w="1932"/>
        <w:gridCol w:w="2249"/>
        <w:gridCol w:w="1910"/>
      </w:tblGrid>
      <w:tr w:rsidR="00A76484" w:rsidRPr="00C4715F" w:rsidTr="00CB68E3">
        <w:tc>
          <w:tcPr>
            <w:tcW w:w="488" w:type="pct"/>
            <w:shd w:val="clear" w:color="auto" w:fill="DEEAF6"/>
          </w:tcPr>
          <w:p w:rsidR="00A76484" w:rsidRPr="00C4715F" w:rsidRDefault="00A76484" w:rsidP="002D4D30">
            <w:pPr>
              <w:widowControl w:val="0"/>
              <w:contextualSpacing/>
              <w:jc w:val="center"/>
              <w:rPr>
                <w:b/>
                <w:noProof/>
                <w:sz w:val="22"/>
                <w:szCs w:val="22"/>
                <w:lang w:val="uk-UA"/>
              </w:rPr>
            </w:pPr>
            <w:r w:rsidRPr="00C4715F">
              <w:rPr>
                <w:b/>
                <w:noProof/>
                <w:sz w:val="22"/>
                <w:szCs w:val="22"/>
                <w:lang w:val="uk-UA"/>
              </w:rPr>
              <w:t>Пункт Кошторису</w:t>
            </w:r>
          </w:p>
        </w:tc>
        <w:tc>
          <w:tcPr>
            <w:tcW w:w="1527" w:type="pct"/>
            <w:shd w:val="clear" w:color="auto" w:fill="DEEAF6"/>
          </w:tcPr>
          <w:p w:rsidR="00A76484" w:rsidRPr="00C4715F" w:rsidRDefault="00A76484" w:rsidP="002D4D30">
            <w:pPr>
              <w:widowControl w:val="0"/>
              <w:contextualSpacing/>
              <w:jc w:val="center"/>
              <w:rPr>
                <w:b/>
                <w:noProof/>
                <w:sz w:val="22"/>
                <w:szCs w:val="22"/>
                <w:lang w:val="uk-UA"/>
              </w:rPr>
            </w:pPr>
            <w:r w:rsidRPr="00C4715F">
              <w:rPr>
                <w:b/>
                <w:noProof/>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C4715F" w:rsidRDefault="00A76484" w:rsidP="00DB2D70">
            <w:pPr>
              <w:widowControl w:val="0"/>
              <w:contextualSpacing/>
              <w:jc w:val="center"/>
              <w:rPr>
                <w:b/>
                <w:noProof/>
                <w:sz w:val="22"/>
                <w:szCs w:val="22"/>
                <w:lang w:val="uk-UA"/>
              </w:rPr>
            </w:pPr>
            <w:r w:rsidRPr="00C4715F">
              <w:rPr>
                <w:b/>
                <w:noProof/>
                <w:sz w:val="22"/>
                <w:szCs w:val="22"/>
                <w:lang w:val="uk-UA"/>
              </w:rPr>
              <w:t>Очікувана варт</w:t>
            </w:r>
            <w:r w:rsidR="00DB2D70" w:rsidRPr="00C4715F">
              <w:rPr>
                <w:b/>
                <w:noProof/>
                <w:sz w:val="22"/>
                <w:szCs w:val="22"/>
                <w:lang w:val="uk-UA"/>
              </w:rPr>
              <w:t>ість предмета закупівлі згідно р</w:t>
            </w:r>
            <w:r w:rsidRPr="00C4715F">
              <w:rPr>
                <w:b/>
                <w:noProof/>
                <w:sz w:val="22"/>
                <w:szCs w:val="22"/>
                <w:lang w:val="uk-UA"/>
              </w:rPr>
              <w:t>ічного плану закупівель</w:t>
            </w:r>
          </w:p>
        </w:tc>
        <w:tc>
          <w:tcPr>
            <w:tcW w:w="1102" w:type="pct"/>
            <w:shd w:val="clear" w:color="auto" w:fill="DEEAF6"/>
          </w:tcPr>
          <w:p w:rsidR="00A76484" w:rsidRPr="00C4715F" w:rsidRDefault="00A76484" w:rsidP="002D4D30">
            <w:pPr>
              <w:widowControl w:val="0"/>
              <w:contextualSpacing/>
              <w:jc w:val="center"/>
              <w:rPr>
                <w:b/>
                <w:noProof/>
                <w:sz w:val="22"/>
                <w:szCs w:val="22"/>
                <w:lang w:val="uk-UA"/>
              </w:rPr>
            </w:pPr>
            <w:r w:rsidRPr="00C4715F">
              <w:rPr>
                <w:b/>
                <w:noProof/>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C4715F" w:rsidRDefault="00A355EA" w:rsidP="002D4D30">
            <w:pPr>
              <w:widowControl w:val="0"/>
              <w:contextualSpacing/>
              <w:jc w:val="center"/>
              <w:rPr>
                <w:b/>
                <w:noProof/>
                <w:sz w:val="22"/>
                <w:szCs w:val="22"/>
                <w:lang w:val="uk-UA"/>
              </w:rPr>
            </w:pPr>
            <w:r w:rsidRPr="00C4715F">
              <w:rPr>
                <w:b/>
                <w:noProof/>
                <w:sz w:val="22"/>
                <w:szCs w:val="22"/>
                <w:lang w:val="uk-UA"/>
              </w:rPr>
              <w:t>Ідентифікатор процедури закупівлі</w:t>
            </w:r>
          </w:p>
        </w:tc>
      </w:tr>
      <w:tr w:rsidR="00CB68E3" w:rsidRPr="00C4715F" w:rsidTr="00CB68E3">
        <w:tc>
          <w:tcPr>
            <w:tcW w:w="488" w:type="pct"/>
          </w:tcPr>
          <w:p w:rsidR="00CB68E3" w:rsidRPr="00C4715F" w:rsidRDefault="00CB68E3" w:rsidP="003375A4">
            <w:pPr>
              <w:widowControl w:val="0"/>
              <w:ind w:right="-11"/>
              <w:jc w:val="center"/>
              <w:rPr>
                <w:noProof/>
                <w:sz w:val="22"/>
                <w:szCs w:val="22"/>
                <w:lang w:val="uk-UA" w:eastAsia="uk-UA"/>
              </w:rPr>
            </w:pPr>
            <w:r w:rsidRPr="00C4715F">
              <w:rPr>
                <w:noProof/>
                <w:sz w:val="22"/>
                <w:szCs w:val="22"/>
                <w:lang w:val="uk-UA"/>
              </w:rPr>
              <w:t xml:space="preserve">п. 8.09 </w:t>
            </w:r>
            <w:r w:rsidRPr="00C4715F">
              <w:rPr>
                <w:noProof/>
                <w:sz w:val="22"/>
                <w:szCs w:val="22"/>
                <w:lang w:val="uk-UA" w:eastAsia="uk-UA"/>
              </w:rPr>
              <w:t>(2024)</w:t>
            </w:r>
          </w:p>
        </w:tc>
        <w:tc>
          <w:tcPr>
            <w:tcW w:w="1527" w:type="pct"/>
          </w:tcPr>
          <w:p w:rsidR="00CB68E3" w:rsidRPr="00C4715F" w:rsidRDefault="00CB68E3" w:rsidP="003375A4">
            <w:pPr>
              <w:widowControl w:val="0"/>
              <w:rPr>
                <w:bCs/>
                <w:noProof/>
                <w:sz w:val="22"/>
                <w:szCs w:val="22"/>
                <w:lang w:val="uk-UA"/>
              </w:rPr>
            </w:pPr>
            <w:r w:rsidRPr="00C4715F">
              <w:rPr>
                <w:b/>
                <w:noProof/>
                <w:sz w:val="22"/>
                <w:szCs w:val="22"/>
                <w:lang w:val="uk-UA"/>
              </w:rPr>
              <w:t xml:space="preserve">Приладдя до ізольованих кабелів, </w:t>
            </w:r>
            <w:r w:rsidRPr="00C4715F">
              <w:rPr>
                <w:noProof/>
                <w:sz w:val="22"/>
                <w:szCs w:val="22"/>
                <w:lang w:val="uk-UA"/>
              </w:rPr>
              <w:t>код ДК 021:2015 - 31340000-1- Приладдя до ізольованих кабелів</w:t>
            </w:r>
          </w:p>
        </w:tc>
        <w:tc>
          <w:tcPr>
            <w:tcW w:w="947" w:type="pct"/>
          </w:tcPr>
          <w:p w:rsidR="00CB68E3" w:rsidRPr="00C4715F" w:rsidRDefault="00CB68E3" w:rsidP="003375A4">
            <w:pPr>
              <w:widowControl w:val="0"/>
              <w:jc w:val="center"/>
              <w:rPr>
                <w:noProof/>
                <w:sz w:val="22"/>
                <w:szCs w:val="22"/>
                <w:lang w:val="uk-UA"/>
              </w:rPr>
            </w:pPr>
            <w:r w:rsidRPr="00C4715F">
              <w:rPr>
                <w:noProof/>
                <w:sz w:val="22"/>
                <w:szCs w:val="22"/>
                <w:lang w:val="uk-UA"/>
              </w:rPr>
              <w:t>46 540,00</w:t>
            </w:r>
            <w:bookmarkStart w:id="0" w:name="_GoBack"/>
            <w:bookmarkEnd w:id="0"/>
          </w:p>
          <w:p w:rsidR="00CB68E3" w:rsidRPr="00C4715F" w:rsidRDefault="00CB68E3" w:rsidP="003375A4">
            <w:pPr>
              <w:widowControl w:val="0"/>
              <w:jc w:val="center"/>
              <w:rPr>
                <w:noProof/>
                <w:sz w:val="22"/>
                <w:szCs w:val="22"/>
                <w:lang w:val="uk-UA"/>
              </w:rPr>
            </w:pPr>
            <w:r w:rsidRPr="00C4715F">
              <w:rPr>
                <w:noProof/>
                <w:sz w:val="22"/>
                <w:szCs w:val="22"/>
                <w:lang w:val="uk-UA"/>
              </w:rPr>
              <w:t>грн. з ПДВ</w:t>
            </w:r>
          </w:p>
        </w:tc>
        <w:tc>
          <w:tcPr>
            <w:tcW w:w="1102" w:type="pct"/>
          </w:tcPr>
          <w:p w:rsidR="00CB68E3" w:rsidRPr="00C4715F" w:rsidRDefault="00CB68E3" w:rsidP="003375A4">
            <w:pPr>
              <w:widowControl w:val="0"/>
              <w:jc w:val="center"/>
              <w:rPr>
                <w:noProof/>
                <w:sz w:val="22"/>
                <w:szCs w:val="22"/>
                <w:lang w:val="uk-UA"/>
              </w:rPr>
            </w:pPr>
            <w:r w:rsidRPr="00C4715F">
              <w:rPr>
                <w:noProof/>
                <w:sz w:val="22"/>
                <w:szCs w:val="22"/>
                <w:lang w:val="uk-UA"/>
              </w:rPr>
              <w:t>38 783,33</w:t>
            </w:r>
          </w:p>
          <w:p w:rsidR="00CB68E3" w:rsidRPr="00C4715F" w:rsidRDefault="00CB68E3" w:rsidP="003375A4">
            <w:pPr>
              <w:widowControl w:val="0"/>
              <w:jc w:val="center"/>
              <w:rPr>
                <w:noProof/>
                <w:sz w:val="22"/>
                <w:szCs w:val="22"/>
                <w:lang w:val="uk-UA"/>
              </w:rPr>
            </w:pPr>
            <w:r w:rsidRPr="00C4715F">
              <w:rPr>
                <w:noProof/>
                <w:sz w:val="22"/>
                <w:szCs w:val="22"/>
                <w:lang w:val="uk-UA"/>
              </w:rPr>
              <w:t xml:space="preserve">грн. без ПДВ </w:t>
            </w:r>
          </w:p>
        </w:tc>
        <w:tc>
          <w:tcPr>
            <w:tcW w:w="936" w:type="pct"/>
          </w:tcPr>
          <w:p w:rsidR="00CB68E3" w:rsidRPr="00046A6A" w:rsidRDefault="00581788" w:rsidP="002D4D30">
            <w:pPr>
              <w:widowControl w:val="0"/>
              <w:jc w:val="center"/>
              <w:rPr>
                <w:noProof/>
                <w:sz w:val="22"/>
                <w:szCs w:val="22"/>
                <w:lang w:val="uk-UA"/>
              </w:rPr>
            </w:pPr>
            <w:r w:rsidRPr="00046A6A">
              <w:rPr>
                <w:noProof/>
                <w:sz w:val="22"/>
                <w:szCs w:val="22"/>
                <w:lang w:val="uk-UA"/>
              </w:rPr>
              <w:t>UA-2024-08-13-003936-a</w:t>
            </w:r>
          </w:p>
        </w:tc>
      </w:tr>
    </w:tbl>
    <w:p w:rsidR="00A12478" w:rsidRPr="00C4715F" w:rsidRDefault="00A12478" w:rsidP="0063471D">
      <w:pPr>
        <w:pStyle w:val="a3"/>
        <w:widowControl w:val="0"/>
        <w:jc w:val="both"/>
        <w:rPr>
          <w:noProof/>
          <w:sz w:val="22"/>
          <w:szCs w:val="22"/>
          <w:lang w:val="uk-UA"/>
        </w:rPr>
      </w:pPr>
    </w:p>
    <w:p w:rsidR="00A355EA" w:rsidRPr="00C4715F" w:rsidRDefault="00A355EA" w:rsidP="00C62708">
      <w:pPr>
        <w:widowControl w:val="0"/>
        <w:shd w:val="clear" w:color="auto" w:fill="DEEAF6"/>
        <w:jc w:val="center"/>
        <w:rPr>
          <w:noProof/>
          <w:sz w:val="22"/>
          <w:szCs w:val="22"/>
          <w:lang w:val="uk-UA"/>
        </w:rPr>
      </w:pPr>
      <w:r w:rsidRPr="00C4715F">
        <w:rPr>
          <w:b/>
          <w:noProof/>
          <w:sz w:val="22"/>
          <w:szCs w:val="22"/>
          <w:lang w:val="uk-UA"/>
        </w:rPr>
        <w:t>Обґрунтування на виконання вимог Постанови КМУ від 11.10.2016 № 710:</w:t>
      </w:r>
    </w:p>
    <w:p w:rsidR="006F428D" w:rsidRPr="00C4715F" w:rsidRDefault="006F428D" w:rsidP="00A12478">
      <w:pPr>
        <w:rPr>
          <w:b/>
          <w:noProof/>
          <w:sz w:val="22"/>
          <w:szCs w:val="22"/>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C4715F" w:rsidRPr="00C4715F"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4715F" w:rsidRPr="00C4715F" w:rsidRDefault="00C4715F" w:rsidP="00C62708">
            <w:pPr>
              <w:rPr>
                <w:noProof/>
                <w:sz w:val="22"/>
                <w:szCs w:val="22"/>
                <w:lang w:val="uk-UA"/>
              </w:rPr>
            </w:pPr>
            <w:r w:rsidRPr="00C4715F">
              <w:rPr>
                <w:noProof/>
                <w:sz w:val="22"/>
                <w:szCs w:val="22"/>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4715F" w:rsidRPr="00C4715F" w:rsidRDefault="00023119" w:rsidP="00C62708">
            <w:pPr>
              <w:rPr>
                <w:noProof/>
                <w:sz w:val="22"/>
                <w:szCs w:val="22"/>
                <w:lang w:val="uk-UA"/>
              </w:rPr>
            </w:pPr>
            <w:r w:rsidRPr="00C4715F">
              <w:rPr>
                <w:noProof/>
                <w:sz w:val="22"/>
                <w:szCs w:val="22"/>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4715F" w:rsidRPr="00C4715F" w:rsidRDefault="00C4715F" w:rsidP="003375A4">
            <w:pPr>
              <w:widowControl w:val="0"/>
              <w:ind w:right="162" w:firstLine="512"/>
              <w:jc w:val="both"/>
              <w:rPr>
                <w:noProof/>
                <w:sz w:val="22"/>
                <w:szCs w:val="22"/>
                <w:lang w:val="uk-UA"/>
              </w:rPr>
            </w:pPr>
            <w:r w:rsidRPr="00C4715F">
              <w:rPr>
                <w:b/>
                <w:i/>
                <w:noProof/>
                <w:sz w:val="22"/>
                <w:szCs w:val="22"/>
                <w:lang w:val="uk-UA"/>
              </w:rPr>
              <w:t>Обґрунтування очікуваної вартості предмета закупівлі:</w:t>
            </w:r>
            <w:r w:rsidRPr="00C4715F">
              <w:rPr>
                <w:noProof/>
                <w:sz w:val="22"/>
                <w:szCs w:val="22"/>
                <w:lang w:val="uk-UA"/>
              </w:rPr>
              <w:t xml:space="preserve"> </w:t>
            </w:r>
          </w:p>
          <w:p w:rsidR="00C4715F" w:rsidRPr="00C4715F" w:rsidRDefault="00C4715F" w:rsidP="003375A4">
            <w:pPr>
              <w:widowControl w:val="0"/>
              <w:ind w:right="162" w:firstLine="512"/>
              <w:jc w:val="both"/>
              <w:rPr>
                <w:noProof/>
                <w:sz w:val="22"/>
                <w:szCs w:val="22"/>
                <w:lang w:val="uk-UA"/>
              </w:rPr>
            </w:pPr>
            <w:r w:rsidRPr="00C4715F">
              <w:rPr>
                <w:noProof/>
                <w:sz w:val="22"/>
                <w:szCs w:val="22"/>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C4715F" w:rsidRPr="00C4715F" w:rsidRDefault="00C4715F" w:rsidP="003375A4">
            <w:pPr>
              <w:widowControl w:val="0"/>
              <w:ind w:firstLine="512"/>
              <w:jc w:val="both"/>
              <w:rPr>
                <w:noProof/>
                <w:sz w:val="22"/>
                <w:szCs w:val="22"/>
                <w:lang w:val="uk-UA"/>
              </w:rPr>
            </w:pPr>
            <w:r w:rsidRPr="00C4715F">
              <w:rPr>
                <w:noProof/>
                <w:sz w:val="22"/>
                <w:szCs w:val="22"/>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№50-06-1.</w:t>
            </w:r>
          </w:p>
          <w:p w:rsidR="00C4715F" w:rsidRPr="00C4715F" w:rsidRDefault="00C4715F" w:rsidP="003375A4">
            <w:pPr>
              <w:widowControl w:val="0"/>
              <w:ind w:firstLine="512"/>
              <w:jc w:val="both"/>
              <w:rPr>
                <w:noProof/>
                <w:sz w:val="22"/>
                <w:szCs w:val="22"/>
                <w:lang w:val="uk-UA"/>
              </w:rPr>
            </w:pPr>
            <w:r w:rsidRPr="00C4715F">
              <w:rPr>
                <w:noProof/>
                <w:sz w:val="22"/>
                <w:szCs w:val="22"/>
                <w:lang w:val="uk-UA"/>
              </w:rPr>
              <w:t>Метод порівняння ринкових цін на підставі отриманих цінових пропозицій.</w:t>
            </w:r>
          </w:p>
        </w:tc>
      </w:tr>
      <w:tr w:rsidR="00C4715F" w:rsidRPr="00C4715F"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4715F" w:rsidRPr="00C4715F" w:rsidRDefault="00C4715F" w:rsidP="00C62708">
            <w:pPr>
              <w:rPr>
                <w:bCs/>
                <w:noProof/>
                <w:sz w:val="22"/>
                <w:szCs w:val="22"/>
                <w:lang w:val="uk-UA"/>
              </w:rPr>
            </w:pPr>
            <w:r w:rsidRPr="00C4715F">
              <w:rPr>
                <w:bCs/>
                <w:noProof/>
                <w:sz w:val="22"/>
                <w:szCs w:val="22"/>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4715F" w:rsidRPr="00C4715F" w:rsidRDefault="00023119" w:rsidP="00C62708">
            <w:pPr>
              <w:rPr>
                <w:noProof/>
                <w:sz w:val="22"/>
                <w:szCs w:val="22"/>
                <w:lang w:val="uk-UA"/>
              </w:rPr>
            </w:pPr>
            <w:r w:rsidRPr="00C4715F">
              <w:rPr>
                <w:noProof/>
                <w:sz w:val="22"/>
                <w:szCs w:val="22"/>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4715F" w:rsidRPr="00C4715F" w:rsidRDefault="00C4715F" w:rsidP="003375A4">
            <w:pPr>
              <w:widowControl w:val="0"/>
              <w:ind w:firstLine="512"/>
              <w:jc w:val="both"/>
              <w:rPr>
                <w:noProof/>
                <w:sz w:val="22"/>
                <w:szCs w:val="22"/>
                <w:lang w:val="uk-UA"/>
              </w:rPr>
            </w:pPr>
            <w:r w:rsidRPr="00C4715F">
              <w:rPr>
                <w:b/>
                <w:noProof/>
                <w:sz w:val="22"/>
                <w:szCs w:val="22"/>
                <w:lang w:val="uk-UA"/>
              </w:rPr>
              <w:t>Обґрунтування технічних та якісних характеристик предмета закупівлі:</w:t>
            </w:r>
            <w:r w:rsidRPr="00C4715F">
              <w:rPr>
                <w:noProof/>
                <w:sz w:val="22"/>
                <w:szCs w:val="22"/>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rsidR="00C4715F" w:rsidRPr="00C4715F" w:rsidRDefault="00C4715F" w:rsidP="003375A4">
            <w:pPr>
              <w:widowControl w:val="0"/>
              <w:ind w:firstLine="512"/>
              <w:jc w:val="both"/>
              <w:rPr>
                <w:noProof/>
                <w:sz w:val="22"/>
                <w:szCs w:val="22"/>
                <w:lang w:val="uk-UA"/>
              </w:rPr>
            </w:pPr>
            <w:r w:rsidRPr="00C4715F">
              <w:rPr>
                <w:noProof/>
                <w:sz w:val="22"/>
                <w:szCs w:val="22"/>
                <w:lang w:val="uk-UA"/>
              </w:rPr>
              <w:t xml:space="preserve">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 </w:t>
            </w:r>
          </w:p>
          <w:p w:rsidR="00C4715F" w:rsidRPr="00C4715F" w:rsidRDefault="00C4715F" w:rsidP="003375A4">
            <w:pPr>
              <w:widowControl w:val="0"/>
              <w:ind w:firstLine="512"/>
              <w:jc w:val="both"/>
              <w:rPr>
                <w:noProof/>
                <w:sz w:val="22"/>
                <w:szCs w:val="22"/>
                <w:lang w:val="uk-UA"/>
              </w:rPr>
            </w:pPr>
            <w:r w:rsidRPr="00C4715F">
              <w:rPr>
                <w:noProof/>
                <w:sz w:val="22"/>
                <w:szCs w:val="22"/>
                <w:lang w:val="uk-UA"/>
              </w:rPr>
              <w:t xml:space="preserve">Посилання на торгову марку конкретного виробника, є необхідним для здійснення закупівлі товару, який за своїми якісними та технічними характеристиками найбільше відповідатиме вимогам та потребам замовника. Необхідність зазначення марки (Райхем) муфти пов’язане  з особливостями виробничого процесу та функціями покладеними на підприємство. </w:t>
            </w:r>
          </w:p>
          <w:p w:rsidR="00C4715F" w:rsidRPr="00C4715F" w:rsidRDefault="00C4715F" w:rsidP="003375A4">
            <w:pPr>
              <w:widowControl w:val="0"/>
              <w:ind w:firstLine="512"/>
              <w:jc w:val="both"/>
              <w:rPr>
                <w:noProof/>
                <w:sz w:val="22"/>
                <w:szCs w:val="22"/>
                <w:lang w:val="uk-UA"/>
              </w:rPr>
            </w:pPr>
            <w:r w:rsidRPr="00C4715F">
              <w:rPr>
                <w:noProof/>
                <w:sz w:val="22"/>
                <w:szCs w:val="22"/>
                <w:lang w:val="uk-UA"/>
              </w:rPr>
              <w:t xml:space="preserve">З’єднувальні муфти встановлюються на кабельних лініях 10кВ, які </w:t>
            </w:r>
            <w:r w:rsidRPr="00C4715F">
              <w:rPr>
                <w:noProof/>
                <w:sz w:val="22"/>
                <w:szCs w:val="22"/>
                <w:lang w:val="uk-UA"/>
              </w:rPr>
              <w:lastRenderedPageBreak/>
              <w:t xml:space="preserve">забезпечують електропостачання трансформаторних підстанцій ДП МА «Бориспіль», які в свою чергу живлять радіонавігаційне, світлосигнальне та інше електрообладнання аеродрому, що забезпечує безпеку польотів на аеродромі, тому вихід з ладу з’єднувальної муфти може призвести до збою в роботі зазначеного обладнання та вплинути на безпеку польотів.   </w:t>
            </w:r>
          </w:p>
          <w:p w:rsidR="00C4715F" w:rsidRPr="00C4715F" w:rsidRDefault="00C4715F" w:rsidP="003375A4">
            <w:pPr>
              <w:widowControl w:val="0"/>
              <w:ind w:firstLine="512"/>
              <w:jc w:val="both"/>
              <w:rPr>
                <w:i/>
                <w:noProof/>
                <w:sz w:val="22"/>
                <w:szCs w:val="22"/>
                <w:lang w:val="uk-UA"/>
              </w:rPr>
            </w:pPr>
            <w:r w:rsidRPr="00C4715F">
              <w:rPr>
                <w:noProof/>
                <w:sz w:val="22"/>
                <w:szCs w:val="22"/>
                <w:lang w:val="uk-UA"/>
              </w:rPr>
              <w:t>З досвіду двадцяти двох років експлуатації з’єднувальних муфт марки (Райхем) з ладу вийшли тільки дві з’єднувальні муфти. З’єднувальні муфти інших виробників виходять з лади набагато частіше.</w:t>
            </w:r>
          </w:p>
        </w:tc>
      </w:tr>
    </w:tbl>
    <w:p w:rsidR="006F428D" w:rsidRPr="00C4715F" w:rsidRDefault="006F428D" w:rsidP="00A12478">
      <w:pPr>
        <w:rPr>
          <w:b/>
          <w:noProof/>
          <w:sz w:val="22"/>
          <w:szCs w:val="22"/>
          <w:lang w:val="uk-UA"/>
        </w:rPr>
      </w:pPr>
    </w:p>
    <w:p w:rsidR="006926A0" w:rsidRPr="00C4715F" w:rsidRDefault="006926A0" w:rsidP="006926A0">
      <w:pPr>
        <w:ind w:firstLine="567"/>
        <w:jc w:val="both"/>
        <w:rPr>
          <w:noProof/>
          <w:sz w:val="22"/>
          <w:szCs w:val="22"/>
          <w:lang w:val="uk-UA"/>
        </w:rPr>
      </w:pPr>
      <w:r w:rsidRPr="00C4715F">
        <w:rPr>
          <w:noProof/>
          <w:sz w:val="22"/>
          <w:szCs w:val="22"/>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6F428D" w:rsidRPr="00C4715F" w:rsidRDefault="006F428D" w:rsidP="00A12478">
      <w:pPr>
        <w:rPr>
          <w:b/>
          <w:noProof/>
          <w:sz w:val="22"/>
          <w:szCs w:val="22"/>
          <w:lang w:val="uk-UA"/>
        </w:rPr>
      </w:pPr>
    </w:p>
    <w:tbl>
      <w:tblPr>
        <w:tblW w:w="9923" w:type="dxa"/>
        <w:tblInd w:w="60" w:type="dxa"/>
        <w:tblLayout w:type="fixed"/>
        <w:tblCellMar>
          <w:top w:w="30" w:type="dxa"/>
          <w:left w:w="60" w:type="dxa"/>
          <w:bottom w:w="30" w:type="dxa"/>
          <w:right w:w="30" w:type="dxa"/>
        </w:tblCellMar>
        <w:tblLook w:val="0000" w:firstRow="0" w:lastRow="0" w:firstColumn="0" w:lastColumn="0" w:noHBand="0" w:noVBand="0"/>
      </w:tblPr>
      <w:tblGrid>
        <w:gridCol w:w="567"/>
        <w:gridCol w:w="1418"/>
        <w:gridCol w:w="851"/>
        <w:gridCol w:w="709"/>
        <w:gridCol w:w="1842"/>
        <w:gridCol w:w="2694"/>
        <w:gridCol w:w="1842"/>
      </w:tblGrid>
      <w:tr w:rsidR="00106FEE" w:rsidRPr="00C4715F" w:rsidTr="003375A4">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06FEE" w:rsidRPr="00C4715F" w:rsidRDefault="00106FEE" w:rsidP="003375A4">
            <w:pPr>
              <w:widowControl w:val="0"/>
              <w:jc w:val="center"/>
              <w:rPr>
                <w:noProof/>
                <w:sz w:val="22"/>
                <w:szCs w:val="22"/>
                <w:lang w:val="uk-UA"/>
              </w:rPr>
            </w:pPr>
            <w:r w:rsidRPr="00C4715F">
              <w:rPr>
                <w:noProof/>
                <w:sz w:val="22"/>
                <w:szCs w:val="22"/>
                <w:lang w:val="uk-UA"/>
              </w:rPr>
              <w:t>№ п/п</w:t>
            </w: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06FEE" w:rsidRPr="00C4715F" w:rsidRDefault="00106FEE" w:rsidP="003375A4">
            <w:pPr>
              <w:widowControl w:val="0"/>
              <w:jc w:val="center"/>
              <w:rPr>
                <w:noProof/>
                <w:sz w:val="22"/>
                <w:szCs w:val="22"/>
                <w:lang w:val="uk-UA"/>
              </w:rPr>
            </w:pPr>
            <w:r w:rsidRPr="00C4715F">
              <w:rPr>
                <w:bCs/>
                <w:noProof/>
                <w:color w:val="000000"/>
                <w:sz w:val="22"/>
                <w:szCs w:val="22"/>
                <w:lang w:val="uk-UA"/>
              </w:rPr>
              <w:t>Найменування товару</w:t>
            </w:r>
          </w:p>
        </w:tc>
        <w:tc>
          <w:tcPr>
            <w:tcW w:w="851"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06FEE" w:rsidRPr="00C4715F" w:rsidRDefault="00106FEE" w:rsidP="003375A4">
            <w:pPr>
              <w:widowControl w:val="0"/>
              <w:jc w:val="center"/>
              <w:rPr>
                <w:noProof/>
                <w:sz w:val="22"/>
                <w:szCs w:val="22"/>
                <w:lang w:val="uk-UA"/>
              </w:rPr>
            </w:pPr>
            <w:r w:rsidRPr="00C4715F">
              <w:rPr>
                <w:noProof/>
                <w:sz w:val="22"/>
                <w:szCs w:val="22"/>
                <w:lang w:val="uk-UA"/>
              </w:rPr>
              <w:t>Од.</w:t>
            </w:r>
          </w:p>
          <w:p w:rsidR="00106FEE" w:rsidRPr="00C4715F" w:rsidRDefault="00106FEE" w:rsidP="003375A4">
            <w:pPr>
              <w:widowControl w:val="0"/>
              <w:jc w:val="center"/>
              <w:rPr>
                <w:noProof/>
                <w:sz w:val="22"/>
                <w:szCs w:val="22"/>
                <w:lang w:val="uk-UA"/>
              </w:rPr>
            </w:pPr>
            <w:r w:rsidRPr="00C4715F">
              <w:rPr>
                <w:noProof/>
                <w:sz w:val="22"/>
                <w:szCs w:val="22"/>
                <w:lang w:val="uk-UA"/>
              </w:rPr>
              <w:t>виміру</w:t>
            </w:r>
          </w:p>
        </w:tc>
        <w:tc>
          <w:tcPr>
            <w:tcW w:w="70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06FEE" w:rsidRPr="00C4715F" w:rsidRDefault="00106FEE" w:rsidP="003375A4">
            <w:pPr>
              <w:widowControl w:val="0"/>
              <w:jc w:val="center"/>
              <w:rPr>
                <w:noProof/>
                <w:sz w:val="22"/>
                <w:szCs w:val="22"/>
                <w:lang w:val="uk-UA"/>
              </w:rPr>
            </w:pPr>
            <w:r w:rsidRPr="00C4715F">
              <w:rPr>
                <w:noProof/>
                <w:sz w:val="22"/>
                <w:szCs w:val="22"/>
                <w:lang w:val="uk-UA"/>
              </w:rPr>
              <w:t>Кількість</w:t>
            </w:r>
          </w:p>
        </w:tc>
        <w:tc>
          <w:tcPr>
            <w:tcW w:w="184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06FEE" w:rsidRPr="00C4715F" w:rsidRDefault="00106FEE" w:rsidP="003375A4">
            <w:pPr>
              <w:widowControl w:val="0"/>
              <w:jc w:val="center"/>
              <w:rPr>
                <w:noProof/>
                <w:sz w:val="22"/>
                <w:szCs w:val="22"/>
                <w:lang w:val="uk-UA"/>
              </w:rPr>
            </w:pPr>
            <w:r w:rsidRPr="00C4715F">
              <w:rPr>
                <w:noProof/>
                <w:sz w:val="22"/>
                <w:szCs w:val="22"/>
                <w:lang w:val="uk-UA"/>
              </w:rPr>
              <w:t xml:space="preserve">Модель </w:t>
            </w:r>
          </w:p>
        </w:tc>
        <w:tc>
          <w:tcPr>
            <w:tcW w:w="269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06FEE" w:rsidRPr="00C4715F" w:rsidRDefault="00106FEE" w:rsidP="003375A4">
            <w:pPr>
              <w:widowControl w:val="0"/>
              <w:jc w:val="center"/>
              <w:rPr>
                <w:noProof/>
                <w:sz w:val="22"/>
                <w:szCs w:val="22"/>
                <w:lang w:val="uk-UA"/>
              </w:rPr>
            </w:pPr>
            <w:r w:rsidRPr="00C4715F">
              <w:rPr>
                <w:noProof/>
                <w:sz w:val="22"/>
                <w:szCs w:val="22"/>
                <w:lang w:val="uk-UA"/>
              </w:rPr>
              <w:t>Технічні та інші характеристики</w:t>
            </w:r>
          </w:p>
          <w:p w:rsidR="00106FEE" w:rsidRPr="00C4715F" w:rsidRDefault="00106FEE" w:rsidP="003375A4">
            <w:pPr>
              <w:widowControl w:val="0"/>
              <w:jc w:val="center"/>
              <w:rPr>
                <w:noProof/>
                <w:sz w:val="22"/>
                <w:szCs w:val="22"/>
                <w:lang w:val="uk-UA"/>
              </w:rPr>
            </w:pPr>
            <w:r w:rsidRPr="00C4715F">
              <w:rPr>
                <w:noProof/>
                <w:sz w:val="22"/>
                <w:szCs w:val="22"/>
                <w:lang w:val="uk-UA"/>
              </w:rPr>
              <w:t>(технічна специфікація)</w:t>
            </w:r>
          </w:p>
        </w:tc>
        <w:tc>
          <w:tcPr>
            <w:tcW w:w="184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106FEE" w:rsidRPr="00C4715F" w:rsidRDefault="00106FEE" w:rsidP="003375A4">
            <w:pPr>
              <w:widowControl w:val="0"/>
              <w:jc w:val="center"/>
              <w:rPr>
                <w:noProof/>
                <w:sz w:val="22"/>
                <w:szCs w:val="22"/>
                <w:lang w:val="uk-UA"/>
              </w:rPr>
            </w:pPr>
            <w:r w:rsidRPr="00C4715F">
              <w:rPr>
                <w:noProof/>
                <w:sz w:val="22"/>
                <w:szCs w:val="22"/>
                <w:lang w:val="uk-UA"/>
              </w:rPr>
              <w:t>Сфера застосування</w:t>
            </w:r>
          </w:p>
        </w:tc>
      </w:tr>
      <w:tr w:rsidR="00106FEE" w:rsidRPr="00C4715F" w:rsidTr="003375A4">
        <w:trPr>
          <w:trHeight w:val="321"/>
        </w:trPr>
        <w:tc>
          <w:tcPr>
            <w:tcW w:w="567" w:type="dxa"/>
            <w:tcBorders>
              <w:top w:val="thickThinLargeGap" w:sz="6" w:space="0" w:color="000000"/>
              <w:left w:val="thickThinLargeGap" w:sz="6" w:space="0" w:color="000000"/>
              <w:bottom w:val="thickThinLargeGap" w:sz="6" w:space="0" w:color="000000"/>
              <w:right w:val="thickThinLargeGap" w:sz="6" w:space="0" w:color="000000"/>
            </w:tcBorders>
          </w:tcPr>
          <w:p w:rsidR="00106FEE" w:rsidRPr="00C4715F" w:rsidRDefault="00106FEE" w:rsidP="00106FEE">
            <w:pPr>
              <w:numPr>
                <w:ilvl w:val="0"/>
                <w:numId w:val="26"/>
              </w:numPr>
              <w:suppressAutoHyphens/>
              <w:ind w:left="0" w:firstLine="0"/>
              <w:contextualSpacing/>
              <w:rPr>
                <w:bCs/>
                <w:noProof/>
                <w:kern w:val="1"/>
                <w:sz w:val="22"/>
                <w:szCs w:val="22"/>
                <w:lang w:val="uk-UA"/>
              </w:rPr>
            </w:pPr>
          </w:p>
        </w:tc>
        <w:tc>
          <w:tcPr>
            <w:tcW w:w="1418" w:type="dxa"/>
            <w:tcBorders>
              <w:top w:val="thickThinLargeGap" w:sz="6" w:space="0" w:color="000000"/>
              <w:left w:val="thickThinLargeGap" w:sz="6" w:space="0" w:color="000000"/>
              <w:bottom w:val="thickThinLargeGap" w:sz="6" w:space="0" w:color="000000"/>
              <w:right w:val="thickThinLargeGap" w:sz="6" w:space="0" w:color="000000"/>
            </w:tcBorders>
          </w:tcPr>
          <w:p w:rsidR="00106FEE" w:rsidRPr="00C4715F" w:rsidRDefault="00106FEE" w:rsidP="003375A4">
            <w:pPr>
              <w:jc w:val="both"/>
              <w:rPr>
                <w:noProof/>
                <w:sz w:val="22"/>
                <w:szCs w:val="22"/>
                <w:lang w:val="uk-UA"/>
              </w:rPr>
            </w:pPr>
            <w:r w:rsidRPr="00C4715F">
              <w:rPr>
                <w:noProof/>
                <w:sz w:val="22"/>
                <w:szCs w:val="22"/>
                <w:lang w:val="uk-UA"/>
              </w:rPr>
              <w:t>З'єднувальна муфта</w:t>
            </w:r>
          </w:p>
        </w:tc>
        <w:tc>
          <w:tcPr>
            <w:tcW w:w="851" w:type="dxa"/>
            <w:tcBorders>
              <w:top w:val="thickThinLargeGap" w:sz="6" w:space="0" w:color="000000"/>
              <w:left w:val="thickThinLargeGap" w:sz="6" w:space="0" w:color="000000"/>
              <w:bottom w:val="thickThinLargeGap" w:sz="6" w:space="0" w:color="000000"/>
              <w:right w:val="thickThinLargeGap" w:sz="6" w:space="0" w:color="000000"/>
            </w:tcBorders>
          </w:tcPr>
          <w:p w:rsidR="00106FEE" w:rsidRPr="00C4715F" w:rsidRDefault="00106FEE" w:rsidP="003375A4">
            <w:pPr>
              <w:rPr>
                <w:noProof/>
                <w:sz w:val="22"/>
                <w:szCs w:val="22"/>
                <w:lang w:val="uk-UA"/>
              </w:rPr>
            </w:pPr>
            <w:r w:rsidRPr="00C4715F">
              <w:rPr>
                <w:noProof/>
                <w:sz w:val="22"/>
                <w:szCs w:val="22"/>
                <w:lang w:val="uk-UA"/>
              </w:rPr>
              <w:t>шт.</w:t>
            </w:r>
          </w:p>
        </w:tc>
        <w:tc>
          <w:tcPr>
            <w:tcW w:w="709" w:type="dxa"/>
            <w:tcBorders>
              <w:top w:val="thickThinLargeGap" w:sz="6" w:space="0" w:color="000000"/>
              <w:left w:val="thickThinLargeGap" w:sz="6" w:space="0" w:color="000000"/>
              <w:bottom w:val="thickThinLargeGap" w:sz="6" w:space="0" w:color="000000"/>
              <w:right w:val="thickThinLargeGap" w:sz="6" w:space="0" w:color="000000"/>
            </w:tcBorders>
          </w:tcPr>
          <w:p w:rsidR="00106FEE" w:rsidRPr="00C4715F" w:rsidRDefault="00106FEE" w:rsidP="003375A4">
            <w:pPr>
              <w:rPr>
                <w:noProof/>
                <w:sz w:val="22"/>
                <w:szCs w:val="22"/>
                <w:lang w:val="uk-UA"/>
              </w:rPr>
            </w:pPr>
            <w:r w:rsidRPr="00C4715F">
              <w:rPr>
                <w:noProof/>
                <w:sz w:val="22"/>
                <w:szCs w:val="22"/>
                <w:lang w:val="uk-UA"/>
              </w:rPr>
              <w:t>6</w:t>
            </w:r>
          </w:p>
        </w:tc>
        <w:tc>
          <w:tcPr>
            <w:tcW w:w="1842" w:type="dxa"/>
            <w:tcBorders>
              <w:top w:val="thickThinLargeGap" w:sz="6" w:space="0" w:color="000000"/>
              <w:left w:val="thickThinLargeGap" w:sz="6" w:space="0" w:color="000000"/>
              <w:bottom w:val="thickThinLargeGap" w:sz="6" w:space="0" w:color="000000"/>
              <w:right w:val="thickThinLargeGap" w:sz="6" w:space="0" w:color="000000"/>
            </w:tcBorders>
          </w:tcPr>
          <w:p w:rsidR="00106FEE" w:rsidRPr="00C4715F" w:rsidRDefault="00106FEE" w:rsidP="003375A4">
            <w:pPr>
              <w:rPr>
                <w:noProof/>
                <w:sz w:val="22"/>
                <w:szCs w:val="22"/>
                <w:lang w:val="uk-UA"/>
              </w:rPr>
            </w:pPr>
            <w:r w:rsidRPr="00C4715F">
              <w:rPr>
                <w:noProof/>
                <w:sz w:val="22"/>
                <w:szCs w:val="22"/>
                <w:lang w:val="uk-UA"/>
              </w:rPr>
              <w:t>Модель: POLJ-12/1x120-240 або еквівалент.</w:t>
            </w:r>
          </w:p>
        </w:tc>
        <w:tc>
          <w:tcPr>
            <w:tcW w:w="2694" w:type="dxa"/>
            <w:tcBorders>
              <w:top w:val="thickThinLargeGap" w:sz="6" w:space="0" w:color="000000"/>
              <w:left w:val="thickThinLargeGap" w:sz="6" w:space="0" w:color="000000"/>
              <w:bottom w:val="thickThinLargeGap" w:sz="6" w:space="0" w:color="000000"/>
              <w:right w:val="thickThinLargeGap" w:sz="6" w:space="0" w:color="000000"/>
            </w:tcBorders>
          </w:tcPr>
          <w:p w:rsidR="00106FEE" w:rsidRPr="00C4715F" w:rsidRDefault="00106FEE" w:rsidP="003375A4">
            <w:pPr>
              <w:rPr>
                <w:noProof/>
                <w:sz w:val="22"/>
                <w:szCs w:val="22"/>
                <w:lang w:val="uk-UA"/>
              </w:rPr>
            </w:pPr>
            <w:r w:rsidRPr="00C4715F">
              <w:rPr>
                <w:noProof/>
                <w:sz w:val="22"/>
                <w:szCs w:val="22"/>
                <w:lang w:val="uk-UA"/>
              </w:rPr>
              <w:t>Тип муфти - з'єднувальна;</w:t>
            </w:r>
          </w:p>
          <w:p w:rsidR="00106FEE" w:rsidRPr="00C4715F" w:rsidRDefault="00106FEE" w:rsidP="003375A4">
            <w:pPr>
              <w:rPr>
                <w:noProof/>
                <w:sz w:val="22"/>
                <w:szCs w:val="22"/>
                <w:lang w:val="uk-UA"/>
              </w:rPr>
            </w:pPr>
            <w:r w:rsidRPr="00C4715F">
              <w:rPr>
                <w:noProof/>
                <w:sz w:val="22"/>
                <w:szCs w:val="22"/>
                <w:lang w:val="uk-UA"/>
              </w:rPr>
              <w:t>Діапазон перерізів жили кабелю: 120-240мм2;</w:t>
            </w:r>
          </w:p>
          <w:p w:rsidR="00106FEE" w:rsidRPr="00C4715F" w:rsidRDefault="00106FEE" w:rsidP="003375A4">
            <w:pPr>
              <w:rPr>
                <w:noProof/>
                <w:sz w:val="22"/>
                <w:szCs w:val="22"/>
                <w:lang w:val="uk-UA"/>
              </w:rPr>
            </w:pPr>
            <w:r w:rsidRPr="00C4715F">
              <w:rPr>
                <w:noProof/>
                <w:sz w:val="22"/>
                <w:szCs w:val="22"/>
                <w:lang w:val="uk-UA"/>
              </w:rPr>
              <w:t xml:space="preserve">Напруга - 10кВ. </w:t>
            </w:r>
          </w:p>
        </w:tc>
        <w:tc>
          <w:tcPr>
            <w:tcW w:w="1842" w:type="dxa"/>
            <w:tcBorders>
              <w:top w:val="thickThinLargeGap" w:sz="6" w:space="0" w:color="000000"/>
              <w:left w:val="thickThinLargeGap" w:sz="6" w:space="0" w:color="000000"/>
              <w:bottom w:val="thickThinLargeGap" w:sz="6" w:space="0" w:color="000000"/>
              <w:right w:val="thickThinLargeGap" w:sz="6" w:space="0" w:color="000000"/>
            </w:tcBorders>
          </w:tcPr>
          <w:p w:rsidR="00106FEE" w:rsidRPr="00C4715F" w:rsidRDefault="00106FEE" w:rsidP="003375A4">
            <w:pPr>
              <w:rPr>
                <w:noProof/>
                <w:sz w:val="22"/>
                <w:szCs w:val="22"/>
                <w:lang w:val="uk-UA"/>
              </w:rPr>
            </w:pPr>
            <w:r w:rsidRPr="00C4715F">
              <w:rPr>
                <w:noProof/>
                <w:sz w:val="22"/>
                <w:szCs w:val="22"/>
                <w:lang w:val="uk-UA"/>
              </w:rPr>
              <w:t>Для екранованих 1-х жильних кабелів з ізоляцією з зшитого поліетилену</w:t>
            </w:r>
          </w:p>
        </w:tc>
      </w:tr>
    </w:tbl>
    <w:p w:rsidR="00106FEE" w:rsidRPr="00C4715F" w:rsidRDefault="00106FEE" w:rsidP="00106FEE">
      <w:pPr>
        <w:rPr>
          <w:b/>
          <w:bCs/>
          <w:noProof/>
          <w:sz w:val="22"/>
          <w:szCs w:val="22"/>
          <w:lang w:val="uk-UA"/>
        </w:rPr>
      </w:pPr>
      <w:r w:rsidRPr="00C4715F">
        <w:rPr>
          <w:b/>
          <w:bCs/>
          <w:noProof/>
          <w:sz w:val="22"/>
          <w:szCs w:val="22"/>
          <w:lang w:val="uk-UA"/>
        </w:rPr>
        <w:t xml:space="preserve">Примітки </w:t>
      </w:r>
      <w:r w:rsidRPr="00C4715F">
        <w:rPr>
          <w:bCs/>
          <w:i/>
          <w:noProof/>
          <w:sz w:val="22"/>
          <w:szCs w:val="22"/>
          <w:lang w:val="uk-UA"/>
        </w:rPr>
        <w:t>(до технічної специфікації)</w:t>
      </w:r>
      <w:r w:rsidRPr="00C4715F">
        <w:rPr>
          <w:b/>
          <w:bCs/>
          <w:noProof/>
          <w:sz w:val="22"/>
          <w:szCs w:val="22"/>
          <w:lang w:val="uk-UA"/>
        </w:rPr>
        <w:t>:</w:t>
      </w:r>
    </w:p>
    <w:p w:rsidR="00106FEE" w:rsidRPr="00C4715F" w:rsidRDefault="00106FEE" w:rsidP="00106FEE">
      <w:pPr>
        <w:pStyle w:val="Default"/>
        <w:jc w:val="both"/>
        <w:rPr>
          <w:noProof/>
          <w:color w:val="auto"/>
          <w:sz w:val="22"/>
          <w:szCs w:val="22"/>
          <w:lang w:eastAsia="uk-UA"/>
        </w:rPr>
      </w:pPr>
      <w:r w:rsidRPr="00C4715F">
        <w:rPr>
          <w:noProof/>
          <w:color w:val="auto"/>
          <w:sz w:val="22"/>
          <w:szCs w:val="22"/>
          <w:vertAlign w:val="superscript"/>
        </w:rPr>
        <w:t>1)</w:t>
      </w:r>
      <w:r w:rsidRPr="00C4715F">
        <w:rPr>
          <w:noProof/>
          <w:color w:val="auto"/>
          <w:sz w:val="22"/>
          <w:szCs w:val="22"/>
        </w:rPr>
        <w:t xml:space="preserve"> </w:t>
      </w:r>
      <w:r w:rsidRPr="00C4715F">
        <w:rPr>
          <w:noProof/>
          <w:sz w:val="22"/>
          <w:szCs w:val="22"/>
        </w:rPr>
        <w:t>В тих місцях, де специфікація містить конкретний показник, Учасник в Тендерній пропозиції (технічній частині) повинен вказати конкретний показник (відхилення від конкретних показників не допускається у зв’язку особливостями використання Товару).</w:t>
      </w:r>
    </w:p>
    <w:p w:rsidR="00106FEE" w:rsidRPr="00C4715F" w:rsidRDefault="00106FEE" w:rsidP="00106FEE">
      <w:pPr>
        <w:jc w:val="both"/>
        <w:rPr>
          <w:noProof/>
          <w:sz w:val="22"/>
          <w:szCs w:val="22"/>
          <w:lang w:val="uk-UA" w:eastAsia="en-US"/>
        </w:rPr>
      </w:pPr>
      <w:r w:rsidRPr="00C4715F">
        <w:rPr>
          <w:noProof/>
          <w:color w:val="000000"/>
          <w:sz w:val="22"/>
          <w:szCs w:val="22"/>
          <w:vertAlign w:val="superscript"/>
          <w:lang w:val="uk-UA"/>
        </w:rPr>
        <w:t>2)</w:t>
      </w:r>
      <w:r w:rsidRPr="00C4715F">
        <w:rPr>
          <w:noProof/>
          <w:color w:val="000000"/>
          <w:sz w:val="22"/>
          <w:szCs w:val="22"/>
          <w:lang w:val="uk-UA"/>
        </w:rPr>
        <w:t xml:space="preserve"> </w:t>
      </w:r>
      <w:r w:rsidRPr="00C4715F">
        <w:rPr>
          <w:b/>
          <w:noProof/>
          <w:color w:val="000000"/>
          <w:sz w:val="22"/>
          <w:szCs w:val="22"/>
          <w:lang w:val="uk-UA"/>
        </w:rPr>
        <w:t xml:space="preserve">Обґрунтування необхідності закупівлі товару, із встановленням посилань на модель конкретного виробника: </w:t>
      </w:r>
      <w:r w:rsidRPr="00C4715F">
        <w:rPr>
          <w:noProof/>
          <w:color w:val="000000"/>
          <w:sz w:val="22"/>
          <w:szCs w:val="22"/>
          <w:lang w:val="uk-UA"/>
        </w:rPr>
        <w:t>Замовник здійснює закупівлю товару, із встановленням посилань на модель конкретного виробника, оскільки таке посилання є необхідними для здійснення закупівлі товару, який за своїми технічними характеристиками найбільше відповідатиме вимогам та потребам замовника</w:t>
      </w:r>
      <w:r w:rsidRPr="00C4715F">
        <w:rPr>
          <w:noProof/>
          <w:sz w:val="22"/>
          <w:szCs w:val="22"/>
          <w:lang w:val="uk-UA"/>
        </w:rPr>
        <w:t>.</w:t>
      </w:r>
    </w:p>
    <w:p w:rsidR="00A256E7" w:rsidRPr="00C4715F" w:rsidRDefault="00A256E7" w:rsidP="00D04854">
      <w:pPr>
        <w:widowControl w:val="0"/>
        <w:autoSpaceDE w:val="0"/>
        <w:autoSpaceDN w:val="0"/>
        <w:adjustRightInd w:val="0"/>
        <w:ind w:firstLine="709"/>
        <w:contextualSpacing/>
        <w:jc w:val="both"/>
        <w:rPr>
          <w:noProof/>
          <w:color w:val="000000"/>
          <w:sz w:val="22"/>
          <w:szCs w:val="22"/>
          <w:lang w:val="uk-UA"/>
        </w:rPr>
      </w:pPr>
    </w:p>
    <w:p w:rsidR="009165D1" w:rsidRPr="00C4715F" w:rsidRDefault="009165D1" w:rsidP="009165D1">
      <w:pPr>
        <w:jc w:val="both"/>
        <w:rPr>
          <w:b/>
          <w:bCs/>
          <w:noProof/>
          <w:sz w:val="22"/>
          <w:szCs w:val="22"/>
          <w:lang w:val="uk-UA" w:eastAsia="uk-UA"/>
        </w:rPr>
      </w:pPr>
      <w:r w:rsidRPr="00C4715F">
        <w:rPr>
          <w:b/>
          <w:bCs/>
          <w:noProof/>
          <w:sz w:val="22"/>
          <w:szCs w:val="22"/>
          <w:lang w:val="uk-UA"/>
        </w:rPr>
        <w:t>Додаткова інформація.</w:t>
      </w:r>
    </w:p>
    <w:p w:rsidR="009165D1" w:rsidRPr="00C4715F" w:rsidRDefault="009165D1" w:rsidP="009165D1">
      <w:pPr>
        <w:jc w:val="both"/>
        <w:rPr>
          <w:noProof/>
          <w:sz w:val="22"/>
          <w:szCs w:val="22"/>
          <w:lang w:val="uk-UA"/>
        </w:rPr>
      </w:pPr>
      <w:r w:rsidRPr="00C4715F">
        <w:rPr>
          <w:b/>
          <w:bCs/>
          <w:noProof/>
          <w:sz w:val="22"/>
          <w:szCs w:val="22"/>
          <w:lang w:val="uk-UA"/>
        </w:rPr>
        <w:t>1.</w:t>
      </w:r>
      <w:r w:rsidRPr="00C4715F">
        <w:rPr>
          <w:noProof/>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C4715F">
        <w:rPr>
          <w:b/>
          <w:bCs/>
          <w:noProof/>
          <w:sz w:val="22"/>
          <w:szCs w:val="22"/>
          <w:lang w:val="uk-UA"/>
        </w:rPr>
        <w:t>біля кожного такого посилання вважати вираз «або еквівалент»</w:t>
      </w:r>
      <w:r w:rsidRPr="00C4715F">
        <w:rPr>
          <w:noProof/>
          <w:sz w:val="22"/>
          <w:szCs w:val="22"/>
          <w:lang w:val="uk-UA"/>
        </w:rPr>
        <w:t xml:space="preserve">. Таким чином вважається, що до кожного посилання додається вираз </w:t>
      </w:r>
      <w:r w:rsidRPr="00C4715F">
        <w:rPr>
          <w:b/>
          <w:bCs/>
          <w:noProof/>
          <w:sz w:val="22"/>
          <w:szCs w:val="22"/>
          <w:lang w:val="uk-UA"/>
        </w:rPr>
        <w:t>«або еквівалент»</w:t>
      </w:r>
      <w:r w:rsidRPr="00C4715F">
        <w:rPr>
          <w:noProof/>
          <w:sz w:val="22"/>
          <w:szCs w:val="22"/>
          <w:lang w:val="uk-UA"/>
        </w:rPr>
        <w:t xml:space="preserve">. </w:t>
      </w:r>
    </w:p>
    <w:p w:rsidR="009165D1" w:rsidRPr="00C4715F" w:rsidRDefault="009165D1" w:rsidP="009165D1">
      <w:pPr>
        <w:jc w:val="both"/>
        <w:rPr>
          <w:noProof/>
          <w:sz w:val="22"/>
          <w:szCs w:val="22"/>
          <w:lang w:val="uk-UA"/>
        </w:rPr>
      </w:pPr>
      <w:r w:rsidRPr="00C4715F">
        <w:rPr>
          <w:noProof/>
          <w:sz w:val="22"/>
          <w:szCs w:val="22"/>
          <w:lang w:val="uk-UA"/>
        </w:rPr>
        <w:t xml:space="preserve">У місцях, де технічна специфікація містить посилання </w:t>
      </w:r>
      <w:r w:rsidRPr="00C4715F">
        <w:rPr>
          <w:noProof/>
          <w:sz w:val="22"/>
          <w:szCs w:val="22"/>
          <w:vertAlign w:val="superscript"/>
          <w:lang w:val="uk-UA"/>
        </w:rPr>
        <w:t>1)</w:t>
      </w:r>
      <w:r w:rsidRPr="00C4715F">
        <w:rPr>
          <w:noProof/>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C4715F">
        <w:rPr>
          <w:b/>
          <w:bCs/>
          <w:noProof/>
          <w:sz w:val="22"/>
          <w:szCs w:val="22"/>
          <w:lang w:val="uk-UA"/>
        </w:rPr>
        <w:t>вважати наявним вираз «або еквівалент»</w:t>
      </w:r>
      <w:r w:rsidRPr="00C4715F">
        <w:rPr>
          <w:noProof/>
          <w:sz w:val="22"/>
          <w:szCs w:val="22"/>
          <w:lang w:val="uk-UA"/>
        </w:rPr>
        <w:t xml:space="preserve">. Таким чином вважається, що до кожного посилання додається вираз «або еквівалент» </w:t>
      </w:r>
      <w:r w:rsidRPr="00C4715F">
        <w:rPr>
          <w:b/>
          <w:bCs/>
          <w:i/>
          <w:iCs/>
          <w:noProof/>
          <w:sz w:val="22"/>
          <w:szCs w:val="22"/>
          <w:lang w:val="uk-UA"/>
        </w:rPr>
        <w:t>(</w:t>
      </w:r>
      <w:r w:rsidRPr="00C4715F">
        <w:rPr>
          <w:b/>
          <w:bCs/>
          <w:i/>
          <w:iCs/>
          <w:noProof/>
          <w:sz w:val="22"/>
          <w:szCs w:val="22"/>
          <w:vertAlign w:val="superscript"/>
          <w:lang w:val="uk-UA"/>
        </w:rPr>
        <w:t>1)</w:t>
      </w:r>
      <w:r w:rsidRPr="00C4715F">
        <w:rPr>
          <w:b/>
          <w:bCs/>
          <w:i/>
          <w:iCs/>
          <w:noProof/>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C4715F">
        <w:rPr>
          <w:noProof/>
          <w:sz w:val="22"/>
          <w:szCs w:val="22"/>
          <w:lang w:val="uk-UA"/>
        </w:rPr>
        <w:t xml:space="preserve">. </w:t>
      </w:r>
    </w:p>
    <w:p w:rsidR="00A256E7" w:rsidRPr="00C4715F" w:rsidRDefault="009165D1" w:rsidP="00106FEE">
      <w:pPr>
        <w:autoSpaceDE w:val="0"/>
        <w:autoSpaceDN w:val="0"/>
        <w:ind w:firstLine="709"/>
        <w:jc w:val="both"/>
        <w:rPr>
          <w:noProof/>
          <w:color w:val="000000"/>
          <w:sz w:val="22"/>
          <w:szCs w:val="22"/>
          <w:lang w:val="uk-UA"/>
        </w:rPr>
      </w:pPr>
      <w:r w:rsidRPr="00C4715F">
        <w:rPr>
          <w:noProof/>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C4715F">
        <w:rPr>
          <w:b/>
          <w:bCs/>
          <w:noProof/>
          <w:sz w:val="22"/>
          <w:szCs w:val="22"/>
          <w:lang w:val="uk-UA"/>
        </w:rPr>
        <w:t>Додатку 1</w:t>
      </w:r>
      <w:r w:rsidRPr="00C4715F">
        <w:rPr>
          <w:noProof/>
          <w:sz w:val="22"/>
          <w:szCs w:val="22"/>
          <w:lang w:val="uk-UA"/>
        </w:rPr>
        <w:t xml:space="preserve"> технічним та якісним характеристикам предмета закупівлі).</w:t>
      </w:r>
    </w:p>
    <w:sectPr w:rsidR="00A256E7" w:rsidRPr="00C4715F" w:rsidSect="00F318CA">
      <w:headerReference w:type="even" r:id="rId9"/>
      <w:headerReference w:type="default" r:id="rId10"/>
      <w:footerReference w:type="default" r:id="rId11"/>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BF4" w:rsidRDefault="002E7BF4">
      <w:r>
        <w:separator/>
      </w:r>
    </w:p>
  </w:endnote>
  <w:endnote w:type="continuationSeparator" w:id="0">
    <w:p w:rsidR="002E7BF4" w:rsidRDefault="002E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D771BE" w:rsidP="00A256E7">
    <w:pPr>
      <w:tabs>
        <w:tab w:val="center" w:pos="4819"/>
        <w:tab w:val="right" w:pos="9639"/>
      </w:tabs>
      <w:jc w:val="right"/>
      <w:rPr>
        <w:sz w:val="20"/>
        <w:szCs w:val="20"/>
        <w:u w:val="single"/>
        <w:lang w:val="uk-UA"/>
      </w:rPr>
    </w:pPr>
    <w:r>
      <w:rPr>
        <w:noProof/>
        <w:sz w:val="20"/>
        <w:szCs w:val="20"/>
        <w:u w:val="single"/>
      </w:rPr>
      <mc:AlternateContent>
        <mc:Choice Requires="wps">
          <w:drawing>
            <wp:anchor distT="0" distB="0" distL="114300" distR="114300" simplePos="0" relativeHeight="251657216" behindDoc="0" locked="0" layoutInCell="1" allowOverlap="1" wp14:anchorId="09C7BD4E" wp14:editId="4EB5FC7B">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8729E6"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C4715F">
      <w:rPr>
        <w:sz w:val="20"/>
        <w:szCs w:val="20"/>
        <w:lang w:val="uk-UA"/>
      </w:rPr>
      <w:t>Приладдя до ізольованих кабелів</w:t>
    </w:r>
    <w:r w:rsidR="00104D66">
      <w:rPr>
        <w:sz w:val="20"/>
        <w:szCs w:val="20"/>
        <w:lang w:val="uk-UA"/>
      </w:rPr>
      <w:t xml:space="preserve">,  код ДК 021:2015 </w:t>
    </w:r>
    <w:r w:rsidR="00C4715F">
      <w:rPr>
        <w:sz w:val="20"/>
        <w:szCs w:val="20"/>
        <w:lang w:val="uk-UA"/>
      </w:rPr>
      <w:t>–</w:t>
    </w:r>
    <w:r w:rsidR="00104D66">
      <w:rPr>
        <w:sz w:val="20"/>
        <w:szCs w:val="20"/>
        <w:lang w:val="uk-UA"/>
      </w:rPr>
      <w:t xml:space="preserve"> </w:t>
    </w:r>
    <w:r w:rsidR="00C4715F">
      <w:rPr>
        <w:sz w:val="20"/>
        <w:szCs w:val="20"/>
        <w:lang w:val="uk-UA"/>
      </w:rPr>
      <w:t>31340000-1</w:t>
    </w:r>
    <w:r w:rsidR="00104D66">
      <w:rPr>
        <w:sz w:val="20"/>
        <w:szCs w:val="20"/>
        <w:lang w:val="uk-UA"/>
      </w:rPr>
      <w:t xml:space="preserve"> - </w:t>
    </w:r>
    <w:r w:rsidR="00C4715F" w:rsidRPr="00C4715F">
      <w:rPr>
        <w:sz w:val="20"/>
        <w:szCs w:val="20"/>
        <w:lang w:val="uk-UA"/>
      </w:rPr>
      <w:t>Приладдя до ізольованих кабелів</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046A6A">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046A6A">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BF4" w:rsidRDefault="002E7BF4">
      <w:r>
        <w:separator/>
      </w:r>
    </w:p>
  </w:footnote>
  <w:footnote w:type="continuationSeparator" w:id="0">
    <w:p w:rsidR="002E7BF4" w:rsidRDefault="002E7B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17C46" w:rsidRDefault="00317C4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D771BE" w:rsidP="00A3681A">
    <w:pPr>
      <w:pStyle w:val="a8"/>
      <w:jc w:val="both"/>
      <w:rPr>
        <w:sz w:val="20"/>
        <w:szCs w:val="20"/>
        <w:lang w:val="uk-UA"/>
      </w:rPr>
    </w:pPr>
    <w:r>
      <w:rPr>
        <w:noProof/>
      </w:rPr>
      <mc:AlternateContent>
        <mc:Choice Requires="wps">
          <w:drawing>
            <wp:anchor distT="0" distB="0" distL="114300" distR="114300" simplePos="0" relativeHeight="251658240" behindDoc="0" locked="0" layoutInCell="1" allowOverlap="1" wp14:anchorId="05C8F112" wp14:editId="08D5065A">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65921C"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rPr>
      <w:drawing>
        <wp:inline distT="0" distB="0" distL="0" distR="0" wp14:anchorId="6F6150C2" wp14:editId="036406CF">
          <wp:extent cx="1445895" cy="288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895" cy="28892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2C12B3" w:rsidRPr="003C4B6B">
      <w:rPr>
        <w:sz w:val="20"/>
        <w:szCs w:val="20"/>
        <w:lang w:val="uk-UA"/>
      </w:rPr>
      <w:t>обґрунтування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616759C"/>
    <w:multiLevelType w:val="hybridMultilevel"/>
    <w:tmpl w:val="4944138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4"/>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3119"/>
    <w:rsid w:val="00025BF5"/>
    <w:rsid w:val="00032BAA"/>
    <w:rsid w:val="00033DF2"/>
    <w:rsid w:val="0003580A"/>
    <w:rsid w:val="00035B62"/>
    <w:rsid w:val="000360FB"/>
    <w:rsid w:val="00036268"/>
    <w:rsid w:val="00040C93"/>
    <w:rsid w:val="000422AD"/>
    <w:rsid w:val="00042A09"/>
    <w:rsid w:val="00046A6A"/>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4D66"/>
    <w:rsid w:val="00105A67"/>
    <w:rsid w:val="00106149"/>
    <w:rsid w:val="0010680B"/>
    <w:rsid w:val="00106FEE"/>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2B3"/>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BF4"/>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1788"/>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0305"/>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2CC6"/>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4715F"/>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8E3"/>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771BE"/>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6C0"/>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0AD8A7-E220-4B01-9860-08FD184F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customStyle="1" w:styleId="11">
    <w:name w:val="Название1"/>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4">
    <w:name w:val="footer"/>
    <w:basedOn w:val="a"/>
    <w:link w:val="a5"/>
    <w:pPr>
      <w:tabs>
        <w:tab w:val="center" w:pos="4153"/>
        <w:tab w:val="right" w:pos="8306"/>
      </w:tabs>
    </w:pPr>
    <w:rPr>
      <w:szCs w:val="20"/>
      <w:lang w:val="en-GB"/>
    </w:rPr>
  </w:style>
  <w:style w:type="paragraph" w:styleId="a6">
    <w:name w:val="Body Text Indent"/>
    <w:basedOn w:val="a"/>
    <w:pPr>
      <w:ind w:left="360"/>
      <w:jc w:val="both"/>
    </w:pPr>
    <w:rPr>
      <w:b/>
      <w:bCs/>
      <w:i/>
      <w:iCs/>
      <w:lang w:val="uk-UA"/>
    </w:rPr>
  </w:style>
  <w:style w:type="paragraph" w:styleId="a7">
    <w:name w:val="Balloon Text"/>
    <w:basedOn w:val="a"/>
    <w:semiHidden/>
    <w:rPr>
      <w:rFonts w:ascii="Tahoma" w:hAnsi="Tahoma" w:cs="Tahoma"/>
      <w:sz w:val="16"/>
      <w:szCs w:val="16"/>
    </w:rPr>
  </w:style>
  <w:style w:type="paragraph" w:styleId="a8">
    <w:name w:val="header"/>
    <w:basedOn w:val="a"/>
    <w:link w:val="a9"/>
    <w:pPr>
      <w:tabs>
        <w:tab w:val="center" w:pos="4677"/>
        <w:tab w:val="right" w:pos="9355"/>
      </w:tabs>
    </w:pPr>
  </w:style>
  <w:style w:type="character" w:styleId="aa">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b">
    <w:name w:val="Знак Знак Знак Знак"/>
    <w:basedOn w:val="a"/>
    <w:rsid w:val="00BC2FDE"/>
    <w:rPr>
      <w:rFonts w:ascii="Verdana" w:hAnsi="Verdana"/>
      <w:sz w:val="20"/>
      <w:szCs w:val="20"/>
      <w:lang w:val="en-US" w:eastAsia="en-US"/>
    </w:rPr>
  </w:style>
  <w:style w:type="paragraph" w:customStyle="1" w:styleId="ac">
    <w:name w:val="Знак"/>
    <w:basedOn w:val="a"/>
    <w:rsid w:val="00462D5F"/>
    <w:rPr>
      <w:rFonts w:ascii="Verdana" w:hAnsi="Verdana" w:cs="Verdana"/>
      <w:sz w:val="20"/>
      <w:szCs w:val="20"/>
      <w:lang w:val="en-US" w:eastAsia="en-US"/>
    </w:rPr>
  </w:style>
  <w:style w:type="character" w:styleId="ad">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e">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w:basedOn w:val="a"/>
    <w:rsid w:val="000D3C06"/>
    <w:rPr>
      <w:rFonts w:ascii="Verdana" w:hAnsi="Verdana"/>
      <w:sz w:val="20"/>
      <w:szCs w:val="20"/>
      <w:lang w:val="en-US" w:eastAsia="en-US"/>
    </w:rPr>
  </w:style>
  <w:style w:type="paragraph" w:customStyle="1" w:styleId="110">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0">
    <w:name w:val="a"/>
    <w:basedOn w:val="a"/>
    <w:rsid w:val="00FA38BF"/>
    <w:pPr>
      <w:spacing w:before="100" w:beforeAutospacing="1" w:after="100" w:afterAutospacing="1"/>
    </w:pPr>
  </w:style>
  <w:style w:type="paragraph" w:customStyle="1" w:styleId="af1">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5">
    <w:name w:val="Нижний колонтитул Знак"/>
    <w:link w:val="a4"/>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2">
    <w:name w:val="Знак Знак Знак Знак Знак Знак"/>
    <w:basedOn w:val="a"/>
    <w:rsid w:val="003F120E"/>
    <w:rPr>
      <w:rFonts w:ascii="Verdana" w:hAnsi="Verdana" w:cs="Verdana"/>
      <w:sz w:val="20"/>
      <w:szCs w:val="20"/>
      <w:lang w:val="en-US" w:eastAsia="en-US"/>
    </w:rPr>
  </w:style>
  <w:style w:type="paragraph" w:styleId="af3">
    <w:name w:val="Normal (Web)"/>
    <w:basedOn w:val="a"/>
    <w:rsid w:val="00285D88"/>
    <w:pPr>
      <w:spacing w:before="100" w:beforeAutospacing="1" w:after="100" w:afterAutospacing="1"/>
    </w:pPr>
    <w:rPr>
      <w:lang w:val="uk-UA" w:eastAsia="uk-UA"/>
    </w:rPr>
  </w:style>
  <w:style w:type="paragraph" w:styleId="af4">
    <w:name w:val="List Paragraph"/>
    <w:basedOn w:val="a"/>
    <w:link w:val="af5"/>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6">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9">
    <w:name w:val="Верхний колонтитул Знак"/>
    <w:link w:val="a8"/>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5">
    <w:name w:val="Абзац списка Знак"/>
    <w:link w:val="af4"/>
    <w:uiPriority w:val="34"/>
    <w:locked/>
    <w:rsid w:val="006F0757"/>
    <w:rPr>
      <w:rFonts w:ascii="Calibri" w:eastAsia="Calibri" w:hAnsi="Calibri"/>
      <w:sz w:val="22"/>
      <w:szCs w:val="22"/>
      <w:lang w:val="ru-RU" w:eastAsia="en-US"/>
    </w:rPr>
  </w:style>
  <w:style w:type="paragraph" w:customStyle="1" w:styleId="Default">
    <w:name w:val="Default"/>
    <w:rsid w:val="00106FEE"/>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9DA06-F66C-4836-8FD1-B94BF02F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5088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Airport Boryspil</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Рибак Тетяна Вікторівна</dc:creator>
  <cp:lastModifiedBy>Рибак Тетяна Вікторівна</cp:lastModifiedBy>
  <cp:revision>4</cp:revision>
  <cp:lastPrinted>2024-08-09T14:21:00Z</cp:lastPrinted>
  <dcterms:created xsi:type="dcterms:W3CDTF">2024-08-09T14:21:00Z</dcterms:created>
  <dcterms:modified xsi:type="dcterms:W3CDTF">2024-08-13T09:35:00Z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