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153012" w:rsidP="006926A0">
            <w:pPr>
              <w:pStyle w:val="a3"/>
              <w:widowControl w:val="0"/>
              <w:rPr>
                <w:szCs w:val="17"/>
                <w:lang w:val="uk-UA"/>
              </w:rPr>
            </w:pPr>
            <w:r>
              <w:rPr>
                <w:noProof/>
                <w:lang w:val="uk-UA" w:eastAsia="uk-UA"/>
              </w:rPr>
              <w:drawing>
                <wp:inline distT="0" distB="0" distL="0" distR="0">
                  <wp:extent cx="1447800" cy="2857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7101A5" w:rsidTr="00C62708">
        <w:tc>
          <w:tcPr>
            <w:tcW w:w="487" w:type="pct"/>
            <w:shd w:val="clear" w:color="auto" w:fill="DEEAF6"/>
          </w:tcPr>
          <w:p w:rsidR="00A76484" w:rsidRPr="007101A5" w:rsidRDefault="00A76484" w:rsidP="002D4D30">
            <w:pPr>
              <w:widowControl w:val="0"/>
              <w:contextualSpacing/>
              <w:jc w:val="center"/>
              <w:rPr>
                <w:b/>
                <w:noProof/>
                <w:sz w:val="22"/>
                <w:szCs w:val="22"/>
                <w:lang w:val="uk-UA"/>
              </w:rPr>
            </w:pPr>
            <w:r w:rsidRPr="007101A5">
              <w:rPr>
                <w:b/>
                <w:noProof/>
                <w:sz w:val="22"/>
                <w:szCs w:val="22"/>
                <w:lang w:val="uk-UA"/>
              </w:rPr>
              <w:t>Пункт Кошторису</w:t>
            </w:r>
          </w:p>
        </w:tc>
        <w:tc>
          <w:tcPr>
            <w:tcW w:w="1527" w:type="pct"/>
            <w:shd w:val="clear" w:color="auto" w:fill="DEEAF6"/>
          </w:tcPr>
          <w:p w:rsidR="00A76484" w:rsidRPr="007101A5" w:rsidRDefault="00A76484" w:rsidP="002D4D30">
            <w:pPr>
              <w:widowControl w:val="0"/>
              <w:contextualSpacing/>
              <w:jc w:val="center"/>
              <w:rPr>
                <w:b/>
                <w:noProof/>
                <w:sz w:val="22"/>
                <w:szCs w:val="22"/>
                <w:lang w:val="uk-UA"/>
              </w:rPr>
            </w:pPr>
            <w:r w:rsidRPr="007101A5">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7101A5" w:rsidRDefault="00A76484" w:rsidP="00DB2D70">
            <w:pPr>
              <w:widowControl w:val="0"/>
              <w:contextualSpacing/>
              <w:jc w:val="center"/>
              <w:rPr>
                <w:b/>
                <w:noProof/>
                <w:sz w:val="22"/>
                <w:szCs w:val="22"/>
                <w:lang w:val="uk-UA"/>
              </w:rPr>
            </w:pPr>
            <w:r w:rsidRPr="007101A5">
              <w:rPr>
                <w:b/>
                <w:noProof/>
                <w:sz w:val="22"/>
                <w:szCs w:val="22"/>
                <w:lang w:val="uk-UA"/>
              </w:rPr>
              <w:t>Очікувана варт</w:t>
            </w:r>
            <w:r w:rsidR="00DB2D70" w:rsidRPr="007101A5">
              <w:rPr>
                <w:b/>
                <w:noProof/>
                <w:sz w:val="22"/>
                <w:szCs w:val="22"/>
                <w:lang w:val="uk-UA"/>
              </w:rPr>
              <w:t>ість предмета закупівлі згідно р</w:t>
            </w:r>
            <w:r w:rsidRPr="007101A5">
              <w:rPr>
                <w:b/>
                <w:noProof/>
                <w:sz w:val="22"/>
                <w:szCs w:val="22"/>
                <w:lang w:val="uk-UA"/>
              </w:rPr>
              <w:t>ічного плану закупівель</w:t>
            </w:r>
          </w:p>
        </w:tc>
        <w:tc>
          <w:tcPr>
            <w:tcW w:w="1102" w:type="pct"/>
            <w:shd w:val="clear" w:color="auto" w:fill="DEEAF6"/>
          </w:tcPr>
          <w:p w:rsidR="00A76484" w:rsidRPr="007101A5" w:rsidRDefault="00A76484" w:rsidP="002D4D30">
            <w:pPr>
              <w:widowControl w:val="0"/>
              <w:contextualSpacing/>
              <w:jc w:val="center"/>
              <w:rPr>
                <w:b/>
                <w:noProof/>
                <w:sz w:val="22"/>
                <w:szCs w:val="22"/>
                <w:lang w:val="uk-UA"/>
              </w:rPr>
            </w:pPr>
            <w:r w:rsidRPr="007101A5">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7101A5" w:rsidRDefault="00A355EA" w:rsidP="002D4D30">
            <w:pPr>
              <w:widowControl w:val="0"/>
              <w:contextualSpacing/>
              <w:jc w:val="center"/>
              <w:rPr>
                <w:b/>
                <w:noProof/>
                <w:sz w:val="22"/>
                <w:szCs w:val="22"/>
                <w:lang w:val="uk-UA"/>
              </w:rPr>
            </w:pPr>
            <w:r w:rsidRPr="007101A5">
              <w:rPr>
                <w:b/>
                <w:noProof/>
                <w:sz w:val="22"/>
                <w:szCs w:val="22"/>
                <w:lang w:val="uk-UA"/>
              </w:rPr>
              <w:t>Ідентифікатор процедури закупівлі</w:t>
            </w:r>
          </w:p>
        </w:tc>
      </w:tr>
      <w:tr w:rsidR="007649B8" w:rsidRPr="007101A5" w:rsidTr="00212515">
        <w:tc>
          <w:tcPr>
            <w:tcW w:w="487" w:type="pct"/>
          </w:tcPr>
          <w:p w:rsidR="007649B8" w:rsidRPr="001000A3" w:rsidRDefault="007649B8" w:rsidP="007649B8">
            <w:pPr>
              <w:jc w:val="center"/>
              <w:rPr>
                <w:noProof/>
                <w:lang w:val="uk-UA"/>
              </w:rPr>
            </w:pPr>
            <w:r w:rsidRPr="001000A3">
              <w:rPr>
                <w:noProof/>
                <w:lang w:val="uk-UA"/>
              </w:rPr>
              <w:t>п. 20.05 (2024)</w:t>
            </w:r>
          </w:p>
        </w:tc>
        <w:tc>
          <w:tcPr>
            <w:tcW w:w="1527" w:type="pct"/>
          </w:tcPr>
          <w:p w:rsidR="007649B8" w:rsidRPr="001000A3" w:rsidRDefault="007649B8" w:rsidP="009C6048">
            <w:pPr>
              <w:jc w:val="center"/>
              <w:rPr>
                <w:noProof/>
                <w:lang w:val="uk-UA"/>
              </w:rPr>
            </w:pPr>
            <w:r w:rsidRPr="001000A3">
              <w:rPr>
                <w:noProof/>
                <w:lang w:val="uk-UA"/>
              </w:rPr>
              <w:t>Страхування відповідальності на випадок надзвичайних ситуаці</w:t>
            </w:r>
            <w:r w:rsidR="009C6048">
              <w:rPr>
                <w:noProof/>
                <w:lang w:val="uk-UA"/>
              </w:rPr>
              <w:t>й</w:t>
            </w:r>
            <w:r w:rsidRPr="001000A3">
              <w:rPr>
                <w:noProof/>
                <w:lang w:val="uk-UA"/>
              </w:rPr>
              <w:t xml:space="preserve"> на об’єктах підвищеної небезпеки, код ДК 021:2015 - 66510000-8 - Страхові послуги</w:t>
            </w:r>
          </w:p>
        </w:tc>
        <w:tc>
          <w:tcPr>
            <w:tcW w:w="947" w:type="pct"/>
          </w:tcPr>
          <w:p w:rsidR="007649B8" w:rsidRPr="001000A3" w:rsidRDefault="007649B8" w:rsidP="007649B8">
            <w:pPr>
              <w:jc w:val="center"/>
              <w:rPr>
                <w:noProof/>
                <w:lang w:val="uk-UA"/>
              </w:rPr>
            </w:pPr>
            <w:r w:rsidRPr="001000A3">
              <w:rPr>
                <w:noProof/>
                <w:lang w:val="uk-UA"/>
              </w:rPr>
              <w:t>94 535,00</w:t>
            </w:r>
          </w:p>
          <w:p w:rsidR="007649B8" w:rsidRPr="001000A3" w:rsidRDefault="007649B8" w:rsidP="007649B8">
            <w:pPr>
              <w:jc w:val="center"/>
              <w:rPr>
                <w:noProof/>
                <w:lang w:val="uk-UA"/>
              </w:rPr>
            </w:pPr>
            <w:r w:rsidRPr="001000A3">
              <w:rPr>
                <w:noProof/>
                <w:lang w:val="uk-UA"/>
              </w:rPr>
              <w:t>грн без ПДВ</w:t>
            </w:r>
          </w:p>
        </w:tc>
        <w:tc>
          <w:tcPr>
            <w:tcW w:w="1102" w:type="pct"/>
          </w:tcPr>
          <w:p w:rsidR="007649B8" w:rsidRPr="001000A3" w:rsidRDefault="007649B8" w:rsidP="007649B8">
            <w:pPr>
              <w:jc w:val="center"/>
              <w:rPr>
                <w:noProof/>
                <w:lang w:val="uk-UA"/>
              </w:rPr>
            </w:pPr>
            <w:r w:rsidRPr="001000A3">
              <w:rPr>
                <w:noProof/>
                <w:lang w:val="uk-UA"/>
              </w:rPr>
              <w:t>94 535,00</w:t>
            </w:r>
          </w:p>
          <w:p w:rsidR="007649B8" w:rsidRPr="001000A3" w:rsidRDefault="007649B8" w:rsidP="007649B8">
            <w:pPr>
              <w:jc w:val="center"/>
              <w:rPr>
                <w:noProof/>
                <w:lang w:val="uk-UA"/>
              </w:rPr>
            </w:pPr>
            <w:r w:rsidRPr="001000A3">
              <w:rPr>
                <w:noProof/>
                <w:lang w:val="uk-UA"/>
              </w:rPr>
              <w:t>грн без ПДВ</w:t>
            </w:r>
          </w:p>
        </w:tc>
        <w:tc>
          <w:tcPr>
            <w:tcW w:w="936" w:type="pct"/>
          </w:tcPr>
          <w:p w:rsidR="007649B8" w:rsidRPr="007101A5" w:rsidRDefault="00AA6D24" w:rsidP="007649B8">
            <w:pPr>
              <w:widowControl w:val="0"/>
              <w:jc w:val="center"/>
              <w:rPr>
                <w:noProof/>
                <w:color w:val="0000FF"/>
                <w:sz w:val="22"/>
                <w:szCs w:val="22"/>
                <w:lang w:val="uk-UA"/>
              </w:rPr>
            </w:pPr>
            <w:bookmarkStart w:id="0" w:name="_GoBack"/>
            <w:r w:rsidRPr="00AA6D24">
              <w:rPr>
                <w:noProof/>
                <w:lang w:val="uk-UA"/>
              </w:rPr>
              <w:t>UA-2024-08-08-009352-a</w:t>
            </w:r>
            <w:bookmarkEnd w:id="0"/>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2643C1" w:rsidRPr="00F2354C"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643C1" w:rsidRPr="00F2354C" w:rsidRDefault="002643C1" w:rsidP="002643C1">
            <w:pPr>
              <w:rPr>
                <w:lang w:val="uk-UA"/>
              </w:rPr>
            </w:pPr>
            <w:r w:rsidRPr="00F2354C">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643C1" w:rsidRPr="00CD76FD" w:rsidRDefault="002643C1" w:rsidP="002643C1">
            <w:pPr>
              <w:rPr>
                <w:lang w:val="uk-UA"/>
              </w:rPr>
            </w:pPr>
            <w:r w:rsidRPr="00CD76FD">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643C1" w:rsidRPr="00AA6D24" w:rsidRDefault="002643C1" w:rsidP="002643C1">
            <w:pPr>
              <w:widowControl w:val="0"/>
              <w:ind w:right="162" w:firstLine="368"/>
              <w:jc w:val="both"/>
              <w:rPr>
                <w:noProof/>
                <w:lang w:val="uk-UA"/>
              </w:rPr>
            </w:pPr>
            <w:r w:rsidRPr="00AA6D24">
              <w:rPr>
                <w:b/>
                <w:i/>
                <w:noProof/>
                <w:lang w:val="uk-UA"/>
              </w:rPr>
              <w:t>Обґрунтування очікуваної вартості предмета закупівлі:</w:t>
            </w:r>
            <w:r w:rsidRPr="00AA6D24">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2643C1" w:rsidRPr="00CD76FD" w:rsidRDefault="002643C1" w:rsidP="002643C1">
            <w:pPr>
              <w:widowControl w:val="0"/>
              <w:ind w:firstLine="368"/>
              <w:jc w:val="both"/>
              <w:rPr>
                <w:noProof/>
                <w:lang w:val="uk-UA"/>
              </w:rPr>
            </w:pPr>
            <w:r w:rsidRPr="00AA6D24">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AA6D24">
              <w:rPr>
                <w:lang w:val="uk-UA"/>
              </w:rPr>
              <w:t xml:space="preserve"> </w:t>
            </w:r>
            <w:r w:rsidRPr="00AA6D24">
              <w:rPr>
                <w:noProof/>
                <w:lang w:val="uk-UA"/>
              </w:rPr>
              <w:t>методом порівняння ринкових цін на підставі отриманих цінових  пропозицій</w:t>
            </w:r>
            <w:r w:rsidRPr="00CD76FD">
              <w:rPr>
                <w:noProof/>
                <w:lang w:val="uk-UA"/>
              </w:rPr>
              <w:t>.</w:t>
            </w:r>
          </w:p>
          <w:p w:rsidR="002643C1" w:rsidRPr="00CD76FD" w:rsidRDefault="002643C1" w:rsidP="002643C1">
            <w:pPr>
              <w:widowControl w:val="0"/>
              <w:ind w:firstLine="368"/>
              <w:jc w:val="both"/>
              <w:rPr>
                <w:noProof/>
              </w:rPr>
            </w:pPr>
            <w:r w:rsidRPr="00CD76FD">
              <w:rPr>
                <w:b/>
                <w:i/>
                <w:noProof/>
              </w:rPr>
              <w:t>Обґрунтування обсягів закупівлі:</w:t>
            </w:r>
            <w:r w:rsidRPr="00CD76FD">
              <w:rPr>
                <w:b/>
                <w:noProof/>
              </w:rPr>
              <w:t xml:space="preserve"> </w:t>
            </w:r>
            <w:r w:rsidRPr="00CD76FD">
              <w:rPr>
                <w:noProof/>
              </w:rPr>
              <w:t>Обсяги визначено відповідно до очікуваної потреби.</w:t>
            </w:r>
          </w:p>
        </w:tc>
      </w:tr>
      <w:tr w:rsidR="002643C1" w:rsidRPr="00F2354C"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643C1" w:rsidRPr="00F2354C" w:rsidRDefault="002643C1" w:rsidP="002643C1">
            <w:pPr>
              <w:rPr>
                <w:bCs/>
                <w:lang w:val="uk-UA"/>
              </w:rPr>
            </w:pPr>
            <w:r w:rsidRPr="00F2354C">
              <w:rPr>
                <w:bCs/>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643C1" w:rsidRPr="00CD76FD" w:rsidRDefault="002643C1" w:rsidP="002643C1">
            <w:pPr>
              <w:rPr>
                <w:lang w:val="uk-UA"/>
              </w:rPr>
            </w:pPr>
            <w:r w:rsidRPr="00CD76FD">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643C1" w:rsidRPr="00CD76FD" w:rsidRDefault="002643C1" w:rsidP="002643C1">
            <w:pPr>
              <w:widowControl w:val="0"/>
              <w:ind w:firstLine="226"/>
              <w:jc w:val="both"/>
              <w:rPr>
                <w:noProof/>
              </w:rPr>
            </w:pPr>
            <w:r w:rsidRPr="00AA6D24">
              <w:rPr>
                <w:b/>
                <w:i/>
                <w:noProof/>
                <w:lang w:val="uk-UA"/>
              </w:rPr>
              <w:t>Визначення потреби в закупівлі:</w:t>
            </w:r>
            <w:r w:rsidRPr="00AA6D24">
              <w:rPr>
                <w:noProof/>
                <w:lang w:val="uk-UA"/>
              </w:rPr>
              <w:t xml:space="preserve"> Закупівля зумовлена необхідністю забезпечення відшкодування шкоди, заподіяної життю, </w:t>
            </w:r>
            <w:r w:rsidRPr="00AA6D24">
              <w:rPr>
                <w:bCs/>
                <w:noProof/>
                <w:color w:val="000000"/>
                <w:lang w:val="uk-UA" w:eastAsia="uk-UA"/>
              </w:rPr>
              <w:t xml:space="preserve">здоров'ю та майну третіх осіб, у тому числі довкіллю   </w:t>
            </w:r>
            <w:r w:rsidRPr="00CD76FD">
              <w:rPr>
                <w:bCs/>
                <w:noProof/>
                <w:color w:val="000000"/>
                <w:lang w:eastAsia="uk-UA"/>
              </w:rPr>
              <w:t>(природним ресурсам, територіям), внаслідок пожеж та/або аварій на об'єктах  підвищеної  небезпеки.</w:t>
            </w:r>
          </w:p>
          <w:p w:rsidR="002643C1" w:rsidRPr="00CD76FD" w:rsidRDefault="002643C1" w:rsidP="002643C1">
            <w:pPr>
              <w:widowControl w:val="0"/>
              <w:ind w:firstLine="226"/>
              <w:jc w:val="both"/>
              <w:rPr>
                <w:i/>
                <w:noProof/>
              </w:rPr>
            </w:pPr>
            <w:r w:rsidRPr="00CD76FD">
              <w:rPr>
                <w:noProof/>
              </w:rPr>
              <w:t xml:space="preserve">Технічні та якісні характеристики предмету закупівлі визначені </w:t>
            </w:r>
            <w:r w:rsidRPr="00CD76FD">
              <w:rPr>
                <w:noProof/>
              </w:rPr>
              <w:lastRenderedPageBreak/>
              <w:t xml:space="preserve">Законом України від 18.11.2021 року № 1909-ІХ «Про страхування» та </w:t>
            </w:r>
            <w:r w:rsidRPr="00CD76FD">
              <w:rPr>
                <w:noProof/>
                <w:color w:val="000000"/>
              </w:rPr>
              <w:t>Наказу Міністерства внутрішніх справ України «Про затвердження Порядку та умов страхування відповідальності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 від 28.12.2023 № 1081.</w:t>
            </w:r>
          </w:p>
        </w:tc>
      </w:tr>
    </w:tbl>
    <w:p w:rsidR="006F428D" w:rsidRPr="00F2354C" w:rsidRDefault="006F428D" w:rsidP="00A12478">
      <w:pPr>
        <w:rPr>
          <w:b/>
          <w:lang w:val="uk-UA"/>
        </w:rPr>
      </w:pPr>
    </w:p>
    <w:p w:rsidR="006926A0" w:rsidRPr="00F2354C" w:rsidRDefault="006926A0" w:rsidP="006926A0">
      <w:pPr>
        <w:ind w:firstLine="567"/>
        <w:jc w:val="both"/>
        <w:rPr>
          <w:lang w:val="uk-UA"/>
        </w:rPr>
      </w:pPr>
      <w:r w:rsidRPr="00F2354C">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F2354C" w:rsidRPr="00F2354C" w:rsidRDefault="00F2354C" w:rsidP="00F2354C">
      <w:pPr>
        <w:widowControl w:val="0"/>
        <w:jc w:val="center"/>
        <w:rPr>
          <w:lang w:val="uk-UA"/>
        </w:rPr>
      </w:pPr>
      <w:r w:rsidRPr="00F2354C">
        <w:rPr>
          <w:lang w:val="uk-UA"/>
        </w:rPr>
        <w:t>Специфікація</w:t>
      </w:r>
    </w:p>
    <w:tbl>
      <w:tblPr>
        <w:tblW w:w="10400" w:type="dxa"/>
        <w:tblInd w:w="-224" w:type="dxa"/>
        <w:tblLayout w:type="fixed"/>
        <w:tblCellMar>
          <w:top w:w="30" w:type="dxa"/>
          <w:left w:w="60" w:type="dxa"/>
          <w:bottom w:w="30" w:type="dxa"/>
          <w:right w:w="30" w:type="dxa"/>
        </w:tblCellMar>
        <w:tblLook w:val="0000" w:firstRow="0" w:lastRow="0" w:firstColumn="0" w:lastColumn="0" w:noHBand="0" w:noVBand="0"/>
      </w:tblPr>
      <w:tblGrid>
        <w:gridCol w:w="478"/>
        <w:gridCol w:w="2835"/>
        <w:gridCol w:w="992"/>
        <w:gridCol w:w="850"/>
        <w:gridCol w:w="5245"/>
      </w:tblGrid>
      <w:tr w:rsidR="00F2354C" w:rsidRPr="00F2354C" w:rsidTr="00CD76FD">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F2354C" w:rsidRPr="00F2354C" w:rsidRDefault="00F2354C" w:rsidP="009918DC">
            <w:pPr>
              <w:widowControl w:val="0"/>
              <w:rPr>
                <w:noProof/>
                <w:lang w:val="uk-UA"/>
              </w:rPr>
            </w:pPr>
            <w:r w:rsidRPr="00F2354C">
              <w:rPr>
                <w:noProof/>
                <w:lang w:val="uk-UA"/>
              </w:rPr>
              <w:t>№ п/п</w:t>
            </w:r>
          </w:p>
        </w:tc>
        <w:tc>
          <w:tcPr>
            <w:tcW w:w="28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F2354C" w:rsidRPr="00F2354C" w:rsidRDefault="00F2354C" w:rsidP="009918DC">
            <w:pPr>
              <w:widowControl w:val="0"/>
              <w:jc w:val="center"/>
              <w:rPr>
                <w:noProof/>
                <w:lang w:val="uk-UA"/>
              </w:rPr>
            </w:pPr>
            <w:r w:rsidRPr="00F2354C">
              <w:rPr>
                <w:noProof/>
                <w:lang w:val="uk-UA"/>
              </w:rPr>
              <w:t xml:space="preserve">Найменування </w:t>
            </w:r>
          </w:p>
          <w:p w:rsidR="00F2354C" w:rsidRPr="00F2354C" w:rsidRDefault="00F2354C" w:rsidP="009918DC">
            <w:pPr>
              <w:widowControl w:val="0"/>
              <w:jc w:val="center"/>
              <w:rPr>
                <w:noProof/>
                <w:lang w:val="uk-UA"/>
              </w:rPr>
            </w:pPr>
            <w:r w:rsidRPr="00F2354C">
              <w:rPr>
                <w:noProof/>
                <w:lang w:val="uk-UA"/>
              </w:rPr>
              <w:t>послуги</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F2354C" w:rsidRPr="00F2354C" w:rsidRDefault="00F2354C" w:rsidP="009918DC">
            <w:pPr>
              <w:widowControl w:val="0"/>
              <w:jc w:val="center"/>
              <w:rPr>
                <w:noProof/>
                <w:lang w:val="uk-UA"/>
              </w:rPr>
            </w:pPr>
            <w:r w:rsidRPr="00F2354C">
              <w:rPr>
                <w:noProof/>
                <w:lang w:val="uk-UA"/>
              </w:rPr>
              <w:t>Од.</w:t>
            </w:r>
          </w:p>
          <w:p w:rsidR="00F2354C" w:rsidRPr="00F2354C" w:rsidRDefault="00F2354C" w:rsidP="009918DC">
            <w:pPr>
              <w:widowControl w:val="0"/>
              <w:jc w:val="center"/>
              <w:rPr>
                <w:noProof/>
                <w:lang w:val="uk-UA"/>
              </w:rPr>
            </w:pPr>
            <w:r w:rsidRPr="00F2354C">
              <w:rPr>
                <w:noProof/>
                <w:lang w:val="uk-UA"/>
              </w:rPr>
              <w:t>виміру</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F2354C" w:rsidRPr="00F2354C" w:rsidRDefault="00F2354C" w:rsidP="009918DC">
            <w:pPr>
              <w:widowControl w:val="0"/>
              <w:jc w:val="center"/>
              <w:rPr>
                <w:noProof/>
                <w:lang w:val="uk-UA"/>
              </w:rPr>
            </w:pPr>
            <w:r w:rsidRPr="00F2354C">
              <w:rPr>
                <w:noProof/>
                <w:lang w:val="uk-UA"/>
              </w:rPr>
              <w:t>Кіль-кість</w:t>
            </w:r>
          </w:p>
        </w:tc>
        <w:tc>
          <w:tcPr>
            <w:tcW w:w="524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F2354C" w:rsidRPr="00F2354C" w:rsidRDefault="00F2354C" w:rsidP="009918DC">
            <w:pPr>
              <w:widowControl w:val="0"/>
              <w:jc w:val="center"/>
              <w:rPr>
                <w:noProof/>
                <w:lang w:val="uk-UA"/>
              </w:rPr>
            </w:pPr>
            <w:r w:rsidRPr="00F2354C">
              <w:rPr>
                <w:noProof/>
                <w:lang w:val="uk-UA"/>
              </w:rPr>
              <w:t>Опис об’єктів підвищеної небезпект</w:t>
            </w:r>
          </w:p>
        </w:tc>
      </w:tr>
      <w:tr w:rsidR="00F2354C" w:rsidRPr="00F2354C" w:rsidTr="00CD76FD">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bCs/>
                <w:noProof/>
                <w:lang w:val="uk-UA"/>
              </w:rPr>
            </w:pPr>
            <w:r w:rsidRPr="00F2354C">
              <w:rPr>
                <w:noProof/>
                <w:lang w:val="uk-UA"/>
              </w:rPr>
              <w:t>1</w:t>
            </w:r>
          </w:p>
        </w:tc>
        <w:tc>
          <w:tcPr>
            <w:tcW w:w="28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rPr>
            </w:pPr>
            <w:r w:rsidRPr="00F2354C">
              <w:rPr>
                <w:noProof/>
                <w:color w:val="000000"/>
                <w:lang w:val="uk-UA"/>
              </w:rPr>
              <w:t>Страхування відповідальності суб’єктів господарювання, у користуванні яких є об’єкти підвищеної небезпеки, за шкоду, яка може бути заподіяна внаслідок надзвичайних ситуацій: АЗС-1</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color w:val="0070C0"/>
                <w:lang w:val="uk-UA" w:eastAsia="uk-UA"/>
              </w:rPr>
            </w:pPr>
            <w:r w:rsidRPr="00F2354C">
              <w:rPr>
                <w:noProof/>
                <w:lang w:val="uk-UA" w:eastAsia="uk-UA"/>
              </w:rPr>
              <w:t>Послуга</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rPr>
            </w:pPr>
            <w:r w:rsidRPr="00F2354C">
              <w:rPr>
                <w:noProof/>
                <w:lang w:val="uk-UA"/>
              </w:rPr>
              <w:t>1</w:t>
            </w:r>
          </w:p>
        </w:tc>
        <w:tc>
          <w:tcPr>
            <w:tcW w:w="524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lang w:val="uk-UA"/>
              </w:rPr>
              <w:t>Назва об'єкта підвищеної небезпеки</w:t>
            </w:r>
            <w:r w:rsidRPr="00F2354C">
              <w:rPr>
                <w:noProof/>
                <w:color w:val="000000"/>
                <w:lang w:val="uk-UA"/>
              </w:rPr>
              <w:t xml:space="preserve"> – АЗС-1, </w:t>
            </w:r>
            <w:r w:rsidRPr="00F2354C">
              <w:rPr>
                <w:noProof/>
                <w:lang w:val="uk-UA"/>
              </w:rPr>
              <w:t>який має 3 категорію небезпеки.</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Найменування небезпечної рідини - світлі нафтопродукти (дизельне паливо, бензини), оливи.</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Клас, підклас небезпечної речовини (порядковий номер виробу або речовини згідно прийнятих ООН системою) – № 1202, № 1203.</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Максимальна кількість небезпечних речовин на об’єкті підвищеної небезпеки – 100 тон.</w:t>
            </w:r>
          </w:p>
        </w:tc>
      </w:tr>
      <w:tr w:rsidR="00F2354C" w:rsidRPr="00F2354C" w:rsidTr="00CD76FD">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2</w:t>
            </w:r>
          </w:p>
        </w:tc>
        <w:tc>
          <w:tcPr>
            <w:tcW w:w="28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rPr>
            </w:pPr>
            <w:r w:rsidRPr="00F2354C">
              <w:rPr>
                <w:noProof/>
                <w:color w:val="000000"/>
                <w:lang w:val="uk-UA"/>
              </w:rPr>
              <w:t>Страхування відповідальності суб’єктів господарювання, у користуванні яких є об’єкти підвищеної небезпеки, за шкоду, яка може бути заподіяна внаслідок надзвичайних ситуацій: АЗС-2</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eastAsia="uk-UA"/>
              </w:rPr>
            </w:pPr>
            <w:r w:rsidRPr="00F2354C">
              <w:rPr>
                <w:noProof/>
                <w:lang w:val="uk-UA" w:eastAsia="uk-UA"/>
              </w:rPr>
              <w:t>Послуга</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rPr>
            </w:pPr>
            <w:r w:rsidRPr="00F2354C">
              <w:rPr>
                <w:noProof/>
                <w:lang w:val="uk-UA"/>
              </w:rPr>
              <w:t>1</w:t>
            </w:r>
          </w:p>
        </w:tc>
        <w:tc>
          <w:tcPr>
            <w:tcW w:w="524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lang w:val="uk-UA"/>
              </w:rPr>
              <w:t>Назва об'єкта підвищеної небезпеки</w:t>
            </w:r>
            <w:r w:rsidRPr="00F2354C">
              <w:rPr>
                <w:noProof/>
                <w:color w:val="000000"/>
                <w:lang w:val="uk-UA"/>
              </w:rPr>
              <w:t xml:space="preserve"> – АЗС-2, </w:t>
            </w:r>
            <w:r w:rsidRPr="00F2354C">
              <w:rPr>
                <w:noProof/>
                <w:lang w:val="uk-UA"/>
              </w:rPr>
              <w:t>який має 3 категорію небезпеки.</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Найменування небезпечної рідини - світлі нафтопродукти (дизельне паливо, авіаційне паливо).</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Клас, підклас небезпечної речовини (порядковий номер виробу або речовини згідно прийнятих ООН системою) – № 1202, 1863.</w:t>
            </w:r>
          </w:p>
          <w:p w:rsidR="00F2354C" w:rsidRPr="00F2354C" w:rsidRDefault="00F2354C" w:rsidP="009918DC">
            <w:pPr>
              <w:widowControl w:val="0"/>
              <w:ind w:left="84" w:right="117"/>
              <w:jc w:val="both"/>
              <w:rPr>
                <w:noProof/>
                <w:color w:val="000000"/>
                <w:lang w:val="uk-UA"/>
              </w:rPr>
            </w:pPr>
            <w:r w:rsidRPr="00F2354C">
              <w:rPr>
                <w:noProof/>
                <w:color w:val="000000"/>
                <w:lang w:val="uk-UA"/>
              </w:rPr>
              <w:t>Максимальна кількість небезпечних речовин на об’єкті підвищеної небезпеки – 60 тон.</w:t>
            </w:r>
          </w:p>
        </w:tc>
      </w:tr>
      <w:tr w:rsidR="00F2354C" w:rsidRPr="00F2354C" w:rsidTr="00CD76FD">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3</w:t>
            </w:r>
          </w:p>
        </w:tc>
        <w:tc>
          <w:tcPr>
            <w:tcW w:w="28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rPr>
            </w:pPr>
            <w:r w:rsidRPr="00F2354C">
              <w:rPr>
                <w:noProof/>
                <w:color w:val="000000"/>
                <w:lang w:val="uk-UA"/>
              </w:rPr>
              <w:t>Страхування відповідальності суб’єктів господарювання, у користуванні яких є об’єкти підвищеної небезпеки, за шкоду, яка може бути заподіяна внаслідок надзвичайних ситуацій: АЗС-3</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eastAsia="uk-UA"/>
              </w:rPr>
            </w:pPr>
            <w:r w:rsidRPr="00F2354C">
              <w:rPr>
                <w:noProof/>
                <w:lang w:val="uk-UA" w:eastAsia="uk-UA"/>
              </w:rPr>
              <w:t>Послуга</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rPr>
            </w:pPr>
            <w:r w:rsidRPr="00F2354C">
              <w:rPr>
                <w:noProof/>
                <w:lang w:val="uk-UA"/>
              </w:rPr>
              <w:t>1</w:t>
            </w:r>
          </w:p>
        </w:tc>
        <w:tc>
          <w:tcPr>
            <w:tcW w:w="524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lang w:val="uk-UA"/>
              </w:rPr>
              <w:t>Назва об'єкта підвищеної небезпеки</w:t>
            </w:r>
            <w:r w:rsidRPr="00F2354C">
              <w:rPr>
                <w:noProof/>
                <w:color w:val="000000"/>
                <w:lang w:val="uk-UA"/>
              </w:rPr>
              <w:t xml:space="preserve"> – АЗС-3, </w:t>
            </w:r>
            <w:r w:rsidRPr="00F2354C">
              <w:rPr>
                <w:noProof/>
                <w:lang w:val="uk-UA"/>
              </w:rPr>
              <w:t>який має 3 категорію небезпеки.</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Найменування небезпечної рідини - світлі нафтопродукти (дизельне паливо).</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Клас, підклас небезпечної речовини (порядковий номер виробу або речовини згідно прийнятих ООН системою) – № 1202.</w:t>
            </w:r>
          </w:p>
          <w:p w:rsidR="00F2354C" w:rsidRPr="00F2354C" w:rsidRDefault="00F2354C" w:rsidP="009918DC">
            <w:pPr>
              <w:widowControl w:val="0"/>
              <w:ind w:left="84" w:right="117"/>
              <w:jc w:val="both"/>
              <w:rPr>
                <w:noProof/>
                <w:color w:val="000000"/>
                <w:lang w:val="uk-UA"/>
              </w:rPr>
            </w:pPr>
            <w:r w:rsidRPr="00F2354C">
              <w:rPr>
                <w:noProof/>
                <w:color w:val="000000"/>
                <w:lang w:val="uk-UA"/>
              </w:rPr>
              <w:t>Максимальна кількість небезпечних речовин на об’єкті підвищеної небезпеки – 50 тон.</w:t>
            </w:r>
          </w:p>
        </w:tc>
      </w:tr>
      <w:tr w:rsidR="00F2354C" w:rsidRPr="00F2354C" w:rsidTr="00CD76FD">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4</w:t>
            </w:r>
          </w:p>
        </w:tc>
        <w:tc>
          <w:tcPr>
            <w:tcW w:w="28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color w:val="000000"/>
                <w:lang w:val="uk-UA"/>
              </w:rPr>
            </w:pPr>
            <w:r w:rsidRPr="00F2354C">
              <w:rPr>
                <w:noProof/>
                <w:color w:val="000000"/>
                <w:lang w:val="uk-UA"/>
              </w:rPr>
              <w:t xml:space="preserve">Страхування відповідальності суб’єктів господарювання, у користуванні яких є об’єкти підвищеної </w:t>
            </w:r>
            <w:r w:rsidRPr="00F2354C">
              <w:rPr>
                <w:noProof/>
                <w:color w:val="000000"/>
                <w:lang w:val="uk-UA"/>
              </w:rPr>
              <w:lastRenderedPageBreak/>
              <w:t>небезпеки, за шкоду, яка може бути заподіяна внаслідок надзвичайних ситуацій:</w:t>
            </w:r>
          </w:p>
          <w:p w:rsidR="00F2354C" w:rsidRPr="00F2354C" w:rsidRDefault="00F2354C" w:rsidP="009918DC">
            <w:pPr>
              <w:widowControl w:val="0"/>
              <w:jc w:val="center"/>
              <w:rPr>
                <w:noProof/>
                <w:lang w:val="uk-UA"/>
              </w:rPr>
            </w:pPr>
            <w:r w:rsidRPr="00F2354C">
              <w:rPr>
                <w:noProof/>
                <w:color w:val="000000"/>
                <w:lang w:val="uk-UA"/>
              </w:rPr>
              <w:t>Склад ПММ</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eastAsia="uk-UA"/>
              </w:rPr>
            </w:pPr>
            <w:r w:rsidRPr="00F2354C">
              <w:rPr>
                <w:noProof/>
                <w:lang w:val="uk-UA" w:eastAsia="uk-UA"/>
              </w:rPr>
              <w:lastRenderedPageBreak/>
              <w:t>Послуга</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center"/>
              <w:rPr>
                <w:noProof/>
                <w:lang w:val="uk-UA"/>
              </w:rPr>
            </w:pPr>
            <w:r w:rsidRPr="00F2354C">
              <w:rPr>
                <w:noProof/>
                <w:lang w:val="uk-UA"/>
              </w:rPr>
              <w:t>1</w:t>
            </w:r>
          </w:p>
        </w:tc>
        <w:tc>
          <w:tcPr>
            <w:tcW w:w="524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lang w:val="uk-UA"/>
              </w:rPr>
              <w:t>Назва об'єкта підвищеної небезпеки</w:t>
            </w:r>
            <w:r w:rsidRPr="00F2354C">
              <w:rPr>
                <w:noProof/>
                <w:color w:val="000000"/>
                <w:lang w:val="uk-UA"/>
              </w:rPr>
              <w:t xml:space="preserve"> – Склад ПММ, </w:t>
            </w:r>
            <w:r w:rsidRPr="00F2354C">
              <w:rPr>
                <w:noProof/>
                <w:lang w:val="uk-UA"/>
              </w:rPr>
              <w:t>який має 2 категорію небезпеки.</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Найменування небезпечної рідини - світлі нафтопродукти (авіаційне паливо), оливи.</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 xml:space="preserve">Клас, підклас небезпечної речовини </w:t>
            </w:r>
            <w:r w:rsidRPr="00F2354C">
              <w:rPr>
                <w:noProof/>
                <w:color w:val="000000"/>
                <w:lang w:val="uk-UA"/>
              </w:rPr>
              <w:lastRenderedPageBreak/>
              <w:t>(порядковий номер виробу або речовини згідно прийнятих ООН системою) – № 1863.</w:t>
            </w:r>
          </w:p>
          <w:p w:rsidR="00F2354C" w:rsidRPr="00F2354C" w:rsidRDefault="00F2354C" w:rsidP="009918DC">
            <w:pPr>
              <w:widowControl w:val="0"/>
              <w:tabs>
                <w:tab w:val="left" w:pos="1134"/>
              </w:tabs>
              <w:overflowPunct w:val="0"/>
              <w:autoSpaceDE w:val="0"/>
              <w:autoSpaceDN w:val="0"/>
              <w:adjustRightInd w:val="0"/>
              <w:ind w:left="84" w:right="117"/>
              <w:jc w:val="both"/>
              <w:textAlignment w:val="baseline"/>
              <w:rPr>
                <w:noProof/>
                <w:color w:val="000000"/>
                <w:lang w:val="uk-UA"/>
              </w:rPr>
            </w:pPr>
            <w:r w:rsidRPr="00F2354C">
              <w:rPr>
                <w:noProof/>
                <w:color w:val="000000"/>
                <w:lang w:val="uk-UA"/>
              </w:rPr>
              <w:t>Максимальна кількість небезпечних речовин на об’єкті підвищеної небезпеки – 16 000 тон.</w:t>
            </w:r>
          </w:p>
        </w:tc>
      </w:tr>
    </w:tbl>
    <w:p w:rsidR="00F2354C" w:rsidRPr="00F2354C" w:rsidRDefault="00F2354C" w:rsidP="00F2354C">
      <w:pPr>
        <w:rPr>
          <w:rFonts w:cs="Times New Roman CYR"/>
          <w:lang w:val="uk-UA"/>
        </w:rPr>
      </w:pPr>
    </w:p>
    <w:p w:rsidR="00F2354C" w:rsidRDefault="00F2354C" w:rsidP="00F2354C">
      <w:pPr>
        <w:widowControl w:val="0"/>
        <w:tabs>
          <w:tab w:val="num" w:pos="720"/>
        </w:tabs>
        <w:jc w:val="center"/>
        <w:rPr>
          <w:rFonts w:cs="Times New Roman CYR"/>
          <w:lang w:val="uk-UA"/>
        </w:rPr>
      </w:pPr>
      <w:r w:rsidRPr="00F2354C">
        <w:rPr>
          <w:rFonts w:cs="Times New Roman CYR"/>
          <w:lang w:val="uk-UA"/>
        </w:rPr>
        <w:t>Вимоги (опис страхового продукту): інформація про необхідні технічні, якісні та кількісні характеристики предмета закупівлі (умови технічної специфікації):</w:t>
      </w:r>
    </w:p>
    <w:p w:rsidR="00577D9F" w:rsidRPr="00F2354C" w:rsidRDefault="00577D9F" w:rsidP="00F2354C">
      <w:pPr>
        <w:widowControl w:val="0"/>
        <w:tabs>
          <w:tab w:val="num" w:pos="720"/>
        </w:tabs>
        <w:jc w:val="center"/>
        <w:rPr>
          <w:rFonts w:cs="Times New Roman CYR"/>
          <w:highlight w:val="lightGray"/>
          <w:lang w:val="uk-UA"/>
        </w:rPr>
      </w:pPr>
    </w:p>
    <w:tbl>
      <w:tblPr>
        <w:tblW w:w="10400" w:type="dxa"/>
        <w:tblInd w:w="-224" w:type="dxa"/>
        <w:tblLayout w:type="fixed"/>
        <w:tblCellMar>
          <w:top w:w="30" w:type="dxa"/>
          <w:left w:w="60" w:type="dxa"/>
          <w:bottom w:w="30" w:type="dxa"/>
          <w:right w:w="30" w:type="dxa"/>
        </w:tblCellMar>
        <w:tblLook w:val="0000" w:firstRow="0" w:lastRow="0" w:firstColumn="0" w:lastColumn="0" w:noHBand="0" w:noVBand="0"/>
      </w:tblPr>
      <w:tblGrid>
        <w:gridCol w:w="620"/>
        <w:gridCol w:w="1984"/>
        <w:gridCol w:w="7796"/>
      </w:tblGrid>
      <w:tr w:rsidR="00F2354C" w:rsidRPr="00F2354C" w:rsidTr="006E03DD">
        <w:tc>
          <w:tcPr>
            <w:tcW w:w="6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bCs/>
                <w:noProof/>
              </w:rPr>
            </w:pPr>
            <w:r w:rsidRPr="00F2354C">
              <w:rPr>
                <w:noProof/>
              </w:rPr>
              <w:t>1</w:t>
            </w:r>
          </w:p>
        </w:tc>
        <w:tc>
          <w:tcPr>
            <w:tcW w:w="19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rPr>
                <w:noProof/>
              </w:rPr>
            </w:pPr>
            <w:r w:rsidRPr="00F2354C">
              <w:rPr>
                <w:noProof/>
              </w:rPr>
              <w:t>Документ, якому відповідає предмет закупівлі</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jc w:val="both"/>
              <w:rPr>
                <w:noProof/>
              </w:rPr>
            </w:pPr>
            <w:r w:rsidRPr="00F2354C">
              <w:rPr>
                <w:noProof/>
              </w:rPr>
              <w:t xml:space="preserve">Страховик відповідно до Закону України «Про страхування» </w:t>
            </w:r>
            <w:r w:rsidRPr="00F2354C">
              <w:rPr>
                <w:noProof/>
                <w:color w:val="000000"/>
              </w:rPr>
              <w:t>від 18.11.2021 № 1909-ІХ</w:t>
            </w:r>
            <w:r w:rsidRPr="00F2354C">
              <w:rPr>
                <w:noProof/>
              </w:rPr>
              <w:t xml:space="preserve">, Кодексу цивільного захисту України </w:t>
            </w:r>
            <w:r w:rsidRPr="00F2354C">
              <w:rPr>
                <w:noProof/>
                <w:color w:val="000000"/>
              </w:rPr>
              <w:t>від 02.10.2012 № 5403-VI</w:t>
            </w:r>
            <w:r w:rsidRPr="00F2354C">
              <w:rPr>
                <w:noProof/>
              </w:rPr>
              <w:t xml:space="preserve">, Закону України «Про об’єкти підвищеної небезпеки» </w:t>
            </w:r>
            <w:r w:rsidRPr="00F2354C">
              <w:rPr>
                <w:noProof/>
                <w:color w:val="000000"/>
              </w:rPr>
              <w:t>від18.01. 2001 № 2245-III</w:t>
            </w:r>
            <w:r w:rsidRPr="00F2354C">
              <w:rPr>
                <w:noProof/>
              </w:rPr>
              <w:t>, Порядку та умов страхування відповідальності суб’єктів господарювання, інших юридичних осіб, у користування яких є об’єкти підвищеної небезпеки, за шкоду, яка може бути заподіяна внаслідок надзвичайних ситуацій, затвердженого наказом Міністерства внутрішніх справ України від 28.12.2023 р. №1081, зареєстрованого в Міністерстві юстиції України 29.01.2024 р.за №147/41492 проводить страхування цивільної відповідальності Страхувальника за шкоду, заподіяну третім особам, на підставі ліцензії на здійснення діяльності із страхування (прямого страхування, іншого, ніж страхування життя за класом страхування 13, визначеними ч.1 статті 4 Закону України «Про страхування»).</w:t>
            </w:r>
          </w:p>
        </w:tc>
      </w:tr>
      <w:tr w:rsidR="00F2354C" w:rsidRPr="00F2354C" w:rsidTr="006E03DD">
        <w:trPr>
          <w:trHeight w:val="692"/>
        </w:trPr>
        <w:tc>
          <w:tcPr>
            <w:tcW w:w="620" w:type="dxa"/>
            <w:tcBorders>
              <w:top w:val="thickThinLargeGap" w:sz="6" w:space="0" w:color="000000"/>
              <w:left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bCs/>
                <w:noProof/>
              </w:rPr>
            </w:pPr>
            <w:r w:rsidRPr="00F2354C">
              <w:rPr>
                <w:noProof/>
              </w:rPr>
              <w:t>2</w:t>
            </w:r>
          </w:p>
        </w:tc>
        <w:tc>
          <w:tcPr>
            <w:tcW w:w="1984" w:type="dxa"/>
            <w:tcBorders>
              <w:top w:val="thickThinLargeGap" w:sz="6" w:space="0" w:color="000000"/>
              <w:left w:val="thickThinLargeGap" w:sz="6" w:space="0" w:color="000000"/>
              <w:right w:val="thickThinLargeGap" w:sz="6" w:space="0" w:color="000000"/>
            </w:tcBorders>
            <w:shd w:val="clear" w:color="auto" w:fill="auto"/>
          </w:tcPr>
          <w:p w:rsidR="00F2354C" w:rsidRPr="00F2354C" w:rsidRDefault="00F2354C" w:rsidP="009918DC">
            <w:pPr>
              <w:widowControl w:val="0"/>
              <w:rPr>
                <w:noProof/>
              </w:rPr>
            </w:pPr>
            <w:r w:rsidRPr="00F2354C">
              <w:rPr>
                <w:bCs/>
                <w:noProof/>
                <w:color w:val="000000"/>
              </w:rPr>
              <w:t>Термін страхування</w:t>
            </w:r>
          </w:p>
        </w:tc>
        <w:tc>
          <w:tcPr>
            <w:tcW w:w="7796" w:type="dxa"/>
            <w:tcBorders>
              <w:top w:val="thickThinLargeGap" w:sz="6" w:space="0" w:color="000000"/>
              <w:left w:val="thickThinLargeGap" w:sz="6" w:space="0" w:color="000000"/>
              <w:right w:val="thickThinLargeGap" w:sz="6" w:space="0" w:color="000000"/>
            </w:tcBorders>
            <w:shd w:val="clear" w:color="auto" w:fill="auto"/>
          </w:tcPr>
          <w:p w:rsidR="00F2354C" w:rsidRPr="00F2354C" w:rsidRDefault="00F2354C" w:rsidP="009918DC">
            <w:pPr>
              <w:widowControl w:val="0"/>
              <w:ind w:left="85" w:right="113"/>
              <w:jc w:val="both"/>
              <w:rPr>
                <w:noProof/>
              </w:rPr>
            </w:pPr>
            <w:r w:rsidRPr="00F2354C">
              <w:rPr>
                <w:noProof/>
              </w:rPr>
              <w:t xml:space="preserve">АЗС-1, АЗС-2, Склад ПММ: 365 календарних днів, з дня, наступного за днем укладання договору. </w:t>
            </w:r>
          </w:p>
          <w:p w:rsidR="00F2354C" w:rsidRPr="00F2354C" w:rsidRDefault="00F2354C" w:rsidP="009918DC">
            <w:pPr>
              <w:widowControl w:val="0"/>
              <w:ind w:left="85" w:right="113"/>
              <w:jc w:val="both"/>
              <w:rPr>
                <w:noProof/>
              </w:rPr>
            </w:pPr>
            <w:r w:rsidRPr="00F2354C">
              <w:rPr>
                <w:noProof/>
              </w:rPr>
              <w:t>АЗС-3: з 01.10.2024 по 30.09.2025</w:t>
            </w:r>
          </w:p>
        </w:tc>
      </w:tr>
      <w:tr w:rsidR="00F2354C" w:rsidRPr="00F2354C" w:rsidTr="006E03DD">
        <w:tc>
          <w:tcPr>
            <w:tcW w:w="6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3</w:t>
            </w:r>
          </w:p>
        </w:tc>
        <w:tc>
          <w:tcPr>
            <w:tcW w:w="19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rPr>
                <w:noProof/>
              </w:rPr>
            </w:pPr>
            <w:r w:rsidRPr="00F2354C">
              <w:rPr>
                <w:noProof/>
              </w:rPr>
              <w:t>Місце, де повинні бути надані послуги</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rPr>
                <w:noProof/>
              </w:rPr>
            </w:pPr>
            <w:r w:rsidRPr="00F2354C">
              <w:rPr>
                <w:noProof/>
              </w:rPr>
              <w:t>АЗС-1: 08300, Україна, Київська обл., Бориспільський район, село Гора, вулиця Бориспіль -7, ДП МА «Бориспіль»;</w:t>
            </w:r>
          </w:p>
          <w:p w:rsidR="00F2354C" w:rsidRPr="00F2354C" w:rsidRDefault="00F2354C" w:rsidP="009918DC">
            <w:pPr>
              <w:widowControl w:val="0"/>
              <w:rPr>
                <w:noProof/>
              </w:rPr>
            </w:pPr>
            <w:r w:rsidRPr="00F2354C">
              <w:rPr>
                <w:noProof/>
              </w:rPr>
              <w:t>АЗС-2: 08300, Україна, Київська обл., Бориспільський район, село Гора, вулиця Бориспіль -7, ДП МА «Бориспіль»;</w:t>
            </w:r>
          </w:p>
          <w:p w:rsidR="00F2354C" w:rsidRPr="00F2354C" w:rsidRDefault="00F2354C" w:rsidP="009918DC">
            <w:pPr>
              <w:widowControl w:val="0"/>
              <w:rPr>
                <w:noProof/>
              </w:rPr>
            </w:pPr>
            <w:r w:rsidRPr="00F2354C">
              <w:rPr>
                <w:noProof/>
              </w:rPr>
              <w:t>АЗС-3: 08300, Україна, Київська обл., Бориспільський район, село Гора, вулиця Бориспіль -7, ДП МА «Бориспіль»;</w:t>
            </w:r>
          </w:p>
          <w:p w:rsidR="00F2354C" w:rsidRPr="00F2354C" w:rsidRDefault="00F2354C" w:rsidP="009918DC">
            <w:pPr>
              <w:widowControl w:val="0"/>
              <w:rPr>
                <w:noProof/>
              </w:rPr>
            </w:pPr>
            <w:r w:rsidRPr="00F2354C">
              <w:rPr>
                <w:noProof/>
              </w:rPr>
              <w:t>Склад ПММ: 08303, Київська область, м. Бориспіль, вул. Запорізька, 16а.</w:t>
            </w:r>
          </w:p>
        </w:tc>
      </w:tr>
      <w:tr w:rsidR="00F2354C" w:rsidRPr="00F2354C" w:rsidTr="006E03DD">
        <w:tc>
          <w:tcPr>
            <w:tcW w:w="6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4</w:t>
            </w:r>
          </w:p>
        </w:tc>
        <w:tc>
          <w:tcPr>
            <w:tcW w:w="19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rPr>
                <w:noProof/>
              </w:rPr>
            </w:pPr>
            <w:r w:rsidRPr="00F2354C">
              <w:rPr>
                <w:noProof/>
              </w:rPr>
              <w:t>Розмір страхового тарифу</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ind w:left="83" w:right="111"/>
              <w:jc w:val="both"/>
              <w:rPr>
                <w:noProof/>
              </w:rPr>
            </w:pPr>
            <w:r w:rsidRPr="00F2354C">
              <w:rPr>
                <w:noProof/>
              </w:rPr>
              <w:t>Розмір страхового тарифу встановлюється для кожного об.єкта підвищеної небезпеки та залежить від класу окремого об’єкта підвищеної небезпеки та факторів, що впливають на ступінь страхового ризику.</w:t>
            </w:r>
          </w:p>
        </w:tc>
      </w:tr>
      <w:tr w:rsidR="00F2354C" w:rsidRPr="00F2354C" w:rsidTr="006E03DD">
        <w:tc>
          <w:tcPr>
            <w:tcW w:w="6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5</w:t>
            </w:r>
          </w:p>
        </w:tc>
        <w:tc>
          <w:tcPr>
            <w:tcW w:w="19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AA6D24" w:rsidRDefault="00F2354C" w:rsidP="009918DC">
            <w:pPr>
              <w:widowControl w:val="0"/>
              <w:rPr>
                <w:rFonts w:cs="Times New Roman CYR"/>
                <w:noProof/>
                <w:lang w:val="uk-UA"/>
              </w:rPr>
            </w:pPr>
            <w:r w:rsidRPr="00AA6D24">
              <w:rPr>
                <w:rFonts w:cs="Times New Roman CYR"/>
                <w:noProof/>
                <w:lang w:val="uk-UA"/>
              </w:rPr>
              <w:t>Розмір страхової суми (ліміту відповідальності):</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ind w:left="83" w:right="111"/>
              <w:jc w:val="both"/>
              <w:rPr>
                <w:noProof/>
              </w:rPr>
            </w:pPr>
            <w:r w:rsidRPr="00F2354C">
              <w:rPr>
                <w:noProof/>
              </w:rPr>
              <w:t>Страхова сума по кожному об’єкту підвищеної небезпеки (ліміту відповідальності):</w:t>
            </w:r>
          </w:p>
          <w:p w:rsidR="00F2354C" w:rsidRPr="00F2354C" w:rsidRDefault="00F2354C" w:rsidP="009918DC">
            <w:pPr>
              <w:widowControl w:val="0"/>
              <w:ind w:left="83" w:right="111"/>
              <w:jc w:val="both"/>
              <w:rPr>
                <w:noProof/>
              </w:rPr>
            </w:pPr>
            <w:r w:rsidRPr="00F2354C">
              <w:rPr>
                <w:noProof/>
              </w:rPr>
              <w:t>АЗС-1 (3-тя категорія небезпеки): 24 850 000,00 грн без ПДВ</w:t>
            </w:r>
          </w:p>
          <w:p w:rsidR="00F2354C" w:rsidRPr="00F2354C" w:rsidRDefault="00F2354C" w:rsidP="009918DC">
            <w:pPr>
              <w:widowControl w:val="0"/>
              <w:ind w:left="83" w:right="111"/>
              <w:jc w:val="both"/>
              <w:rPr>
                <w:noProof/>
              </w:rPr>
            </w:pPr>
            <w:r w:rsidRPr="00F2354C">
              <w:rPr>
                <w:noProof/>
              </w:rPr>
              <w:t>АЗС-2 (3-тя категорія небезпеки): 24 850 000,00 грн без ПДВ</w:t>
            </w:r>
          </w:p>
          <w:p w:rsidR="00F2354C" w:rsidRPr="00F2354C" w:rsidRDefault="00F2354C" w:rsidP="009918DC">
            <w:pPr>
              <w:widowControl w:val="0"/>
              <w:ind w:left="83" w:right="111"/>
              <w:jc w:val="both"/>
              <w:rPr>
                <w:noProof/>
              </w:rPr>
            </w:pPr>
            <w:r w:rsidRPr="00F2354C">
              <w:rPr>
                <w:noProof/>
              </w:rPr>
              <w:t>АЗС-3 (3-тя категорія небезпеки): 24 850 000,00 грн без ПДВ</w:t>
            </w:r>
          </w:p>
          <w:p w:rsidR="00F2354C" w:rsidRPr="00F2354C" w:rsidRDefault="00F2354C" w:rsidP="009918DC">
            <w:pPr>
              <w:widowControl w:val="0"/>
              <w:ind w:left="83" w:right="111"/>
              <w:jc w:val="both"/>
              <w:rPr>
                <w:noProof/>
              </w:rPr>
            </w:pPr>
            <w:r w:rsidRPr="00F2354C">
              <w:rPr>
                <w:noProof/>
              </w:rPr>
              <w:t>Склад ПММ: (2-га категорія небезпеки): 31 950 000,00 грн без ПДВ</w:t>
            </w:r>
          </w:p>
          <w:p w:rsidR="00F2354C" w:rsidRPr="00F2354C" w:rsidRDefault="00F2354C" w:rsidP="009918DC">
            <w:pPr>
              <w:widowControl w:val="0"/>
              <w:ind w:left="83" w:right="111"/>
              <w:jc w:val="both"/>
              <w:rPr>
                <w:noProof/>
              </w:rPr>
            </w:pPr>
            <w:r w:rsidRPr="00F2354C">
              <w:rPr>
                <w:noProof/>
              </w:rPr>
              <w:t>Ліміт відповідальності Страховика становить:</w:t>
            </w:r>
          </w:p>
          <w:p w:rsidR="00F2354C" w:rsidRPr="00F2354C" w:rsidRDefault="00F2354C" w:rsidP="009918DC">
            <w:pPr>
              <w:widowControl w:val="0"/>
              <w:ind w:left="83" w:right="111"/>
              <w:jc w:val="both"/>
              <w:rPr>
                <w:noProof/>
              </w:rPr>
            </w:pPr>
            <w:r w:rsidRPr="00F2354C">
              <w:rPr>
                <w:noProof/>
              </w:rPr>
              <w:t>1. за шкоду, заподіяну життю та здоров'ю третіх осіб – 100 % страхової суми, визначеної для кожного об’єкту підвищеної небезпеки;</w:t>
            </w:r>
          </w:p>
          <w:p w:rsidR="00F2354C" w:rsidRPr="00F2354C" w:rsidRDefault="00F2354C" w:rsidP="009918DC">
            <w:pPr>
              <w:widowControl w:val="0"/>
              <w:ind w:left="83" w:right="111"/>
              <w:jc w:val="both"/>
              <w:rPr>
                <w:noProof/>
              </w:rPr>
            </w:pPr>
            <w:r w:rsidRPr="00F2354C">
              <w:rPr>
                <w:noProof/>
              </w:rPr>
              <w:lastRenderedPageBreak/>
              <w:t>2. за шкоду, заподіяну навколишньому природному середовищу – 30% страхової суми для кожного об’єкту підвищеної небезпеки;</w:t>
            </w:r>
          </w:p>
          <w:p w:rsidR="00F2354C" w:rsidRPr="00F2354C" w:rsidRDefault="00F2354C" w:rsidP="009918DC">
            <w:pPr>
              <w:widowControl w:val="0"/>
              <w:ind w:left="83" w:right="111"/>
              <w:jc w:val="both"/>
              <w:rPr>
                <w:i/>
                <w:noProof/>
              </w:rPr>
            </w:pPr>
            <w:r w:rsidRPr="00F2354C">
              <w:rPr>
                <w:noProof/>
              </w:rPr>
              <w:t>3. за шкоду, заподіяну майну третіх осіб – 20% страхової суми для кожного об’єкту підвищеної небезпеки .</w:t>
            </w:r>
          </w:p>
          <w:p w:rsidR="00F2354C" w:rsidRPr="00F2354C" w:rsidRDefault="00F2354C" w:rsidP="009918DC">
            <w:pPr>
              <w:widowControl w:val="0"/>
              <w:ind w:left="83" w:right="111"/>
              <w:jc w:val="both"/>
              <w:rPr>
                <w:i/>
                <w:noProof/>
              </w:rPr>
            </w:pPr>
            <w:r w:rsidRPr="00F2354C">
              <w:rPr>
                <w:noProof/>
              </w:rPr>
              <w:t>Франшиза: не застосовується.</w:t>
            </w:r>
          </w:p>
        </w:tc>
      </w:tr>
      <w:tr w:rsidR="00F2354C" w:rsidRPr="00F2354C" w:rsidTr="006E03DD">
        <w:tc>
          <w:tcPr>
            <w:tcW w:w="6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lastRenderedPageBreak/>
              <w:t>6</w:t>
            </w:r>
          </w:p>
        </w:tc>
        <w:tc>
          <w:tcPr>
            <w:tcW w:w="19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rPr>
                <w:rFonts w:cs="Times New Roman CYR"/>
                <w:noProof/>
              </w:rPr>
            </w:pPr>
            <w:r w:rsidRPr="00F2354C">
              <w:rPr>
                <w:rFonts w:cs="Times New Roman CYR"/>
                <w:noProof/>
              </w:rPr>
              <w:t xml:space="preserve">Об’єкт страхування </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ind w:left="83" w:right="111"/>
              <w:jc w:val="both"/>
              <w:rPr>
                <w:i/>
                <w:noProof/>
              </w:rPr>
            </w:pPr>
            <w:r w:rsidRPr="00F2354C">
              <w:rPr>
                <w:rFonts w:cs="Times New Roman CYR"/>
                <w:noProof/>
              </w:rPr>
              <w:t>відповідальність страхувальника за шкоду, заподіяну потерпілій третій особі або її майну, навколишньому природному середовищу внаслідок надзвичайних ситуацій.</w:t>
            </w:r>
          </w:p>
        </w:tc>
      </w:tr>
      <w:tr w:rsidR="00F2354C" w:rsidRPr="00F2354C" w:rsidTr="006E03DD">
        <w:tc>
          <w:tcPr>
            <w:tcW w:w="6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7</w:t>
            </w:r>
          </w:p>
        </w:tc>
        <w:tc>
          <w:tcPr>
            <w:tcW w:w="19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rPr>
                <w:noProof/>
              </w:rPr>
            </w:pPr>
            <w:r w:rsidRPr="00F2354C">
              <w:rPr>
                <w:noProof/>
              </w:rPr>
              <w:t>Страховий випадок</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ind w:left="83" w:right="111"/>
              <w:jc w:val="both"/>
              <w:rPr>
                <w:noProof/>
              </w:rPr>
            </w:pPr>
            <w:r w:rsidRPr="00F2354C">
              <w:rPr>
                <w:noProof/>
              </w:rPr>
              <w:t>є подія, ризик виникнення якої застрахований, з настанням якої виникає обов’язок страховика здійснити страхову виплату, а саме: заподіяння потерпілим третім особам, включаючи шкоду навколишньому природному середовищу, шкоди, відповідальність за відшкодування якої несе страхувальник, внаслідок надзвичайної ситуації.</w:t>
            </w:r>
          </w:p>
        </w:tc>
      </w:tr>
      <w:tr w:rsidR="00F2354C" w:rsidRPr="00F2354C" w:rsidTr="006E03DD">
        <w:tc>
          <w:tcPr>
            <w:tcW w:w="62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suppressAutoHyphens/>
              <w:rPr>
                <w:noProof/>
                <w:lang w:val="uk-UA"/>
              </w:rPr>
            </w:pPr>
            <w:r w:rsidRPr="00F2354C">
              <w:rPr>
                <w:noProof/>
                <w:lang w:val="uk-UA"/>
              </w:rPr>
              <w:t>8</w:t>
            </w:r>
          </w:p>
        </w:tc>
        <w:tc>
          <w:tcPr>
            <w:tcW w:w="19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rPr>
                <w:rFonts w:cs="Times New Roman CYR"/>
                <w:noProof/>
              </w:rPr>
            </w:pPr>
            <w:r w:rsidRPr="00F2354C">
              <w:rPr>
                <w:noProof/>
              </w:rPr>
              <w:t xml:space="preserve">Страховий ризик (ризик, пов’язаний з об’єктом страхування (умови надання послуг), на випадок виникнення яких проводиться страхування) </w:t>
            </w:r>
          </w:p>
        </w:tc>
        <w:tc>
          <w:tcPr>
            <w:tcW w:w="77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2354C" w:rsidRPr="00F2354C" w:rsidRDefault="00F2354C" w:rsidP="009918DC">
            <w:pPr>
              <w:widowControl w:val="0"/>
              <w:ind w:left="83" w:right="111"/>
              <w:jc w:val="both"/>
              <w:rPr>
                <w:noProof/>
              </w:rPr>
            </w:pPr>
            <w:r w:rsidRPr="00F2354C">
              <w:rPr>
                <w:noProof/>
              </w:rPr>
              <w:t>надзвичайна ситуація, у тому числі пожежа та аварія на об'єкті страхування, екологічно небезпечна аварія та надзвичайна ситуація техногенного та природного характеру, аварія, що становить загрозу санітарному чи епідемічному здоров'ю населення, проведення робіт із запобігання чи ліквідації наслідків пожежі або іншої надзвичайної ситуації.</w:t>
            </w:r>
          </w:p>
          <w:p w:rsidR="00F2354C" w:rsidRPr="00F2354C" w:rsidRDefault="00F2354C" w:rsidP="009918DC">
            <w:pPr>
              <w:widowControl w:val="0"/>
              <w:ind w:left="83" w:right="111"/>
              <w:jc w:val="both"/>
              <w:rPr>
                <w:i/>
                <w:noProof/>
              </w:rPr>
            </w:pPr>
            <w:r w:rsidRPr="00F2354C">
              <w:rPr>
                <w:noProof/>
              </w:rPr>
              <w:t>Шкода, заподіяна Потерпілим особам, їх майну або навколишньому середовищу внаслідок аварії, що сталася на об'єкті підвищеної небезпеки, відшкодовується незалежно від вини суб'єкта господарської діяльності, у володінні або у користуванні якого перебуває об'єкт підвищеної небезпеки, крім випадків, коли аварія на об'єкті підвищеної небезпеки виникла внаслідок непереборної сили або умислу потерпілого</w:t>
            </w:r>
          </w:p>
        </w:tc>
      </w:tr>
    </w:tbl>
    <w:p w:rsidR="006F428D" w:rsidRPr="007101A5" w:rsidRDefault="006F428D" w:rsidP="00F2354C">
      <w:pPr>
        <w:rPr>
          <w:b/>
          <w:lang w:val="uk-UA"/>
        </w:rPr>
      </w:pPr>
    </w:p>
    <w:sectPr w:rsidR="006F428D" w:rsidRPr="007101A5" w:rsidSect="00F318CA">
      <w:headerReference w:type="even" r:id="rId10"/>
      <w:headerReference w:type="default" r:id="rId11"/>
      <w:footerReference w:type="default" r:id="rId12"/>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37B" w:rsidRDefault="0065437B">
      <w:r>
        <w:separator/>
      </w:r>
    </w:p>
  </w:endnote>
  <w:endnote w:type="continuationSeparator" w:id="0">
    <w:p w:rsidR="0065437B" w:rsidRDefault="006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E7" w:rsidRPr="00A256E7" w:rsidRDefault="00153012"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6C1C4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DF359E">
      <w:rPr>
        <w:sz w:val="20"/>
        <w:szCs w:val="20"/>
        <w:lang w:val="uk-UA"/>
      </w:rPr>
      <w:t>Страхування відповідальності на випадок надзвичайних ситуаці</w:t>
    </w:r>
    <w:r w:rsidR="009C6048">
      <w:rPr>
        <w:sz w:val="20"/>
        <w:szCs w:val="20"/>
        <w:lang w:val="uk-UA"/>
      </w:rPr>
      <w:t>й</w:t>
    </w:r>
    <w:r w:rsidR="00DF359E">
      <w:rPr>
        <w:sz w:val="20"/>
        <w:szCs w:val="20"/>
        <w:lang w:val="uk-UA"/>
      </w:rPr>
      <w:t xml:space="preserve"> на об’єктах підвищеної небезпеки, код ДК 021:2015 - 66510000-8 - Страхові послуги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AA6D24">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AA6D24">
      <w:rPr>
        <w:bCs/>
        <w:noProof/>
        <w:sz w:val="20"/>
        <w:szCs w:val="20"/>
      </w:rPr>
      <w:t>4</w:t>
    </w:r>
    <w:r w:rsidRPr="00354DF7">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37B" w:rsidRDefault="0065437B">
      <w:r>
        <w:separator/>
      </w:r>
    </w:p>
  </w:footnote>
  <w:footnote w:type="continuationSeparator" w:id="0">
    <w:p w:rsidR="0065437B" w:rsidRDefault="00654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46" w:rsidRDefault="00317C4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7C46" w:rsidRDefault="00317C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92" w:rsidRPr="003C4B6B" w:rsidRDefault="00153012" w:rsidP="00A3681A">
    <w:pPr>
      <w:pStyle w:val="a8"/>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B2426C6"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577D9F" w:rsidRPr="003C4B6B">
      <w:rPr>
        <w:sz w:val="20"/>
        <w:szCs w:val="20"/>
        <w:lang w:val="uk-UA"/>
      </w:rPr>
      <w:t>обґрунтування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0A3"/>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012"/>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3C1"/>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77D9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5437B"/>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03DD"/>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9B8"/>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304"/>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39A7"/>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48"/>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A6D2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670"/>
    <w:rsid w:val="00CB6FDA"/>
    <w:rsid w:val="00CC03B2"/>
    <w:rsid w:val="00CC074C"/>
    <w:rsid w:val="00CC0B29"/>
    <w:rsid w:val="00CC62C5"/>
    <w:rsid w:val="00CD0BDA"/>
    <w:rsid w:val="00CD599A"/>
    <w:rsid w:val="00CD66ED"/>
    <w:rsid w:val="00CD76F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359E"/>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54C"/>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11">
    <w:name w:val="Название1"/>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4">
    <w:name w:val="footer"/>
    <w:basedOn w:val="a"/>
    <w:link w:val="a5"/>
    <w:pPr>
      <w:tabs>
        <w:tab w:val="center" w:pos="4153"/>
        <w:tab w:val="right" w:pos="8306"/>
      </w:tabs>
    </w:pPr>
    <w:rPr>
      <w:szCs w:val="20"/>
      <w:lang w:val="en-GB"/>
    </w:rPr>
  </w:style>
  <w:style w:type="paragraph" w:styleId="a6">
    <w:name w:val="Body Text Indent"/>
    <w:basedOn w:val="a"/>
    <w:pPr>
      <w:ind w:left="360"/>
      <w:jc w:val="both"/>
    </w:pPr>
    <w:rPr>
      <w:b/>
      <w:bCs/>
      <w:i/>
      <w:iCs/>
      <w:lang w:val="uk-UA"/>
    </w:rPr>
  </w:style>
  <w:style w:type="paragraph" w:styleId="a7">
    <w:name w:val="Balloon Text"/>
    <w:basedOn w:val="a"/>
    <w:semiHidden/>
    <w:rPr>
      <w:rFonts w:ascii="Tahoma" w:hAnsi="Tahoma" w:cs="Tahoma"/>
      <w:sz w:val="16"/>
      <w:szCs w:val="16"/>
    </w:rPr>
  </w:style>
  <w:style w:type="paragraph" w:styleId="a8">
    <w:name w:val="header"/>
    <w:basedOn w:val="a"/>
    <w:link w:val="a9"/>
    <w:pPr>
      <w:tabs>
        <w:tab w:val="center" w:pos="4677"/>
        <w:tab w:val="right" w:pos="9355"/>
      </w:tabs>
    </w:pPr>
  </w:style>
  <w:style w:type="character" w:styleId="aa">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b">
    <w:name w:val="Знак Знак Знак Знак"/>
    <w:basedOn w:val="a"/>
    <w:rsid w:val="00BC2FDE"/>
    <w:rPr>
      <w:rFonts w:ascii="Verdana" w:hAnsi="Verdana"/>
      <w:sz w:val="20"/>
      <w:szCs w:val="20"/>
      <w:lang w:val="en-US" w:eastAsia="en-US"/>
    </w:rPr>
  </w:style>
  <w:style w:type="paragraph" w:customStyle="1" w:styleId="ac">
    <w:name w:val="Знак"/>
    <w:basedOn w:val="a"/>
    <w:rsid w:val="00462D5F"/>
    <w:rPr>
      <w:rFonts w:ascii="Verdana" w:hAnsi="Verdana" w:cs="Verdana"/>
      <w:sz w:val="20"/>
      <w:szCs w:val="20"/>
      <w:lang w:val="en-US" w:eastAsia="en-US"/>
    </w:rPr>
  </w:style>
  <w:style w:type="character" w:styleId="ad">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e">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0D3C06"/>
    <w:rPr>
      <w:rFonts w:ascii="Verdana" w:hAnsi="Verdana"/>
      <w:sz w:val="20"/>
      <w:szCs w:val="20"/>
      <w:lang w:val="en-US" w:eastAsia="en-US"/>
    </w:rPr>
  </w:style>
  <w:style w:type="paragraph" w:customStyle="1" w:styleId="110">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0">
    <w:name w:val="a"/>
    <w:basedOn w:val="a"/>
    <w:rsid w:val="00FA38BF"/>
    <w:pPr>
      <w:spacing w:before="100" w:beforeAutospacing="1" w:after="100" w:afterAutospacing="1"/>
    </w:pPr>
  </w:style>
  <w:style w:type="paragraph" w:customStyle="1" w:styleId="af1">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5">
    <w:name w:val="Нижний колонтитул Знак"/>
    <w:link w:val="a4"/>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2">
    <w:name w:val="Знак Знак Знак Знак Знак Знак"/>
    <w:basedOn w:val="a"/>
    <w:rsid w:val="003F120E"/>
    <w:rPr>
      <w:rFonts w:ascii="Verdana" w:hAnsi="Verdana" w:cs="Verdana"/>
      <w:sz w:val="20"/>
      <w:szCs w:val="20"/>
      <w:lang w:val="en-US" w:eastAsia="en-US"/>
    </w:rPr>
  </w:style>
  <w:style w:type="paragraph" w:styleId="af3">
    <w:name w:val="Normal (Web)"/>
    <w:basedOn w:val="a"/>
    <w:rsid w:val="00285D88"/>
    <w:pPr>
      <w:spacing w:before="100" w:beforeAutospacing="1" w:after="100" w:afterAutospacing="1"/>
    </w:pPr>
    <w:rPr>
      <w:lang w:val="uk-UA" w:eastAsia="uk-UA"/>
    </w:rPr>
  </w:style>
  <w:style w:type="paragraph" w:styleId="af4">
    <w:name w:val="List Paragraph"/>
    <w:basedOn w:val="a"/>
    <w:link w:val="af5"/>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6">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9">
    <w:name w:val="Верхний колонтитул Знак"/>
    <w:link w:val="a8"/>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5">
    <w:name w:val="Абзац списка Знак"/>
    <w:link w:val="af4"/>
    <w:uiPriority w:val="34"/>
    <w:locked/>
    <w:rsid w:val="006F0757"/>
    <w:rPr>
      <w:rFonts w:ascii="Calibri" w:eastAsia="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11">
    <w:name w:val="Название1"/>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4">
    <w:name w:val="footer"/>
    <w:basedOn w:val="a"/>
    <w:link w:val="a5"/>
    <w:pPr>
      <w:tabs>
        <w:tab w:val="center" w:pos="4153"/>
        <w:tab w:val="right" w:pos="8306"/>
      </w:tabs>
    </w:pPr>
    <w:rPr>
      <w:szCs w:val="20"/>
      <w:lang w:val="en-GB"/>
    </w:rPr>
  </w:style>
  <w:style w:type="paragraph" w:styleId="a6">
    <w:name w:val="Body Text Indent"/>
    <w:basedOn w:val="a"/>
    <w:pPr>
      <w:ind w:left="360"/>
      <w:jc w:val="both"/>
    </w:pPr>
    <w:rPr>
      <w:b/>
      <w:bCs/>
      <w:i/>
      <w:iCs/>
      <w:lang w:val="uk-UA"/>
    </w:rPr>
  </w:style>
  <w:style w:type="paragraph" w:styleId="a7">
    <w:name w:val="Balloon Text"/>
    <w:basedOn w:val="a"/>
    <w:semiHidden/>
    <w:rPr>
      <w:rFonts w:ascii="Tahoma" w:hAnsi="Tahoma" w:cs="Tahoma"/>
      <w:sz w:val="16"/>
      <w:szCs w:val="16"/>
    </w:rPr>
  </w:style>
  <w:style w:type="paragraph" w:styleId="a8">
    <w:name w:val="header"/>
    <w:basedOn w:val="a"/>
    <w:link w:val="a9"/>
    <w:pPr>
      <w:tabs>
        <w:tab w:val="center" w:pos="4677"/>
        <w:tab w:val="right" w:pos="9355"/>
      </w:tabs>
    </w:pPr>
  </w:style>
  <w:style w:type="character" w:styleId="aa">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b">
    <w:name w:val="Знак Знак Знак Знак"/>
    <w:basedOn w:val="a"/>
    <w:rsid w:val="00BC2FDE"/>
    <w:rPr>
      <w:rFonts w:ascii="Verdana" w:hAnsi="Verdana"/>
      <w:sz w:val="20"/>
      <w:szCs w:val="20"/>
      <w:lang w:val="en-US" w:eastAsia="en-US"/>
    </w:rPr>
  </w:style>
  <w:style w:type="paragraph" w:customStyle="1" w:styleId="ac">
    <w:name w:val="Знак"/>
    <w:basedOn w:val="a"/>
    <w:rsid w:val="00462D5F"/>
    <w:rPr>
      <w:rFonts w:ascii="Verdana" w:hAnsi="Verdana" w:cs="Verdana"/>
      <w:sz w:val="20"/>
      <w:szCs w:val="20"/>
      <w:lang w:val="en-US" w:eastAsia="en-US"/>
    </w:rPr>
  </w:style>
  <w:style w:type="character" w:styleId="ad">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e">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0D3C06"/>
    <w:rPr>
      <w:rFonts w:ascii="Verdana" w:hAnsi="Verdana"/>
      <w:sz w:val="20"/>
      <w:szCs w:val="20"/>
      <w:lang w:val="en-US" w:eastAsia="en-US"/>
    </w:rPr>
  </w:style>
  <w:style w:type="paragraph" w:customStyle="1" w:styleId="110">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0">
    <w:name w:val="a"/>
    <w:basedOn w:val="a"/>
    <w:rsid w:val="00FA38BF"/>
    <w:pPr>
      <w:spacing w:before="100" w:beforeAutospacing="1" w:after="100" w:afterAutospacing="1"/>
    </w:pPr>
  </w:style>
  <w:style w:type="paragraph" w:customStyle="1" w:styleId="af1">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5">
    <w:name w:val="Нижний колонтитул Знак"/>
    <w:link w:val="a4"/>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2">
    <w:name w:val="Знак Знак Знак Знак Знак Знак"/>
    <w:basedOn w:val="a"/>
    <w:rsid w:val="003F120E"/>
    <w:rPr>
      <w:rFonts w:ascii="Verdana" w:hAnsi="Verdana" w:cs="Verdana"/>
      <w:sz w:val="20"/>
      <w:szCs w:val="20"/>
      <w:lang w:val="en-US" w:eastAsia="en-US"/>
    </w:rPr>
  </w:style>
  <w:style w:type="paragraph" w:styleId="af3">
    <w:name w:val="Normal (Web)"/>
    <w:basedOn w:val="a"/>
    <w:rsid w:val="00285D88"/>
    <w:pPr>
      <w:spacing w:before="100" w:beforeAutospacing="1" w:after="100" w:afterAutospacing="1"/>
    </w:pPr>
    <w:rPr>
      <w:lang w:val="uk-UA" w:eastAsia="uk-UA"/>
    </w:rPr>
  </w:style>
  <w:style w:type="paragraph" w:styleId="af4">
    <w:name w:val="List Paragraph"/>
    <w:basedOn w:val="a"/>
    <w:link w:val="af5"/>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6">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9">
    <w:name w:val="Верхний колонтитул Знак"/>
    <w:link w:val="a8"/>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5">
    <w:name w:val="Абзац списка Знак"/>
    <w:link w:val="af4"/>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E40E-15A5-413F-A4C9-E5426F15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6010</Words>
  <Characters>3427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Airport Boryspil</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User</cp:lastModifiedBy>
  <cp:revision>11</cp:revision>
  <cp:lastPrinted>2021-11-17T09:02:00Z</cp:lastPrinted>
  <dcterms:created xsi:type="dcterms:W3CDTF">2024-08-06T07:56:00Z</dcterms:created>
  <dcterms:modified xsi:type="dcterms:W3CDTF">2024-08-09T08:29:00Z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