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35" w:type="dxa"/>
        <w:tblLook w:val="01E0" w:firstRow="1" w:lastRow="1" w:firstColumn="1" w:lastColumn="1" w:noHBand="0" w:noVBand="0"/>
      </w:tblPr>
      <w:tblGrid>
        <w:gridCol w:w="4683"/>
        <w:gridCol w:w="11052"/>
      </w:tblGrid>
      <w:tr w:rsidR="006C2B90" w:rsidRPr="007101A5" w:rsidTr="006C2B90">
        <w:tc>
          <w:tcPr>
            <w:tcW w:w="4683" w:type="dxa"/>
          </w:tcPr>
          <w:p w:rsidR="006C2B90" w:rsidRPr="007101A5" w:rsidRDefault="006C2B90" w:rsidP="006926A0">
            <w:pPr>
              <w:pStyle w:val="a3"/>
              <w:widowControl w:val="0"/>
              <w:rPr>
                <w:szCs w:val="17"/>
                <w:lang w:val="uk-UA"/>
              </w:rPr>
            </w:pPr>
            <w:r>
              <w:rPr>
                <w:noProof/>
                <w:lang w:val="ru-RU"/>
              </w:rPr>
              <w:drawing>
                <wp:inline distT="0" distB="0" distL="0" distR="0" wp14:anchorId="0F01B375" wp14:editId="4F4E4514">
                  <wp:extent cx="1446530" cy="28829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8290"/>
                          </a:xfrm>
                          <a:prstGeom prst="rect">
                            <a:avLst/>
                          </a:prstGeom>
                          <a:noFill/>
                          <a:ln>
                            <a:noFill/>
                          </a:ln>
                        </pic:spPr>
                      </pic:pic>
                    </a:graphicData>
                  </a:graphic>
                </wp:inline>
              </w:drawing>
            </w:r>
          </w:p>
        </w:tc>
        <w:tc>
          <w:tcPr>
            <w:tcW w:w="11052" w:type="dxa"/>
          </w:tcPr>
          <w:p w:rsidR="006C2B90" w:rsidRPr="007101A5" w:rsidRDefault="006C2B9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rsidR="006C2B90" w:rsidRPr="007101A5" w:rsidRDefault="006C2B9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rsidR="006C2B90" w:rsidRPr="007101A5" w:rsidRDefault="006C2B90" w:rsidP="006926A0">
            <w:pPr>
              <w:widowControl w:val="0"/>
              <w:autoSpaceDE w:val="0"/>
              <w:autoSpaceDN w:val="0"/>
              <w:adjustRightInd w:val="0"/>
              <w:rPr>
                <w:lang w:val="uk-UA"/>
              </w:rPr>
            </w:pPr>
            <w:r w:rsidRPr="007101A5">
              <w:rPr>
                <w:lang w:val="uk-UA"/>
              </w:rPr>
              <w:t xml:space="preserve">08300, Україна, Київська обл., Бориспільський район, село Гора, вулиця Бориспіль -7, код 20572069, </w:t>
            </w:r>
          </w:p>
          <w:p w:rsidR="006C2B90" w:rsidRPr="007101A5" w:rsidRDefault="006C2B90" w:rsidP="006926A0">
            <w:pPr>
              <w:pStyle w:val="4"/>
              <w:keepNext w:val="0"/>
              <w:widowControl w:val="0"/>
              <w:ind w:left="0"/>
              <w:jc w:val="left"/>
            </w:pPr>
            <w:r w:rsidRPr="007101A5">
              <w:rPr>
                <w:b w:val="0"/>
                <w:color w:val="00000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7101A5">
              <w:rPr>
                <w:color w:val="000000"/>
              </w:rPr>
              <w:t>»</w:t>
            </w:r>
          </w:p>
        </w:tc>
      </w:tr>
      <w:tr w:rsidR="0084017E" w:rsidRPr="007101A5" w:rsidTr="006C2B90">
        <w:tc>
          <w:tcPr>
            <w:tcW w:w="15735" w:type="dxa"/>
            <w:gridSpan w:val="2"/>
          </w:tcPr>
          <w:p w:rsidR="0084017E" w:rsidRPr="007101A5" w:rsidRDefault="0084017E" w:rsidP="007D7B6F">
            <w:pPr>
              <w:pStyle w:val="1"/>
              <w:keepNext w:val="0"/>
              <w:widowControl w:val="0"/>
              <w:rPr>
                <w:sz w:val="28"/>
                <w:szCs w:val="28"/>
              </w:rPr>
            </w:pPr>
          </w:p>
          <w:p w:rsidR="0084017E" w:rsidRPr="007101A5" w:rsidRDefault="0084017E"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rsidR="009F35DC" w:rsidRPr="007101A5" w:rsidRDefault="003C4B6B" w:rsidP="0084017E">
      <w:pPr>
        <w:pStyle w:val="a3"/>
        <w:widowControl w:val="0"/>
        <w:jc w:val="both"/>
        <w:rPr>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992"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96"/>
        <w:gridCol w:w="4685"/>
        <w:gridCol w:w="2908"/>
        <w:gridCol w:w="3687"/>
        <w:gridCol w:w="2873"/>
      </w:tblGrid>
      <w:tr w:rsidR="00A76484" w:rsidRPr="007101A5" w:rsidTr="006C2B90">
        <w:tc>
          <w:tcPr>
            <w:tcW w:w="478"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497"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29" w:type="pct"/>
            <w:shd w:val="clear" w:color="auto" w:fill="DEEAF6"/>
          </w:tcPr>
          <w:p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78" w:type="pct"/>
            <w:shd w:val="clear" w:color="auto" w:fill="DEEAF6"/>
          </w:tcPr>
          <w:p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18" w:type="pct"/>
            <w:shd w:val="clear" w:color="auto" w:fill="DEEAF6"/>
          </w:tcPr>
          <w:p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rsidTr="006C2B90">
        <w:tc>
          <w:tcPr>
            <w:tcW w:w="478" w:type="pct"/>
          </w:tcPr>
          <w:p w:rsidR="00A76484" w:rsidRPr="006C2B90" w:rsidRDefault="004072F7" w:rsidP="0084017E">
            <w:pPr>
              <w:widowControl w:val="0"/>
              <w:ind w:right="-11"/>
              <w:jc w:val="center"/>
              <w:rPr>
                <w:sz w:val="22"/>
                <w:szCs w:val="22"/>
                <w:lang w:val="uk-UA" w:eastAsia="uk-UA"/>
              </w:rPr>
            </w:pPr>
            <w:r w:rsidRPr="006C2B90">
              <w:rPr>
                <w:sz w:val="22"/>
                <w:szCs w:val="22"/>
                <w:lang w:val="uk-UA"/>
              </w:rPr>
              <w:t>п.</w:t>
            </w:r>
            <w:r w:rsidR="00A76484" w:rsidRPr="006C2B90">
              <w:rPr>
                <w:sz w:val="22"/>
                <w:szCs w:val="22"/>
                <w:lang w:val="uk-UA"/>
              </w:rPr>
              <w:t xml:space="preserve"> </w:t>
            </w:r>
            <w:r w:rsidR="00816C59" w:rsidRPr="006C2B90">
              <w:rPr>
                <w:sz w:val="22"/>
                <w:szCs w:val="22"/>
                <w:lang w:val="uk-UA"/>
              </w:rPr>
              <w:t xml:space="preserve">23.08 </w:t>
            </w:r>
            <w:r w:rsidR="00BD6E95" w:rsidRPr="006C2B90">
              <w:rPr>
                <w:sz w:val="22"/>
                <w:szCs w:val="22"/>
                <w:lang w:val="uk-UA" w:eastAsia="uk-UA"/>
              </w:rPr>
              <w:t>(202</w:t>
            </w:r>
            <w:r w:rsidR="005469FD" w:rsidRPr="006C2B90">
              <w:rPr>
                <w:sz w:val="22"/>
                <w:szCs w:val="22"/>
                <w:lang w:val="uk-UA" w:eastAsia="uk-UA"/>
              </w:rPr>
              <w:t>4</w:t>
            </w:r>
            <w:r w:rsidR="00A76484" w:rsidRPr="006C2B90">
              <w:rPr>
                <w:sz w:val="22"/>
                <w:szCs w:val="22"/>
                <w:lang w:val="uk-UA" w:eastAsia="uk-UA"/>
              </w:rPr>
              <w:t>)</w:t>
            </w:r>
          </w:p>
        </w:tc>
        <w:tc>
          <w:tcPr>
            <w:tcW w:w="1497" w:type="pct"/>
          </w:tcPr>
          <w:p w:rsidR="006C2B90" w:rsidRDefault="00816C59" w:rsidP="00A12478">
            <w:pPr>
              <w:widowControl w:val="0"/>
              <w:rPr>
                <w:b/>
                <w:sz w:val="22"/>
                <w:szCs w:val="22"/>
                <w:lang w:val="uk-UA"/>
              </w:rPr>
            </w:pPr>
            <w:r w:rsidRPr="006C2B90">
              <w:rPr>
                <w:b/>
                <w:sz w:val="22"/>
                <w:szCs w:val="22"/>
                <w:lang w:val="uk-UA"/>
              </w:rPr>
              <w:t xml:space="preserve">Послуги зв’язку з мережею Інтернет,  </w:t>
            </w:r>
          </w:p>
          <w:p w:rsidR="00A76484" w:rsidRPr="006C2B90" w:rsidRDefault="00816C59" w:rsidP="00A12478">
            <w:pPr>
              <w:widowControl w:val="0"/>
              <w:rPr>
                <w:bCs/>
                <w:sz w:val="22"/>
                <w:szCs w:val="22"/>
                <w:lang w:val="uk-UA"/>
              </w:rPr>
            </w:pPr>
            <w:r w:rsidRPr="006C2B90">
              <w:rPr>
                <w:sz w:val="22"/>
                <w:szCs w:val="22"/>
                <w:lang w:val="uk-UA"/>
              </w:rPr>
              <w:t>код ДК 021:2015 - 72410000-7 - Послуги провайдерів</w:t>
            </w:r>
            <w:r w:rsidRPr="006C2B90">
              <w:rPr>
                <w:b/>
                <w:sz w:val="22"/>
                <w:szCs w:val="22"/>
                <w:lang w:val="uk-UA"/>
              </w:rPr>
              <w:t xml:space="preserve"> </w:t>
            </w:r>
          </w:p>
        </w:tc>
        <w:tc>
          <w:tcPr>
            <w:tcW w:w="929" w:type="pct"/>
          </w:tcPr>
          <w:p w:rsidR="00A76484" w:rsidRPr="006C2B90" w:rsidRDefault="00816C59" w:rsidP="006C2B90">
            <w:pPr>
              <w:widowControl w:val="0"/>
              <w:jc w:val="center"/>
              <w:rPr>
                <w:sz w:val="22"/>
                <w:szCs w:val="22"/>
                <w:lang w:val="uk-UA"/>
              </w:rPr>
            </w:pPr>
            <w:r w:rsidRPr="006C2B90">
              <w:rPr>
                <w:sz w:val="22"/>
                <w:szCs w:val="22"/>
                <w:lang w:val="uk-UA"/>
              </w:rPr>
              <w:t>582 456,24</w:t>
            </w:r>
            <w:r w:rsidR="00A76484" w:rsidRPr="006C2B90">
              <w:rPr>
                <w:sz w:val="22"/>
                <w:szCs w:val="22"/>
                <w:lang w:val="uk-UA"/>
              </w:rPr>
              <w:t xml:space="preserve"> грн. з ПДВ</w:t>
            </w:r>
          </w:p>
        </w:tc>
        <w:tc>
          <w:tcPr>
            <w:tcW w:w="1178" w:type="pct"/>
          </w:tcPr>
          <w:p w:rsidR="00A76484" w:rsidRPr="007101A5" w:rsidRDefault="006C2B90" w:rsidP="006C2B90">
            <w:pPr>
              <w:widowControl w:val="0"/>
              <w:jc w:val="center"/>
              <w:rPr>
                <w:sz w:val="22"/>
                <w:szCs w:val="22"/>
                <w:lang w:val="uk-UA"/>
              </w:rPr>
            </w:pPr>
            <w:r w:rsidRPr="006C2B90">
              <w:rPr>
                <w:sz w:val="22"/>
                <w:szCs w:val="22"/>
                <w:lang w:val="uk-UA"/>
              </w:rPr>
              <w:t>485 380,20</w:t>
            </w:r>
            <w:r>
              <w:rPr>
                <w:sz w:val="22"/>
                <w:szCs w:val="22"/>
                <w:lang w:val="uk-UA"/>
              </w:rPr>
              <w:t xml:space="preserve"> </w:t>
            </w:r>
            <w:r w:rsidR="00A76484" w:rsidRPr="007101A5">
              <w:rPr>
                <w:sz w:val="22"/>
                <w:szCs w:val="22"/>
                <w:lang w:val="uk-UA"/>
              </w:rPr>
              <w:t xml:space="preserve">грн. без ПДВ </w:t>
            </w:r>
          </w:p>
        </w:tc>
        <w:tc>
          <w:tcPr>
            <w:tcW w:w="918" w:type="pct"/>
          </w:tcPr>
          <w:p w:rsidR="00A76484" w:rsidRPr="007101A5" w:rsidRDefault="00E72860" w:rsidP="002D4D30">
            <w:pPr>
              <w:widowControl w:val="0"/>
              <w:jc w:val="center"/>
              <w:rPr>
                <w:color w:val="0000FF"/>
                <w:sz w:val="22"/>
                <w:szCs w:val="22"/>
                <w:lang w:val="uk-UA"/>
              </w:rPr>
            </w:pPr>
            <w:r w:rsidRPr="00E72860">
              <w:rPr>
                <w:b/>
                <w:sz w:val="22"/>
                <w:szCs w:val="22"/>
                <w:lang w:val="uk-UA"/>
              </w:rPr>
              <w:t>UA-2024-10-24-009031-a</w:t>
            </w:r>
            <w:bookmarkStart w:id="0" w:name="_GoBack"/>
            <w:bookmarkEnd w:id="0"/>
          </w:p>
        </w:tc>
      </w:tr>
    </w:tbl>
    <w:p w:rsidR="00A355EA" w:rsidRPr="006C2B90" w:rsidRDefault="00A355EA" w:rsidP="00C62708">
      <w:pPr>
        <w:widowControl w:val="0"/>
        <w:shd w:val="clear" w:color="auto" w:fill="DEEAF6"/>
        <w:jc w:val="center"/>
        <w:rPr>
          <w:lang w:val="uk-UA"/>
        </w:rPr>
      </w:pPr>
      <w:r w:rsidRPr="006C2B90">
        <w:rPr>
          <w:b/>
          <w:lang w:val="uk-UA"/>
        </w:rPr>
        <w:t>Обґрунтування на виконання вимог Постанови КМУ від 11.10.2016 № 710:</w:t>
      </w:r>
    </w:p>
    <w:tbl>
      <w:tblPr>
        <w:tblW w:w="15554"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4587"/>
        <w:gridCol w:w="10541"/>
      </w:tblGrid>
      <w:tr w:rsidR="00CF3369" w:rsidRPr="007101A5" w:rsidTr="006C2B90">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F3369" w:rsidRPr="006C2B90" w:rsidRDefault="00CF3369" w:rsidP="00CF3369">
            <w:pPr>
              <w:rPr>
                <w:lang w:val="uk-UA"/>
              </w:rPr>
            </w:pPr>
            <w:r w:rsidRPr="006C2B90">
              <w:rPr>
                <w:lang w:val="uk-UA"/>
              </w:rPr>
              <w:t>1</w:t>
            </w:r>
          </w:p>
        </w:tc>
        <w:tc>
          <w:tcPr>
            <w:tcW w:w="45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F3369" w:rsidRPr="006C2B90" w:rsidRDefault="00CF3369" w:rsidP="00CF3369">
            <w:pPr>
              <w:rPr>
                <w:noProof/>
                <w:lang w:val="uk-UA"/>
              </w:rPr>
            </w:pPr>
            <w:r w:rsidRPr="006C2B90">
              <w:rPr>
                <w:noProof/>
                <w:lang w:val="uk-UA"/>
              </w:rPr>
              <w:t>Обґрунтування очікуваної вартості предмета закупівлі</w:t>
            </w:r>
          </w:p>
        </w:tc>
        <w:tc>
          <w:tcPr>
            <w:tcW w:w="10541"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F3369" w:rsidRPr="006C2B90" w:rsidRDefault="00CF3369" w:rsidP="00CF3369">
            <w:pPr>
              <w:widowControl w:val="0"/>
              <w:jc w:val="both"/>
              <w:rPr>
                <w:noProof/>
                <w:lang w:val="uk-UA"/>
              </w:rPr>
            </w:pPr>
            <w:r w:rsidRPr="006C2B90">
              <w:rPr>
                <w:noProof/>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та відповідно до затвердженої на підприємстві методики №50-06-1</w:t>
            </w:r>
          </w:p>
          <w:p w:rsidR="00CF3369" w:rsidRPr="006C2B90" w:rsidRDefault="00CF3369" w:rsidP="00CF3369">
            <w:pPr>
              <w:widowControl w:val="0"/>
              <w:jc w:val="both"/>
              <w:rPr>
                <w:noProof/>
                <w:lang w:val="uk-UA"/>
              </w:rPr>
            </w:pPr>
            <w:r w:rsidRPr="006C2B90">
              <w:rPr>
                <w:noProof/>
                <w:lang w:val="uk-UA"/>
              </w:rPr>
              <w:t>від 17.05.2022. Очікувана вартість предмета закупівлі визначена методом порівняння ринкових цін на підставі отриманих комерційних пропозицій. Очікувану вартість закупівлі розраховано, як середньоарифметичне значення масиву отриманих даних.</w:t>
            </w:r>
          </w:p>
        </w:tc>
      </w:tr>
      <w:tr w:rsidR="00CF3369" w:rsidRPr="007101A5" w:rsidTr="006C2B90">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F3369" w:rsidRPr="007101A5" w:rsidRDefault="00CF3369" w:rsidP="00CF3369">
            <w:pPr>
              <w:rPr>
                <w:lang w:val="uk-UA"/>
              </w:rPr>
            </w:pPr>
            <w:r>
              <w:rPr>
                <w:lang w:val="uk-UA"/>
              </w:rPr>
              <w:t>2</w:t>
            </w:r>
          </w:p>
        </w:tc>
        <w:tc>
          <w:tcPr>
            <w:tcW w:w="45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F3369" w:rsidRPr="006C2B90" w:rsidRDefault="00CF3369" w:rsidP="00CF3369">
            <w:pPr>
              <w:rPr>
                <w:noProof/>
                <w:lang w:val="uk-UA"/>
              </w:rPr>
            </w:pPr>
            <w:r w:rsidRPr="006C2B90">
              <w:rPr>
                <w:noProof/>
                <w:lang w:val="uk-UA"/>
              </w:rPr>
              <w:t>Обґрунтування технічних та якісних характеристик предмета закупівлі</w:t>
            </w:r>
          </w:p>
        </w:tc>
        <w:tc>
          <w:tcPr>
            <w:tcW w:w="10541"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CF3369" w:rsidRPr="006C2B90" w:rsidRDefault="00CF3369" w:rsidP="00CF3369">
            <w:pPr>
              <w:widowControl w:val="0"/>
              <w:jc w:val="both"/>
              <w:rPr>
                <w:noProof/>
                <w:lang w:val="uk-UA"/>
              </w:rPr>
            </w:pPr>
            <w:r w:rsidRPr="006C2B90">
              <w:rPr>
                <w:noProof/>
                <w:lang w:val="uk-UA"/>
              </w:rPr>
              <w:t>Технічні та якісні характеристики предмета закупівлі визначені з урахуванням реальних потреб</w:t>
            </w:r>
          </w:p>
          <w:p w:rsidR="00CF3369" w:rsidRPr="006C2B90" w:rsidRDefault="00CF3369" w:rsidP="00CF3369">
            <w:pPr>
              <w:widowControl w:val="0"/>
              <w:jc w:val="both"/>
              <w:rPr>
                <w:i/>
                <w:noProof/>
                <w:lang w:val="uk-UA"/>
              </w:rPr>
            </w:pPr>
            <w:r w:rsidRPr="006C2B90">
              <w:rPr>
                <w:noProof/>
                <w:lang w:val="uk-UA"/>
              </w:rPr>
              <w:t>підприємства та оптимального співвідношення ціни та якості.</w:t>
            </w:r>
          </w:p>
        </w:tc>
      </w:tr>
      <w:tr w:rsidR="006F428D" w:rsidRPr="007101A5" w:rsidTr="006C2B90">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7101A5" w:rsidRDefault="006F428D" w:rsidP="00C62708">
            <w:pPr>
              <w:rPr>
                <w:bCs/>
                <w:lang w:val="uk-UA"/>
              </w:rPr>
            </w:pPr>
            <w:r w:rsidRPr="007101A5">
              <w:rPr>
                <w:bCs/>
                <w:lang w:val="uk-UA"/>
              </w:rPr>
              <w:t>3</w:t>
            </w:r>
          </w:p>
        </w:tc>
        <w:tc>
          <w:tcPr>
            <w:tcW w:w="45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6F428D" w:rsidRPr="006C2B90" w:rsidRDefault="006F428D" w:rsidP="00C62708">
            <w:pPr>
              <w:rPr>
                <w:noProof/>
                <w:lang w:val="uk-UA"/>
              </w:rPr>
            </w:pPr>
            <w:r w:rsidRPr="006C2B90">
              <w:rPr>
                <w:noProof/>
                <w:lang w:val="uk-UA"/>
              </w:rPr>
              <w:t>Інша інформація</w:t>
            </w:r>
          </w:p>
        </w:tc>
        <w:tc>
          <w:tcPr>
            <w:tcW w:w="10541"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rsidR="0084017E" w:rsidRPr="006C2B90" w:rsidRDefault="0084017E" w:rsidP="0084017E">
            <w:pPr>
              <w:rPr>
                <w:noProof/>
                <w:lang w:val="uk-UA"/>
              </w:rPr>
            </w:pPr>
            <w:r w:rsidRPr="006C2B90">
              <w:rPr>
                <w:noProof/>
                <w:lang w:val="uk-UA"/>
              </w:rPr>
              <w:t>Відповідно до «Положення про порядок визначення очікуваної вартості предмета закупівлі»., визначення очікуваної вартості виконано методом порівняння ринкових цін на підставі отриманих цінових пропозицій.</w:t>
            </w:r>
          </w:p>
          <w:p w:rsidR="0084017E" w:rsidRPr="006C2B90" w:rsidRDefault="0084017E" w:rsidP="0084017E">
            <w:pPr>
              <w:rPr>
                <w:noProof/>
                <w:lang w:val="uk-UA"/>
              </w:rPr>
            </w:pPr>
            <w:r w:rsidRPr="006C2B90">
              <w:rPr>
                <w:noProof/>
                <w:lang w:val="uk-UA"/>
              </w:rPr>
              <w:t>перелік потенційних постачальників, яким направлялись запити цінових пропозицій:</w:t>
            </w:r>
          </w:p>
          <w:p w:rsidR="0084017E" w:rsidRPr="006C2B90" w:rsidRDefault="0084017E" w:rsidP="0084017E">
            <w:pPr>
              <w:rPr>
                <w:noProof/>
                <w:lang w:val="uk-UA"/>
              </w:rPr>
            </w:pPr>
            <w:r w:rsidRPr="006C2B90">
              <w:rPr>
                <w:noProof/>
                <w:lang w:val="uk-UA"/>
              </w:rPr>
              <w:t>ПрАТ "ТЕЛЕСИСТЕМИ УКРАЇНИ" krutskih@people.net.ua</w:t>
            </w:r>
          </w:p>
          <w:p w:rsidR="0084017E" w:rsidRPr="006C2B90" w:rsidRDefault="0084017E" w:rsidP="0084017E">
            <w:pPr>
              <w:rPr>
                <w:noProof/>
                <w:lang w:val="uk-UA"/>
              </w:rPr>
            </w:pPr>
            <w:r w:rsidRPr="006C2B90">
              <w:rPr>
                <w:noProof/>
                <w:lang w:val="uk-UA"/>
              </w:rPr>
              <w:t>ТОВ "Глобальні комунікації" info@triangulum.ua</w:t>
            </w:r>
          </w:p>
          <w:p w:rsidR="0084017E" w:rsidRPr="006C2B90" w:rsidRDefault="0084017E" w:rsidP="0084017E">
            <w:pPr>
              <w:rPr>
                <w:noProof/>
                <w:lang w:val="uk-UA"/>
              </w:rPr>
            </w:pPr>
            <w:r w:rsidRPr="006C2B90">
              <w:rPr>
                <w:noProof/>
                <w:lang w:val="uk-UA"/>
              </w:rPr>
              <w:t xml:space="preserve"> ТОВ "ОРІОН СІТІ" office@or.net.ua</w:t>
            </w:r>
          </w:p>
          <w:p w:rsidR="0084017E" w:rsidRPr="006C2B90" w:rsidRDefault="0084017E" w:rsidP="0084017E">
            <w:pPr>
              <w:rPr>
                <w:noProof/>
                <w:lang w:val="uk-UA"/>
              </w:rPr>
            </w:pPr>
            <w:r w:rsidRPr="006C2B90">
              <w:rPr>
                <w:noProof/>
                <w:lang w:val="uk-UA"/>
              </w:rPr>
              <w:t>ТОВ "Т.Е.С.Т» info@triacom.ua</w:t>
            </w:r>
          </w:p>
          <w:p w:rsidR="006F428D" w:rsidRPr="006C2B90" w:rsidRDefault="0084017E" w:rsidP="0084017E">
            <w:pPr>
              <w:rPr>
                <w:i/>
                <w:noProof/>
                <w:lang w:val="uk-UA"/>
              </w:rPr>
            </w:pPr>
            <w:r w:rsidRPr="006C2B90">
              <w:rPr>
                <w:noProof/>
                <w:lang w:val="uk-UA"/>
              </w:rPr>
              <w:t>ПрАТ "Датагруп" Aleksandr.Mikolenko@datagroup.ua</w:t>
            </w:r>
          </w:p>
        </w:tc>
      </w:tr>
    </w:tbl>
    <w:p w:rsidR="006926A0" w:rsidRPr="007101A5" w:rsidRDefault="006926A0" w:rsidP="006C2B90">
      <w:pPr>
        <w:jc w:val="both"/>
        <w:rPr>
          <w:sz w:val="28"/>
          <w:szCs w:val="28"/>
          <w:lang w:val="uk-UA"/>
        </w:rPr>
      </w:pPr>
      <w:r w:rsidRPr="007101A5">
        <w:rPr>
          <w:sz w:val="28"/>
          <w:szCs w:val="28"/>
          <w:lang w:val="uk-UA"/>
        </w:rPr>
        <w:lastRenderedPageBreak/>
        <w:t>Враховуючи зазначене, замовник прийняв рішення стосовно застосування таких характеристик предмета закупівлі:</w:t>
      </w:r>
    </w:p>
    <w:tbl>
      <w:tblPr>
        <w:tblW w:w="156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3974"/>
        <w:gridCol w:w="1202"/>
        <w:gridCol w:w="1202"/>
        <w:gridCol w:w="8518"/>
      </w:tblGrid>
      <w:tr w:rsidR="006C2B90" w:rsidRPr="00735527" w:rsidTr="006C2B90">
        <w:trPr>
          <w:trHeight w:val="363"/>
        </w:trPr>
        <w:tc>
          <w:tcPr>
            <w:tcW w:w="713" w:type="dxa"/>
            <w:tcBorders>
              <w:top w:val="single" w:sz="4" w:space="0" w:color="auto"/>
              <w:left w:val="single" w:sz="4" w:space="0" w:color="auto"/>
              <w:right w:val="single" w:sz="4" w:space="0" w:color="auto"/>
            </w:tcBorders>
            <w:shd w:val="clear" w:color="auto" w:fill="D9E2F3"/>
          </w:tcPr>
          <w:p w:rsidR="006C2B90" w:rsidRPr="00735527" w:rsidRDefault="006C2B90" w:rsidP="008B535B">
            <w:pPr>
              <w:widowControl w:val="0"/>
              <w:rPr>
                <w:noProof/>
                <w:lang w:val="uk-UA"/>
              </w:rPr>
            </w:pPr>
            <w:r w:rsidRPr="00735527">
              <w:rPr>
                <w:noProof/>
                <w:lang w:val="uk-UA"/>
              </w:rPr>
              <w:t>№ п/п</w:t>
            </w:r>
          </w:p>
        </w:tc>
        <w:tc>
          <w:tcPr>
            <w:tcW w:w="3974" w:type="dxa"/>
            <w:tcBorders>
              <w:top w:val="single" w:sz="4" w:space="0" w:color="auto"/>
              <w:left w:val="single" w:sz="4" w:space="0" w:color="auto"/>
              <w:right w:val="single" w:sz="4" w:space="0" w:color="auto"/>
            </w:tcBorders>
            <w:shd w:val="clear" w:color="auto" w:fill="D9E2F3"/>
          </w:tcPr>
          <w:p w:rsidR="006C2B90" w:rsidRPr="00735527" w:rsidRDefault="006C2B90" w:rsidP="008B535B">
            <w:pPr>
              <w:widowControl w:val="0"/>
              <w:jc w:val="center"/>
              <w:rPr>
                <w:bCs/>
                <w:noProof/>
                <w:snapToGrid w:val="0"/>
                <w:lang w:val="uk-UA"/>
              </w:rPr>
            </w:pPr>
            <w:r w:rsidRPr="00735527">
              <w:rPr>
                <w:noProof/>
                <w:lang w:val="uk-UA"/>
              </w:rPr>
              <w:t>Найменування послуги</w:t>
            </w:r>
          </w:p>
        </w:tc>
        <w:tc>
          <w:tcPr>
            <w:tcW w:w="1202" w:type="dxa"/>
            <w:tcBorders>
              <w:top w:val="single" w:sz="4" w:space="0" w:color="auto"/>
              <w:left w:val="single" w:sz="4" w:space="0" w:color="auto"/>
              <w:right w:val="single" w:sz="4" w:space="0" w:color="auto"/>
            </w:tcBorders>
            <w:shd w:val="clear" w:color="auto" w:fill="D9E2F3"/>
          </w:tcPr>
          <w:p w:rsidR="006C2B90" w:rsidRPr="00735527" w:rsidRDefault="006C2B90" w:rsidP="008B535B">
            <w:pPr>
              <w:widowControl w:val="0"/>
              <w:jc w:val="center"/>
              <w:rPr>
                <w:noProof/>
                <w:lang w:val="uk-UA"/>
              </w:rPr>
            </w:pPr>
            <w:r w:rsidRPr="00735527">
              <w:rPr>
                <w:noProof/>
                <w:lang w:val="uk-UA"/>
              </w:rPr>
              <w:t>Одиниця</w:t>
            </w:r>
          </w:p>
          <w:p w:rsidR="006C2B90" w:rsidRPr="00735527" w:rsidRDefault="006C2B90" w:rsidP="008B535B">
            <w:pPr>
              <w:widowControl w:val="0"/>
              <w:jc w:val="center"/>
              <w:rPr>
                <w:noProof/>
                <w:lang w:val="uk-UA"/>
              </w:rPr>
            </w:pPr>
            <w:r w:rsidRPr="00735527">
              <w:rPr>
                <w:noProof/>
                <w:lang w:val="uk-UA"/>
              </w:rPr>
              <w:t>виміру</w:t>
            </w:r>
          </w:p>
        </w:tc>
        <w:tc>
          <w:tcPr>
            <w:tcW w:w="1202" w:type="dxa"/>
            <w:tcBorders>
              <w:top w:val="single" w:sz="4" w:space="0" w:color="auto"/>
              <w:left w:val="single" w:sz="4" w:space="0" w:color="auto"/>
              <w:right w:val="single" w:sz="4" w:space="0" w:color="auto"/>
            </w:tcBorders>
            <w:shd w:val="clear" w:color="auto" w:fill="D9E2F3"/>
          </w:tcPr>
          <w:p w:rsidR="006C2B90" w:rsidRPr="00735527" w:rsidRDefault="006C2B90" w:rsidP="008B535B">
            <w:pPr>
              <w:widowControl w:val="0"/>
              <w:jc w:val="center"/>
              <w:rPr>
                <w:noProof/>
                <w:lang w:val="uk-UA"/>
              </w:rPr>
            </w:pPr>
            <w:r w:rsidRPr="00735527">
              <w:rPr>
                <w:noProof/>
                <w:lang w:val="uk-UA"/>
              </w:rPr>
              <w:t>Кількість</w:t>
            </w:r>
          </w:p>
        </w:tc>
        <w:tc>
          <w:tcPr>
            <w:tcW w:w="8518" w:type="dxa"/>
            <w:tcBorders>
              <w:top w:val="single" w:sz="4" w:space="0" w:color="auto"/>
              <w:left w:val="single" w:sz="4" w:space="0" w:color="auto"/>
              <w:right w:val="single" w:sz="4" w:space="0" w:color="auto"/>
            </w:tcBorders>
            <w:shd w:val="clear" w:color="auto" w:fill="D9E2F3"/>
          </w:tcPr>
          <w:p w:rsidR="006C2B90" w:rsidRPr="00735527" w:rsidRDefault="006C2B90" w:rsidP="008B535B">
            <w:pPr>
              <w:widowControl w:val="0"/>
              <w:jc w:val="center"/>
              <w:rPr>
                <w:i/>
                <w:noProof/>
                <w:lang w:val="uk-UA"/>
              </w:rPr>
            </w:pPr>
            <w:r w:rsidRPr="00735527">
              <w:rPr>
                <w:noProof/>
                <w:lang w:val="uk-UA"/>
              </w:rPr>
              <w:t>Технічні та якісні характеристики предмета закупівлі</w:t>
            </w:r>
          </w:p>
        </w:tc>
      </w:tr>
      <w:tr w:rsidR="006C2B90" w:rsidRPr="00735527" w:rsidTr="006C2B90">
        <w:trPr>
          <w:trHeight w:val="145"/>
        </w:trPr>
        <w:tc>
          <w:tcPr>
            <w:tcW w:w="713" w:type="dxa"/>
            <w:tcBorders>
              <w:top w:val="single" w:sz="4" w:space="0" w:color="auto"/>
              <w:left w:val="single" w:sz="4" w:space="0" w:color="auto"/>
              <w:bottom w:val="single" w:sz="4" w:space="0" w:color="auto"/>
              <w:right w:val="single" w:sz="4" w:space="0" w:color="auto"/>
            </w:tcBorders>
            <w:shd w:val="clear" w:color="auto" w:fill="auto"/>
          </w:tcPr>
          <w:p w:rsidR="006C2B90" w:rsidRPr="00735527" w:rsidRDefault="006C2B90" w:rsidP="008B535B">
            <w:pPr>
              <w:widowControl w:val="0"/>
              <w:rPr>
                <w:noProof/>
                <w:lang w:val="uk-UA"/>
              </w:rPr>
            </w:pPr>
            <w:r w:rsidRPr="00735527">
              <w:rPr>
                <w:noProof/>
                <w:lang w:val="uk-UA"/>
              </w:rPr>
              <w:t>1</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6C2B90" w:rsidRPr="00735527" w:rsidRDefault="006C2B90" w:rsidP="008B535B">
            <w:pPr>
              <w:widowControl w:val="0"/>
              <w:rPr>
                <w:noProof/>
                <w:lang w:val="uk-UA"/>
              </w:rPr>
            </w:pPr>
            <w:r w:rsidRPr="00735527">
              <w:rPr>
                <w:noProof/>
                <w:lang w:val="uk-UA"/>
              </w:rPr>
              <w:t>Послуга з підтримки зареєстрованої автономної системи (AS60990)</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6C2B90" w:rsidRPr="00735527" w:rsidRDefault="006C2B90" w:rsidP="008B535B">
            <w:pPr>
              <w:widowControl w:val="0"/>
              <w:jc w:val="center"/>
              <w:rPr>
                <w:noProof/>
                <w:lang w:val="uk-UA"/>
              </w:rPr>
            </w:pPr>
            <w:r w:rsidRPr="00735527">
              <w:rPr>
                <w:noProof/>
                <w:lang w:val="uk-UA"/>
              </w:rPr>
              <w:t>послуга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6C2B90" w:rsidRPr="00735527" w:rsidRDefault="006C2B90" w:rsidP="008B535B">
            <w:pPr>
              <w:widowControl w:val="0"/>
              <w:jc w:val="center"/>
              <w:rPr>
                <w:noProof/>
                <w:lang w:val="uk-UA"/>
              </w:rPr>
            </w:pPr>
            <w:r w:rsidRPr="00735527">
              <w:rPr>
                <w:noProof/>
                <w:lang w:val="uk-UA"/>
              </w:rPr>
              <w:t>1</w:t>
            </w:r>
          </w:p>
        </w:tc>
        <w:tc>
          <w:tcPr>
            <w:tcW w:w="8518" w:type="dxa"/>
            <w:tcBorders>
              <w:top w:val="single" w:sz="4" w:space="0" w:color="auto"/>
              <w:left w:val="single" w:sz="4" w:space="0" w:color="auto"/>
              <w:bottom w:val="single" w:sz="4" w:space="0" w:color="auto"/>
              <w:right w:val="single" w:sz="4" w:space="0" w:color="auto"/>
            </w:tcBorders>
            <w:shd w:val="clear" w:color="auto" w:fill="auto"/>
          </w:tcPr>
          <w:p w:rsidR="006C2B90" w:rsidRPr="00735527" w:rsidRDefault="006C2B90" w:rsidP="008B535B">
            <w:pPr>
              <w:widowControl w:val="0"/>
              <w:rPr>
                <w:noProof/>
                <w:lang w:val="uk-UA"/>
              </w:rPr>
            </w:pPr>
            <w:r w:rsidRPr="00735527">
              <w:rPr>
                <w:noProof/>
                <w:lang w:val="uk-UA"/>
              </w:rPr>
              <w:t>підтримка зареєстрованої автономної системи (AS60990);</w:t>
            </w:r>
          </w:p>
          <w:p w:rsidR="006C2B90" w:rsidRPr="00735527" w:rsidRDefault="006C2B90" w:rsidP="008B535B">
            <w:pPr>
              <w:widowControl w:val="0"/>
              <w:rPr>
                <w:noProof/>
                <w:highlight w:val="yellow"/>
                <w:lang w:val="uk-UA"/>
              </w:rPr>
            </w:pPr>
            <w:r w:rsidRPr="00735527">
              <w:rPr>
                <w:noProof/>
                <w:lang w:val="uk-UA"/>
              </w:rPr>
              <w:t>період підтримки 36 місяців</w:t>
            </w:r>
          </w:p>
        </w:tc>
      </w:tr>
      <w:tr w:rsidR="006C2B90" w:rsidRPr="00735527" w:rsidTr="006C2B90">
        <w:trPr>
          <w:trHeight w:val="145"/>
        </w:trPr>
        <w:tc>
          <w:tcPr>
            <w:tcW w:w="713" w:type="dxa"/>
            <w:tcBorders>
              <w:top w:val="single" w:sz="4" w:space="0" w:color="auto"/>
              <w:left w:val="single" w:sz="4" w:space="0" w:color="auto"/>
              <w:bottom w:val="single" w:sz="4" w:space="0" w:color="auto"/>
              <w:right w:val="single" w:sz="4" w:space="0" w:color="auto"/>
            </w:tcBorders>
            <w:shd w:val="clear" w:color="auto" w:fill="auto"/>
          </w:tcPr>
          <w:p w:rsidR="006C2B90" w:rsidRPr="00735527" w:rsidRDefault="006C2B90" w:rsidP="008B535B">
            <w:pPr>
              <w:widowControl w:val="0"/>
              <w:rPr>
                <w:noProof/>
                <w:lang w:val="uk-UA"/>
              </w:rPr>
            </w:pPr>
            <w:r w:rsidRPr="00735527">
              <w:rPr>
                <w:noProof/>
                <w:lang w:val="uk-UA"/>
              </w:rPr>
              <w:t>2</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6C2B90" w:rsidRPr="00735527" w:rsidRDefault="006C2B90" w:rsidP="008B535B">
            <w:pPr>
              <w:widowControl w:val="0"/>
              <w:rPr>
                <w:noProof/>
                <w:lang w:val="uk-UA"/>
              </w:rPr>
            </w:pPr>
            <w:r w:rsidRPr="00735527">
              <w:rPr>
                <w:noProof/>
                <w:lang w:val="uk-UA"/>
              </w:rPr>
              <w:t>Послуга з реєстрації блоку IP адрес (ІР v4) за маскою /24 (256 адрес)</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6C2B90" w:rsidRPr="00735527" w:rsidRDefault="006C2B90" w:rsidP="008B535B">
            <w:pPr>
              <w:widowControl w:val="0"/>
              <w:jc w:val="center"/>
              <w:rPr>
                <w:noProof/>
                <w:lang w:val="uk-UA"/>
              </w:rPr>
            </w:pPr>
            <w:r w:rsidRPr="00735527">
              <w:rPr>
                <w:noProof/>
                <w:lang w:val="uk-UA"/>
              </w:rPr>
              <w:t>послуга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6C2B90" w:rsidRPr="00735527" w:rsidRDefault="006C2B90" w:rsidP="008B535B">
            <w:pPr>
              <w:widowControl w:val="0"/>
              <w:jc w:val="center"/>
              <w:rPr>
                <w:noProof/>
                <w:lang w:val="uk-UA"/>
              </w:rPr>
            </w:pPr>
            <w:r w:rsidRPr="00735527">
              <w:rPr>
                <w:noProof/>
                <w:lang w:val="uk-UA"/>
              </w:rPr>
              <w:t>1</w:t>
            </w:r>
          </w:p>
        </w:tc>
        <w:tc>
          <w:tcPr>
            <w:tcW w:w="8518" w:type="dxa"/>
            <w:vMerge w:val="restart"/>
            <w:tcBorders>
              <w:top w:val="single" w:sz="4" w:space="0" w:color="auto"/>
              <w:left w:val="single" w:sz="4" w:space="0" w:color="auto"/>
              <w:right w:val="single" w:sz="4" w:space="0" w:color="auto"/>
            </w:tcBorders>
            <w:shd w:val="clear" w:color="auto" w:fill="auto"/>
          </w:tcPr>
          <w:p w:rsidR="006C2B90" w:rsidRPr="00735527" w:rsidRDefault="006C2B90" w:rsidP="008B535B">
            <w:pPr>
              <w:widowControl w:val="0"/>
              <w:rPr>
                <w:noProof/>
                <w:lang w:val="uk-UA"/>
              </w:rPr>
            </w:pPr>
            <w:r w:rsidRPr="00735527">
              <w:rPr>
                <w:noProof/>
                <w:lang w:val="uk-UA"/>
              </w:rPr>
              <w:t>реєстрація та підтримка блоку IP адрес (ІР v4) за маскою /24 (256 адрес);</w:t>
            </w:r>
          </w:p>
          <w:p w:rsidR="006C2B90" w:rsidRPr="00735527" w:rsidRDefault="006C2B90" w:rsidP="008B535B">
            <w:pPr>
              <w:widowControl w:val="0"/>
              <w:rPr>
                <w:noProof/>
                <w:highlight w:val="yellow"/>
                <w:lang w:val="uk-UA"/>
              </w:rPr>
            </w:pPr>
            <w:r w:rsidRPr="00735527">
              <w:rPr>
                <w:noProof/>
                <w:lang w:val="uk-UA"/>
              </w:rPr>
              <w:t>період підтримки 36 місяців</w:t>
            </w:r>
          </w:p>
        </w:tc>
      </w:tr>
      <w:tr w:rsidR="006C2B90" w:rsidRPr="00735527" w:rsidTr="006C2B90">
        <w:trPr>
          <w:trHeight w:val="145"/>
        </w:trPr>
        <w:tc>
          <w:tcPr>
            <w:tcW w:w="713" w:type="dxa"/>
            <w:tcBorders>
              <w:top w:val="single" w:sz="4" w:space="0" w:color="auto"/>
              <w:left w:val="single" w:sz="4" w:space="0" w:color="auto"/>
              <w:bottom w:val="single" w:sz="4" w:space="0" w:color="auto"/>
              <w:right w:val="single" w:sz="4" w:space="0" w:color="auto"/>
            </w:tcBorders>
            <w:shd w:val="clear" w:color="auto" w:fill="auto"/>
          </w:tcPr>
          <w:p w:rsidR="006C2B90" w:rsidRPr="00735527" w:rsidRDefault="006C2B90" w:rsidP="008B535B">
            <w:pPr>
              <w:widowControl w:val="0"/>
              <w:rPr>
                <w:noProof/>
                <w:lang w:val="uk-UA"/>
              </w:rPr>
            </w:pPr>
            <w:r w:rsidRPr="00735527">
              <w:rPr>
                <w:noProof/>
                <w:lang w:val="uk-UA"/>
              </w:rPr>
              <w:t>3</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6C2B90" w:rsidRPr="00735527" w:rsidRDefault="006C2B90" w:rsidP="008B535B">
            <w:pPr>
              <w:widowControl w:val="0"/>
              <w:rPr>
                <w:noProof/>
                <w:lang w:val="uk-UA"/>
              </w:rPr>
            </w:pPr>
            <w:r w:rsidRPr="00735527">
              <w:rPr>
                <w:noProof/>
                <w:lang w:val="uk-UA"/>
              </w:rPr>
              <w:t>Послуга з підтримки блоку IP адрес (ІР v4) за маскою /24 (256 адрес)</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6C2B90" w:rsidRPr="00735527" w:rsidRDefault="006C2B90" w:rsidP="008B535B">
            <w:pPr>
              <w:widowControl w:val="0"/>
              <w:jc w:val="center"/>
              <w:rPr>
                <w:noProof/>
                <w:lang w:val="uk-UA"/>
              </w:rPr>
            </w:pPr>
            <w:r w:rsidRPr="00735527">
              <w:rPr>
                <w:noProof/>
                <w:lang w:val="uk-UA"/>
              </w:rPr>
              <w:t>послуга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6C2B90" w:rsidRPr="00735527" w:rsidRDefault="006C2B90" w:rsidP="008B535B">
            <w:pPr>
              <w:widowControl w:val="0"/>
              <w:jc w:val="center"/>
              <w:rPr>
                <w:noProof/>
                <w:lang w:val="uk-UA"/>
              </w:rPr>
            </w:pPr>
            <w:r w:rsidRPr="00735527">
              <w:rPr>
                <w:noProof/>
                <w:lang w:val="uk-UA"/>
              </w:rPr>
              <w:t>36</w:t>
            </w:r>
          </w:p>
        </w:tc>
        <w:tc>
          <w:tcPr>
            <w:tcW w:w="8518" w:type="dxa"/>
            <w:vMerge/>
            <w:tcBorders>
              <w:left w:val="single" w:sz="4" w:space="0" w:color="auto"/>
              <w:bottom w:val="single" w:sz="4" w:space="0" w:color="auto"/>
              <w:right w:val="single" w:sz="4" w:space="0" w:color="auto"/>
            </w:tcBorders>
            <w:shd w:val="clear" w:color="auto" w:fill="auto"/>
          </w:tcPr>
          <w:p w:rsidR="006C2B90" w:rsidRPr="00735527" w:rsidRDefault="006C2B90" w:rsidP="008B535B">
            <w:pPr>
              <w:widowControl w:val="0"/>
              <w:jc w:val="center"/>
              <w:rPr>
                <w:i/>
                <w:noProof/>
                <w:highlight w:val="yellow"/>
                <w:lang w:val="uk-UA"/>
              </w:rPr>
            </w:pPr>
          </w:p>
        </w:tc>
      </w:tr>
      <w:tr w:rsidR="00417AA2" w:rsidRPr="00735527" w:rsidTr="008F2B73">
        <w:trPr>
          <w:trHeight w:val="983"/>
        </w:trPr>
        <w:tc>
          <w:tcPr>
            <w:tcW w:w="713" w:type="dxa"/>
            <w:tcBorders>
              <w:top w:val="single" w:sz="4" w:space="0" w:color="auto"/>
              <w:left w:val="single" w:sz="4" w:space="0" w:color="auto"/>
              <w:bottom w:val="single" w:sz="4" w:space="0" w:color="auto"/>
              <w:right w:val="single" w:sz="4" w:space="0" w:color="auto"/>
            </w:tcBorders>
            <w:shd w:val="clear" w:color="auto" w:fill="auto"/>
          </w:tcPr>
          <w:p w:rsidR="00417AA2" w:rsidRPr="00735527" w:rsidRDefault="00417AA2" w:rsidP="008B535B">
            <w:pPr>
              <w:widowControl w:val="0"/>
              <w:rPr>
                <w:noProof/>
                <w:lang w:val="uk-UA"/>
              </w:rPr>
            </w:pPr>
            <w:r w:rsidRPr="00735527">
              <w:rPr>
                <w:noProof/>
                <w:lang w:val="uk-UA"/>
              </w:rPr>
              <w:t>4</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417AA2" w:rsidRPr="00735527" w:rsidRDefault="00417AA2" w:rsidP="008B535B">
            <w:pPr>
              <w:widowControl w:val="0"/>
              <w:rPr>
                <w:noProof/>
                <w:lang w:val="uk-UA"/>
              </w:rPr>
            </w:pPr>
            <w:r w:rsidRPr="00735527">
              <w:rPr>
                <w:noProof/>
                <w:lang w:val="uk-UA"/>
              </w:rPr>
              <w:t>Підключення каналу доступу до мережі Інтернет 1000 Мбіт/с до Інтернет ресурсів</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17AA2" w:rsidRPr="00735527" w:rsidRDefault="00417AA2" w:rsidP="008B535B">
            <w:pPr>
              <w:widowControl w:val="0"/>
              <w:jc w:val="center"/>
              <w:rPr>
                <w:noProof/>
                <w:lang w:val="uk-UA"/>
              </w:rPr>
            </w:pPr>
            <w:r w:rsidRPr="00735527">
              <w:rPr>
                <w:noProof/>
                <w:lang w:val="uk-UA"/>
              </w:rPr>
              <w:t>послуга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417AA2" w:rsidRPr="00735527" w:rsidRDefault="00417AA2" w:rsidP="008B535B">
            <w:pPr>
              <w:widowControl w:val="0"/>
              <w:jc w:val="center"/>
              <w:rPr>
                <w:noProof/>
                <w:lang w:val="uk-UA"/>
              </w:rPr>
            </w:pPr>
            <w:r w:rsidRPr="00735527">
              <w:rPr>
                <w:noProof/>
                <w:lang w:val="uk-UA"/>
              </w:rPr>
              <w:t>1</w:t>
            </w:r>
          </w:p>
        </w:tc>
        <w:tc>
          <w:tcPr>
            <w:tcW w:w="8518" w:type="dxa"/>
            <w:vMerge w:val="restart"/>
            <w:tcBorders>
              <w:top w:val="single" w:sz="4" w:space="0" w:color="auto"/>
              <w:left w:val="single" w:sz="4" w:space="0" w:color="auto"/>
              <w:right w:val="single" w:sz="4" w:space="0" w:color="auto"/>
            </w:tcBorders>
            <w:shd w:val="clear" w:color="auto" w:fill="auto"/>
          </w:tcPr>
          <w:p w:rsidR="00417AA2" w:rsidRPr="00735527" w:rsidRDefault="00417AA2" w:rsidP="008B535B">
            <w:pPr>
              <w:widowControl w:val="0"/>
              <w:autoSpaceDE w:val="0"/>
              <w:autoSpaceDN w:val="0"/>
              <w:adjustRightInd w:val="0"/>
              <w:rPr>
                <w:bCs/>
                <w:noProof/>
                <w:lang w:val="uk-UA" w:eastAsia="uk-UA"/>
              </w:rPr>
            </w:pPr>
            <w:r w:rsidRPr="00735527">
              <w:rPr>
                <w:bCs/>
                <w:noProof/>
                <w:lang w:val="uk-UA" w:eastAsia="uk-UA"/>
              </w:rPr>
              <w:t>Канал доступу до мережі Інтернет (канал №1):</w:t>
            </w:r>
          </w:p>
          <w:p w:rsidR="00417AA2" w:rsidRPr="00735527" w:rsidRDefault="00417AA2" w:rsidP="006C2B90">
            <w:pPr>
              <w:widowControl w:val="0"/>
              <w:numPr>
                <w:ilvl w:val="0"/>
                <w:numId w:val="26"/>
              </w:numPr>
              <w:autoSpaceDE w:val="0"/>
              <w:autoSpaceDN w:val="0"/>
              <w:adjustRightInd w:val="0"/>
              <w:ind w:left="461"/>
              <w:contextualSpacing/>
              <w:rPr>
                <w:noProof/>
                <w:lang w:val="uk-UA" w:eastAsia="uk-UA"/>
              </w:rPr>
            </w:pPr>
            <w:r w:rsidRPr="00735527">
              <w:rPr>
                <w:noProof/>
                <w:lang w:val="uk-UA" w:eastAsia="uk-UA"/>
              </w:rPr>
              <w:t>швидкість прийому/передачі по каналу: 1000 Мбіт/с до Інтернет ресурсів;</w:t>
            </w:r>
          </w:p>
          <w:p w:rsidR="00417AA2" w:rsidRPr="00735527" w:rsidRDefault="00417AA2" w:rsidP="006C2B90">
            <w:pPr>
              <w:widowControl w:val="0"/>
              <w:numPr>
                <w:ilvl w:val="0"/>
                <w:numId w:val="26"/>
              </w:numPr>
              <w:autoSpaceDE w:val="0"/>
              <w:autoSpaceDN w:val="0"/>
              <w:adjustRightInd w:val="0"/>
              <w:ind w:left="461"/>
              <w:contextualSpacing/>
              <w:rPr>
                <w:noProof/>
                <w:lang w:val="uk-UA" w:eastAsia="uk-UA"/>
              </w:rPr>
            </w:pPr>
            <w:r w:rsidRPr="00735527">
              <w:rPr>
                <w:noProof/>
                <w:lang w:val="uk-UA" w:eastAsia="uk-UA"/>
              </w:rPr>
              <w:t>доступ по каналу – без обмеження трафіку;</w:t>
            </w:r>
          </w:p>
          <w:p w:rsidR="00417AA2" w:rsidRPr="00735527" w:rsidRDefault="00417AA2" w:rsidP="006C2B90">
            <w:pPr>
              <w:widowControl w:val="0"/>
              <w:numPr>
                <w:ilvl w:val="0"/>
                <w:numId w:val="26"/>
              </w:numPr>
              <w:autoSpaceDE w:val="0"/>
              <w:autoSpaceDN w:val="0"/>
              <w:adjustRightInd w:val="0"/>
              <w:ind w:left="461"/>
              <w:contextualSpacing/>
              <w:rPr>
                <w:noProof/>
                <w:lang w:val="uk-UA" w:eastAsia="uk-UA"/>
              </w:rPr>
            </w:pPr>
            <w:r w:rsidRPr="00735527">
              <w:rPr>
                <w:noProof/>
                <w:lang w:val="uk-UA" w:eastAsia="uk-UA"/>
              </w:rPr>
              <w:t xml:space="preserve">тип каналу – волоконно-оптичний; </w:t>
            </w:r>
          </w:p>
          <w:p w:rsidR="00417AA2" w:rsidRPr="00735527" w:rsidRDefault="00417AA2" w:rsidP="006C2B90">
            <w:pPr>
              <w:widowControl w:val="0"/>
              <w:numPr>
                <w:ilvl w:val="0"/>
                <w:numId w:val="26"/>
              </w:numPr>
              <w:autoSpaceDE w:val="0"/>
              <w:autoSpaceDN w:val="0"/>
              <w:adjustRightInd w:val="0"/>
              <w:ind w:left="179"/>
              <w:contextualSpacing/>
              <w:rPr>
                <w:noProof/>
                <w:lang w:val="uk-UA" w:eastAsia="uk-UA"/>
              </w:rPr>
            </w:pPr>
            <w:r w:rsidRPr="00735527">
              <w:rPr>
                <w:noProof/>
                <w:lang w:val="uk-UA" w:eastAsia="uk-UA"/>
              </w:rPr>
              <w:t>організація Оператором доступу до мережі Інтернет на власній волоконно-оптичній лінії зв’язку до місця з’єднання з телекомунікаційним обладнанням Замовника;</w:t>
            </w:r>
          </w:p>
          <w:p w:rsidR="00417AA2" w:rsidRPr="00735527" w:rsidRDefault="00417AA2" w:rsidP="006C2B90">
            <w:pPr>
              <w:widowControl w:val="0"/>
              <w:numPr>
                <w:ilvl w:val="0"/>
                <w:numId w:val="26"/>
              </w:numPr>
              <w:autoSpaceDE w:val="0"/>
              <w:autoSpaceDN w:val="0"/>
              <w:adjustRightInd w:val="0"/>
              <w:ind w:left="461"/>
              <w:contextualSpacing/>
              <w:rPr>
                <w:noProof/>
                <w:lang w:val="uk-UA" w:eastAsia="uk-UA"/>
              </w:rPr>
            </w:pPr>
            <w:r w:rsidRPr="00735527">
              <w:rPr>
                <w:noProof/>
                <w:lang w:val="uk-UA" w:eastAsia="uk-UA"/>
              </w:rPr>
              <w:t>інтерфейс підключення каналу – Gigabit Ethernet (1000Base-LX/SX);</w:t>
            </w:r>
          </w:p>
          <w:p w:rsidR="00417AA2" w:rsidRPr="00735527" w:rsidRDefault="00417AA2" w:rsidP="006C2B90">
            <w:pPr>
              <w:widowControl w:val="0"/>
              <w:numPr>
                <w:ilvl w:val="0"/>
                <w:numId w:val="26"/>
              </w:numPr>
              <w:autoSpaceDE w:val="0"/>
              <w:autoSpaceDN w:val="0"/>
              <w:adjustRightInd w:val="0"/>
              <w:ind w:left="461"/>
              <w:contextualSpacing/>
              <w:rPr>
                <w:noProof/>
                <w:lang w:val="uk-UA" w:eastAsia="uk-UA"/>
              </w:rPr>
            </w:pPr>
            <w:r w:rsidRPr="00735527">
              <w:rPr>
                <w:noProof/>
                <w:lang w:val="uk-UA" w:eastAsia="uk-UA"/>
              </w:rPr>
              <w:t>точка підключення каналу – технічний майданчик аеропорту (термінал B).</w:t>
            </w:r>
          </w:p>
          <w:p w:rsidR="00417AA2" w:rsidRPr="00735527" w:rsidRDefault="00417AA2" w:rsidP="008B535B">
            <w:pPr>
              <w:widowControl w:val="0"/>
              <w:autoSpaceDE w:val="0"/>
              <w:autoSpaceDN w:val="0"/>
              <w:adjustRightInd w:val="0"/>
              <w:contextualSpacing/>
              <w:rPr>
                <w:bCs/>
                <w:noProof/>
                <w:lang w:val="uk-UA" w:eastAsia="uk-UA"/>
              </w:rPr>
            </w:pPr>
            <w:r w:rsidRPr="00735527">
              <w:rPr>
                <w:bCs/>
                <w:noProof/>
                <w:lang w:val="uk-UA" w:eastAsia="uk-UA"/>
              </w:rPr>
              <w:t>Додаткові вимоги:</w:t>
            </w:r>
          </w:p>
          <w:p w:rsidR="00417AA2" w:rsidRPr="00735527" w:rsidRDefault="00417AA2" w:rsidP="006C2B90">
            <w:pPr>
              <w:widowControl w:val="0"/>
              <w:numPr>
                <w:ilvl w:val="0"/>
                <w:numId w:val="26"/>
              </w:numPr>
              <w:autoSpaceDE w:val="0"/>
              <w:autoSpaceDN w:val="0"/>
              <w:adjustRightInd w:val="0"/>
              <w:ind w:left="461"/>
              <w:contextualSpacing/>
              <w:rPr>
                <w:noProof/>
                <w:lang w:val="uk-UA" w:eastAsia="uk-UA"/>
              </w:rPr>
            </w:pPr>
            <w:r w:rsidRPr="00735527">
              <w:rPr>
                <w:noProof/>
                <w:lang w:val="uk-UA" w:eastAsia="uk-UA"/>
              </w:rPr>
              <w:t>наявність у Оператора прямого підключення не менше ніж до двох українських точок обміну трафіком зі швидкістю не менше 10Гбіт/с;</w:t>
            </w:r>
          </w:p>
          <w:p w:rsidR="00417AA2" w:rsidRPr="00735527" w:rsidRDefault="00417AA2" w:rsidP="006C2B90">
            <w:pPr>
              <w:widowControl w:val="0"/>
              <w:numPr>
                <w:ilvl w:val="0"/>
                <w:numId w:val="26"/>
              </w:numPr>
              <w:autoSpaceDE w:val="0"/>
              <w:autoSpaceDN w:val="0"/>
              <w:adjustRightInd w:val="0"/>
              <w:contextualSpacing/>
              <w:rPr>
                <w:noProof/>
                <w:lang w:val="uk-UA" w:eastAsia="uk-UA"/>
              </w:rPr>
            </w:pPr>
            <w:r w:rsidRPr="00735527">
              <w:rPr>
                <w:noProof/>
                <w:lang w:val="uk-UA" w:eastAsia="uk-UA"/>
              </w:rPr>
              <w:t>наявність у Оператора прямого підключення не менше ніж до двох зарубіжних точок обміну трафіком зі швидкістю не менше 10Гбіт/с;;</w:t>
            </w:r>
          </w:p>
          <w:p w:rsidR="00417AA2" w:rsidRPr="00735527" w:rsidRDefault="00417AA2" w:rsidP="006C2B90">
            <w:pPr>
              <w:widowControl w:val="0"/>
              <w:numPr>
                <w:ilvl w:val="0"/>
                <w:numId w:val="26"/>
              </w:numPr>
              <w:autoSpaceDE w:val="0"/>
              <w:autoSpaceDN w:val="0"/>
              <w:adjustRightInd w:val="0"/>
              <w:ind w:left="461"/>
              <w:contextualSpacing/>
              <w:rPr>
                <w:noProof/>
                <w:lang w:val="uk-UA" w:eastAsia="uk-UA"/>
              </w:rPr>
            </w:pPr>
            <w:r w:rsidRPr="00735527">
              <w:rPr>
                <w:noProof/>
                <w:lang w:val="uk-UA" w:eastAsia="uk-UA"/>
              </w:rPr>
              <w:t>забезпечення взаємодії за допомогою протоколу BGP та віддавання як повної маршрутної інформації (Full View) так і загальної (Default Route);</w:t>
            </w:r>
          </w:p>
          <w:p w:rsidR="00417AA2" w:rsidRPr="00735527" w:rsidRDefault="00417AA2" w:rsidP="006C2B90">
            <w:pPr>
              <w:widowControl w:val="0"/>
              <w:numPr>
                <w:ilvl w:val="0"/>
                <w:numId w:val="26"/>
              </w:numPr>
              <w:autoSpaceDE w:val="0"/>
              <w:autoSpaceDN w:val="0"/>
              <w:adjustRightInd w:val="0"/>
              <w:ind w:left="461"/>
              <w:contextualSpacing/>
              <w:rPr>
                <w:noProof/>
                <w:lang w:val="uk-UA" w:eastAsia="uk-UA"/>
              </w:rPr>
            </w:pPr>
            <w:r w:rsidRPr="00735527">
              <w:rPr>
                <w:noProof/>
                <w:lang w:val="uk-UA" w:eastAsia="uk-UA"/>
              </w:rPr>
              <w:t>підтримка на обладнанні Оператора маршрутизації трафіку в залежності від атрибуту community;</w:t>
            </w:r>
          </w:p>
          <w:p w:rsidR="00417AA2" w:rsidRPr="00735527" w:rsidRDefault="00417AA2" w:rsidP="006C2B90">
            <w:pPr>
              <w:widowControl w:val="0"/>
              <w:numPr>
                <w:ilvl w:val="0"/>
                <w:numId w:val="26"/>
              </w:numPr>
              <w:autoSpaceDE w:val="0"/>
              <w:autoSpaceDN w:val="0"/>
              <w:adjustRightInd w:val="0"/>
              <w:ind w:left="461"/>
              <w:contextualSpacing/>
              <w:rPr>
                <w:noProof/>
                <w:lang w:val="uk-UA" w:eastAsia="uk-UA"/>
              </w:rPr>
            </w:pPr>
            <w:r w:rsidRPr="00735527">
              <w:rPr>
                <w:noProof/>
                <w:lang w:val="uk-UA" w:eastAsia="uk-UA"/>
              </w:rPr>
              <w:t>доступ до статистичної інформації, щодо використання каналу;</w:t>
            </w:r>
          </w:p>
          <w:p w:rsidR="00417AA2" w:rsidRPr="00735527" w:rsidRDefault="00417AA2" w:rsidP="006C2B90">
            <w:pPr>
              <w:widowControl w:val="0"/>
              <w:numPr>
                <w:ilvl w:val="0"/>
                <w:numId w:val="26"/>
              </w:numPr>
              <w:autoSpaceDE w:val="0"/>
              <w:autoSpaceDN w:val="0"/>
              <w:adjustRightInd w:val="0"/>
              <w:ind w:left="461"/>
              <w:contextualSpacing/>
              <w:rPr>
                <w:noProof/>
                <w:lang w:val="uk-UA" w:eastAsia="uk-UA"/>
              </w:rPr>
            </w:pPr>
            <w:r w:rsidRPr="00735527">
              <w:rPr>
                <w:noProof/>
                <w:lang w:val="uk-UA" w:eastAsia="uk-UA"/>
              </w:rPr>
              <w:t>час відновлення працездатності каналу – не більше 2-х годин;</w:t>
            </w:r>
          </w:p>
          <w:p w:rsidR="00417AA2" w:rsidRPr="00735527" w:rsidRDefault="00417AA2" w:rsidP="006C2B90">
            <w:pPr>
              <w:widowControl w:val="0"/>
              <w:numPr>
                <w:ilvl w:val="0"/>
                <w:numId w:val="26"/>
              </w:numPr>
              <w:autoSpaceDE w:val="0"/>
              <w:autoSpaceDN w:val="0"/>
              <w:adjustRightInd w:val="0"/>
              <w:ind w:left="461"/>
              <w:contextualSpacing/>
              <w:rPr>
                <w:noProof/>
                <w:lang w:val="uk-UA" w:eastAsia="uk-UA"/>
              </w:rPr>
            </w:pPr>
            <w:r w:rsidRPr="00735527">
              <w:rPr>
                <w:noProof/>
                <w:lang w:val="uk-UA" w:eastAsia="uk-UA"/>
              </w:rPr>
              <w:t>наявність служби технічної підтримки;</w:t>
            </w:r>
          </w:p>
          <w:p w:rsidR="00417AA2" w:rsidRPr="00735527" w:rsidRDefault="00417AA2" w:rsidP="006C2B90">
            <w:pPr>
              <w:widowControl w:val="0"/>
              <w:numPr>
                <w:ilvl w:val="0"/>
                <w:numId w:val="26"/>
              </w:numPr>
              <w:autoSpaceDE w:val="0"/>
              <w:autoSpaceDN w:val="0"/>
              <w:adjustRightInd w:val="0"/>
              <w:ind w:left="461"/>
              <w:contextualSpacing/>
              <w:rPr>
                <w:noProof/>
                <w:lang w:val="uk-UA"/>
              </w:rPr>
            </w:pPr>
            <w:r w:rsidRPr="00735527">
              <w:rPr>
                <w:noProof/>
                <w:lang w:val="uk-UA" w:eastAsia="uk-UA"/>
              </w:rPr>
              <w:t>інтервал прийому запитів службою технічної підтримки цілодобово, без вихідних;</w:t>
            </w:r>
          </w:p>
          <w:p w:rsidR="00417AA2" w:rsidRPr="00735527" w:rsidRDefault="00417AA2" w:rsidP="006C2B90">
            <w:pPr>
              <w:pStyle w:val="af5"/>
              <w:widowControl w:val="0"/>
              <w:numPr>
                <w:ilvl w:val="0"/>
                <w:numId w:val="26"/>
              </w:numPr>
              <w:rPr>
                <w:rFonts w:ascii="Times New Roman" w:hAnsi="Times New Roman"/>
                <w:i/>
                <w:noProof/>
                <w:sz w:val="24"/>
                <w:szCs w:val="24"/>
                <w:lang w:val="uk-UA"/>
              </w:rPr>
            </w:pPr>
            <w:r w:rsidRPr="00735527">
              <w:rPr>
                <w:rFonts w:ascii="Times New Roman" w:hAnsi="Times New Roman"/>
                <w:noProof/>
                <w:sz w:val="24"/>
                <w:szCs w:val="24"/>
                <w:lang w:val="uk-UA" w:eastAsia="uk-UA"/>
              </w:rPr>
              <w:t xml:space="preserve">послуга надається в термін на </w:t>
            </w:r>
            <w:r w:rsidRPr="00735527">
              <w:rPr>
                <w:rFonts w:ascii="Times New Roman" w:hAnsi="Times New Roman"/>
                <w:b/>
                <w:bCs/>
                <w:noProof/>
                <w:sz w:val="24"/>
                <w:szCs w:val="24"/>
                <w:lang w:val="uk-UA" w:eastAsia="uk-UA"/>
              </w:rPr>
              <w:t>36 місяців</w:t>
            </w:r>
            <w:r w:rsidRPr="00735527">
              <w:rPr>
                <w:rFonts w:ascii="Times New Roman" w:hAnsi="Times New Roman"/>
                <w:noProof/>
                <w:sz w:val="24"/>
                <w:szCs w:val="24"/>
                <w:lang w:val="uk-UA" w:eastAsia="uk-UA"/>
              </w:rPr>
              <w:t>.</w:t>
            </w:r>
          </w:p>
        </w:tc>
      </w:tr>
      <w:tr w:rsidR="001F6C4A" w:rsidRPr="00735527" w:rsidTr="008F2B73">
        <w:trPr>
          <w:trHeight w:val="5873"/>
        </w:trPr>
        <w:tc>
          <w:tcPr>
            <w:tcW w:w="713" w:type="dxa"/>
            <w:tcBorders>
              <w:top w:val="single" w:sz="4" w:space="0" w:color="auto"/>
              <w:left w:val="single" w:sz="4" w:space="0" w:color="auto"/>
              <w:bottom w:val="single" w:sz="4" w:space="0" w:color="auto"/>
              <w:right w:val="single" w:sz="4" w:space="0" w:color="auto"/>
            </w:tcBorders>
            <w:shd w:val="clear" w:color="auto" w:fill="auto"/>
          </w:tcPr>
          <w:p w:rsidR="001F6C4A" w:rsidRPr="00735527" w:rsidRDefault="001F6C4A" w:rsidP="001F6C4A">
            <w:pPr>
              <w:widowControl w:val="0"/>
              <w:rPr>
                <w:noProof/>
                <w:lang w:val="uk-UA"/>
              </w:rPr>
            </w:pPr>
            <w:r>
              <w:rPr>
                <w:noProof/>
                <w:lang w:val="uk-UA"/>
              </w:rPr>
              <w:t>5</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1F6C4A" w:rsidRPr="00735527" w:rsidRDefault="001F6C4A" w:rsidP="001F6C4A">
            <w:pPr>
              <w:widowControl w:val="0"/>
              <w:rPr>
                <w:noProof/>
                <w:lang w:val="uk-UA"/>
              </w:rPr>
            </w:pPr>
            <w:r w:rsidRPr="00735527">
              <w:rPr>
                <w:noProof/>
                <w:lang w:val="uk-UA"/>
              </w:rPr>
              <w:t>Користування каналом доступу до мережі Інтернет 1000 Мбіт/с до Інтернет ресурсів</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1F6C4A" w:rsidRPr="00735527" w:rsidRDefault="001F6C4A" w:rsidP="001F6C4A">
            <w:pPr>
              <w:widowControl w:val="0"/>
              <w:jc w:val="center"/>
              <w:rPr>
                <w:noProof/>
                <w:lang w:val="uk-UA"/>
              </w:rPr>
            </w:pPr>
            <w:r w:rsidRPr="00735527">
              <w:rPr>
                <w:noProof/>
                <w:lang w:val="uk-UA"/>
              </w:rPr>
              <w:t>послуга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1F6C4A" w:rsidRPr="00735527" w:rsidRDefault="001F6C4A" w:rsidP="001F6C4A">
            <w:pPr>
              <w:widowControl w:val="0"/>
              <w:jc w:val="center"/>
              <w:rPr>
                <w:noProof/>
                <w:lang w:val="uk-UA"/>
              </w:rPr>
            </w:pPr>
            <w:r w:rsidRPr="00735527">
              <w:rPr>
                <w:noProof/>
                <w:lang w:val="uk-UA"/>
              </w:rPr>
              <w:t>36</w:t>
            </w:r>
          </w:p>
        </w:tc>
        <w:tc>
          <w:tcPr>
            <w:tcW w:w="8518" w:type="dxa"/>
            <w:vMerge/>
            <w:tcBorders>
              <w:left w:val="single" w:sz="4" w:space="0" w:color="auto"/>
              <w:right w:val="single" w:sz="4" w:space="0" w:color="auto"/>
            </w:tcBorders>
            <w:shd w:val="clear" w:color="auto" w:fill="auto"/>
          </w:tcPr>
          <w:p w:rsidR="001F6C4A" w:rsidRPr="00735527" w:rsidRDefault="001F6C4A" w:rsidP="001F6C4A">
            <w:pPr>
              <w:widowControl w:val="0"/>
              <w:autoSpaceDE w:val="0"/>
              <w:autoSpaceDN w:val="0"/>
              <w:adjustRightInd w:val="0"/>
              <w:rPr>
                <w:bCs/>
                <w:noProof/>
                <w:lang w:val="uk-UA" w:eastAsia="uk-UA"/>
              </w:rPr>
            </w:pPr>
          </w:p>
        </w:tc>
      </w:tr>
    </w:tbl>
    <w:p w:rsidR="00A256E7" w:rsidRPr="007101A5" w:rsidRDefault="00A256E7" w:rsidP="006C2B90">
      <w:pPr>
        <w:widowControl w:val="0"/>
        <w:autoSpaceDE w:val="0"/>
        <w:autoSpaceDN w:val="0"/>
        <w:adjustRightInd w:val="0"/>
        <w:ind w:firstLine="709"/>
        <w:contextualSpacing/>
        <w:jc w:val="both"/>
        <w:rPr>
          <w:color w:val="000000"/>
          <w:sz w:val="26"/>
          <w:szCs w:val="26"/>
          <w:lang w:val="uk-UA"/>
        </w:rPr>
      </w:pPr>
    </w:p>
    <w:sectPr w:rsidR="00A256E7" w:rsidRPr="007101A5" w:rsidSect="006C2B90">
      <w:headerReference w:type="even" r:id="rId9"/>
      <w:headerReference w:type="default" r:id="rId10"/>
      <w:footerReference w:type="default" r:id="rId11"/>
      <w:pgSz w:w="16838" w:h="11906" w:orient="landscape"/>
      <w:pgMar w:top="1134" w:right="567" w:bottom="567" w:left="567" w:header="709" w:footer="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60D" w:rsidRDefault="0060360D">
      <w:r>
        <w:separator/>
      </w:r>
    </w:p>
  </w:endnote>
  <w:endnote w:type="continuationSeparator" w:id="0">
    <w:p w:rsidR="0060360D" w:rsidRDefault="0060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E7" w:rsidRPr="00A256E7" w:rsidRDefault="00816C59" w:rsidP="006C2B90">
    <w:pPr>
      <w:pBdr>
        <w:top w:val="single" w:sz="4" w:space="1" w:color="auto"/>
      </w:pBdr>
      <w:tabs>
        <w:tab w:val="center" w:pos="4819"/>
        <w:tab w:val="right" w:pos="9639"/>
      </w:tabs>
      <w:jc w:val="right"/>
      <w:rPr>
        <w:sz w:val="20"/>
        <w:szCs w:val="20"/>
        <w:u w:val="single"/>
        <w:lang w:val="uk-UA"/>
      </w:rPr>
    </w:pPr>
    <w:r>
      <w:rPr>
        <w:sz w:val="20"/>
        <w:szCs w:val="20"/>
        <w:lang w:val="uk-UA"/>
      </w:rPr>
      <w:t xml:space="preserve">Послуги зв’язку з мережею Інтернет,  код ДК 021:2015 - 72410000-7 - Послуги провайдерів </w:t>
    </w:r>
  </w:p>
  <w:p w:rsidR="00DA4230" w:rsidRPr="008762B5" w:rsidRDefault="00DA4230" w:rsidP="00DA4230">
    <w:pPr>
      <w:tabs>
        <w:tab w:val="center" w:pos="4819"/>
        <w:tab w:val="right" w:pos="9639"/>
      </w:tabs>
      <w:jc w:val="right"/>
      <w:rPr>
        <w:sz w:val="18"/>
        <w:szCs w:val="18"/>
      </w:rPr>
    </w:pPr>
    <w:proofErr w:type="spellStart"/>
    <w:r w:rsidRPr="00354DF7">
      <w:rPr>
        <w:sz w:val="20"/>
        <w:szCs w:val="20"/>
      </w:rPr>
      <w:t>Аркуш</w:t>
    </w:r>
    <w:proofErr w:type="spellEnd"/>
    <w:r w:rsidRPr="00354DF7">
      <w:rPr>
        <w:sz w:val="20"/>
        <w:szCs w:val="20"/>
      </w:rPr>
      <w:t xml:space="preserve">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E72860">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E72860">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60D" w:rsidRDefault="0060360D">
      <w:r>
        <w:separator/>
      </w:r>
    </w:p>
  </w:footnote>
  <w:footnote w:type="continuationSeparator" w:id="0">
    <w:p w:rsidR="0060360D" w:rsidRDefault="006036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46" w:rsidRDefault="00317C4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17C46" w:rsidRDefault="00317C4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92" w:rsidRPr="003C4B6B" w:rsidRDefault="0020781E" w:rsidP="00A3681A">
    <w:pPr>
      <w:pStyle w:val="a9"/>
      <w:jc w:val="both"/>
      <w:rPr>
        <w:sz w:val="20"/>
        <w:szCs w:val="20"/>
        <w:lang w:val="uk-UA"/>
      </w:rPr>
    </w:pPr>
    <w:r>
      <w:rPr>
        <w:noProof/>
      </w:rPr>
      <w:drawing>
        <wp:inline distT="0" distB="0" distL="0" distR="0">
          <wp:extent cx="1446530" cy="2882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829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84017E"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5441434"/>
    <w:multiLevelType w:val="hybridMultilevel"/>
    <w:tmpl w:val="FFFFFFFF"/>
    <w:lvl w:ilvl="0" w:tplc="FDFA02DA">
      <w:start w:val="256"/>
      <w:numFmt w:val="bullet"/>
      <w:lvlText w:val="-"/>
      <w:lvlJc w:val="left"/>
      <w:pPr>
        <w:ind w:left="465" w:hanging="360"/>
      </w:pPr>
      <w:rPr>
        <w:rFonts w:ascii="Times New Roman" w:eastAsia="Times New Roman" w:hAnsi="Times New Roman" w:hint="default"/>
      </w:rPr>
    </w:lvl>
    <w:lvl w:ilvl="1" w:tplc="04090003" w:tentative="1">
      <w:start w:val="1"/>
      <w:numFmt w:val="bullet"/>
      <w:lvlText w:val="o"/>
      <w:lvlJc w:val="left"/>
      <w:pPr>
        <w:ind w:left="1185" w:hanging="360"/>
      </w:pPr>
      <w:rPr>
        <w:rFonts w:ascii="Courier New" w:hAnsi="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5"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3"/>
  </w:num>
  <w:num w:numId="3">
    <w:abstractNumId w:val="0"/>
  </w:num>
  <w:num w:numId="4">
    <w:abstractNumId w:val="24"/>
  </w:num>
  <w:num w:numId="5">
    <w:abstractNumId w:val="8"/>
  </w:num>
  <w:num w:numId="6">
    <w:abstractNumId w:val="6"/>
  </w:num>
  <w:num w:numId="7">
    <w:abstractNumId w:val="7"/>
  </w:num>
  <w:num w:numId="8">
    <w:abstractNumId w:val="20"/>
  </w:num>
  <w:num w:numId="9">
    <w:abstractNumId w:val="1"/>
  </w:num>
  <w:num w:numId="10">
    <w:abstractNumId w:val="17"/>
  </w:num>
  <w:num w:numId="11">
    <w:abstractNumId w:val="15"/>
  </w:num>
  <w:num w:numId="12">
    <w:abstractNumId w:val="13"/>
  </w:num>
  <w:num w:numId="13">
    <w:abstractNumId w:val="14"/>
  </w:num>
  <w:num w:numId="14">
    <w:abstractNumId w:val="3"/>
  </w:num>
  <w:num w:numId="15">
    <w:abstractNumId w:val="16"/>
  </w:num>
  <w:num w:numId="16">
    <w:abstractNumId w:val="2"/>
  </w:num>
  <w:num w:numId="17">
    <w:abstractNumId w:val="12"/>
  </w:num>
  <w:num w:numId="18">
    <w:abstractNumId w:val="5"/>
  </w:num>
  <w:num w:numId="19">
    <w:abstractNumId w:val="9"/>
  </w:num>
  <w:num w:numId="20">
    <w:abstractNumId w:val="19"/>
  </w:num>
  <w:num w:numId="21">
    <w:abstractNumId w:val="10"/>
  </w:num>
  <w:num w:numId="22">
    <w:abstractNumId w:val="18"/>
  </w:num>
  <w:num w:numId="23">
    <w:abstractNumId w:val="11"/>
  </w:num>
  <w:num w:numId="24">
    <w:abstractNumId w:val="22"/>
  </w:num>
  <w:num w:numId="25">
    <w:abstractNumId w:val="2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5D4E"/>
    <w:rsid w:val="001E7EC3"/>
    <w:rsid w:val="001F0404"/>
    <w:rsid w:val="001F0800"/>
    <w:rsid w:val="001F20A8"/>
    <w:rsid w:val="001F6838"/>
    <w:rsid w:val="001F6C4A"/>
    <w:rsid w:val="002005FF"/>
    <w:rsid w:val="00200A40"/>
    <w:rsid w:val="00202AC0"/>
    <w:rsid w:val="0020343C"/>
    <w:rsid w:val="00204941"/>
    <w:rsid w:val="0020615E"/>
    <w:rsid w:val="0020781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3B5"/>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17AA2"/>
    <w:rsid w:val="004202DE"/>
    <w:rsid w:val="00420F10"/>
    <w:rsid w:val="00421C28"/>
    <w:rsid w:val="00421E80"/>
    <w:rsid w:val="00422393"/>
    <w:rsid w:val="00423324"/>
    <w:rsid w:val="004269E9"/>
    <w:rsid w:val="0043144D"/>
    <w:rsid w:val="00431FF3"/>
    <w:rsid w:val="004329EF"/>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60D"/>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2B90"/>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16C59"/>
    <w:rsid w:val="00821F6D"/>
    <w:rsid w:val="008222CE"/>
    <w:rsid w:val="00822AF4"/>
    <w:rsid w:val="00823F19"/>
    <w:rsid w:val="008256A5"/>
    <w:rsid w:val="00825A6B"/>
    <w:rsid w:val="008262DA"/>
    <w:rsid w:val="00826A1C"/>
    <w:rsid w:val="00831597"/>
    <w:rsid w:val="008335E7"/>
    <w:rsid w:val="0083405F"/>
    <w:rsid w:val="00836C13"/>
    <w:rsid w:val="0084017E"/>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3369"/>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2860"/>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B3712C-324A-46A0-9064-CD1CDB75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pPr>
    <w:rPr>
      <w:lang w:val="en-US"/>
    </w:rPr>
  </w:style>
  <w:style w:type="paragraph" w:styleId="a4">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5">
    <w:name w:val="footer"/>
    <w:basedOn w:val="a"/>
    <w:link w:val="a6"/>
    <w:pPr>
      <w:tabs>
        <w:tab w:val="center" w:pos="4153"/>
        <w:tab w:val="right" w:pos="8306"/>
      </w:tabs>
    </w:pPr>
    <w:rPr>
      <w:szCs w:val="20"/>
      <w:lang w:val="en-GB"/>
    </w:rPr>
  </w:style>
  <w:style w:type="paragraph" w:styleId="a7">
    <w:name w:val="Body Text Indent"/>
    <w:basedOn w:val="a"/>
    <w:pPr>
      <w:ind w:left="360"/>
      <w:jc w:val="both"/>
    </w:pPr>
    <w:rPr>
      <w:b/>
      <w:bCs/>
      <w:i/>
      <w:iCs/>
      <w:lang w:val="uk-UA"/>
    </w:rPr>
  </w:style>
  <w:style w:type="paragraph" w:styleId="a8">
    <w:name w:val="Balloon Text"/>
    <w:basedOn w:val="a"/>
    <w:semiHidden/>
    <w:rPr>
      <w:rFonts w:ascii="Tahoma" w:hAnsi="Tahoma" w:cs="Tahoma"/>
      <w:sz w:val="16"/>
      <w:szCs w:val="16"/>
    </w:rPr>
  </w:style>
  <w:style w:type="paragraph" w:styleId="a9">
    <w:name w:val="header"/>
    <w:basedOn w:val="a"/>
    <w:link w:val="aa"/>
    <w:pPr>
      <w:tabs>
        <w:tab w:val="center" w:pos="4677"/>
        <w:tab w:val="right" w:pos="9355"/>
      </w:tabs>
    </w:pPr>
  </w:style>
  <w:style w:type="character" w:styleId="ab">
    <w:name w:val="page number"/>
    <w:basedOn w:val="a0"/>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0"/>
  </w:style>
  <w:style w:type="paragraph" w:customStyle="1" w:styleId="ac">
    <w:name w:val="Знак Знак Знак Знак"/>
    <w:basedOn w:val="a"/>
    <w:rsid w:val="00BC2FDE"/>
    <w:rPr>
      <w:rFonts w:ascii="Verdana" w:hAnsi="Verdana"/>
      <w:sz w:val="20"/>
      <w:szCs w:val="20"/>
      <w:lang w:val="en-US" w:eastAsia="en-US"/>
    </w:rPr>
  </w:style>
  <w:style w:type="paragraph" w:customStyle="1" w:styleId="ad">
    <w:name w:val="Знак"/>
    <w:basedOn w:val="a"/>
    <w:rsid w:val="00462D5F"/>
    <w:rPr>
      <w:rFonts w:ascii="Verdana" w:hAnsi="Verdana" w:cs="Verdana"/>
      <w:sz w:val="20"/>
      <w:szCs w:val="20"/>
      <w:lang w:val="en-US" w:eastAsia="en-US"/>
    </w:rPr>
  </w:style>
  <w:style w:type="character" w:styleId="ae">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1">
    <w:name w:val="a"/>
    <w:basedOn w:val="a"/>
    <w:rsid w:val="00FA38BF"/>
    <w:pPr>
      <w:spacing w:before="100" w:beforeAutospacing="1" w:after="100" w:afterAutospacing="1"/>
    </w:pPr>
  </w:style>
  <w:style w:type="paragraph" w:customStyle="1" w:styleId="af2">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6">
    <w:name w:val="Нижний колонтитул Знак"/>
    <w:link w:val="a5"/>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3">
    <w:name w:val="Знак Знак Знак Знак Знак Знак"/>
    <w:basedOn w:val="a"/>
    <w:rsid w:val="003F120E"/>
    <w:rPr>
      <w:rFonts w:ascii="Verdana" w:hAnsi="Verdana" w:cs="Verdana"/>
      <w:sz w:val="20"/>
      <w:szCs w:val="20"/>
      <w:lang w:val="en-US" w:eastAsia="en-US"/>
    </w:rPr>
  </w:style>
  <w:style w:type="paragraph" w:styleId="af4">
    <w:name w:val="Normal (Web)"/>
    <w:basedOn w:val="a"/>
    <w:rsid w:val="00285D88"/>
    <w:pPr>
      <w:spacing w:before="100" w:beforeAutospacing="1" w:after="100" w:afterAutospacing="1"/>
    </w:pPr>
    <w:rPr>
      <w:lang w:val="uk-UA" w:eastAsia="uk-UA"/>
    </w:rPr>
  </w:style>
  <w:style w:type="paragraph" w:styleId="af5">
    <w:name w:val="List Paragraph"/>
    <w:basedOn w:val="a"/>
    <w:link w:val="af6"/>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a">
    <w:name w:val="Верхний колонтитул Знак"/>
    <w:link w:val="a9"/>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6">
    <w:name w:val="Абзац списка Знак"/>
    <w:link w:val="af5"/>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A28C2-42E5-4EC8-AC51-8373AD7F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715</Words>
  <Characters>4076</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Airport Boryspil</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9</cp:revision>
  <cp:lastPrinted>2021-11-17T09:02:00Z</cp:lastPrinted>
  <dcterms:created xsi:type="dcterms:W3CDTF">2024-10-24T07:58:00Z</dcterms:created>
  <dcterms:modified xsi:type="dcterms:W3CDTF">2024-10-24T11:11:00Z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