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ook w:val="01E0" w:firstRow="1" w:lastRow="1" w:firstColumn="1" w:lastColumn="1" w:noHBand="0" w:noVBand="0"/>
      </w:tblPr>
      <w:tblGrid>
        <w:gridCol w:w="4111"/>
        <w:gridCol w:w="10204"/>
      </w:tblGrid>
      <w:tr w:rsidR="00825A6B" w:rsidRPr="007101A5" w:rsidTr="00E634AA">
        <w:tc>
          <w:tcPr>
            <w:tcW w:w="4111" w:type="dxa"/>
          </w:tcPr>
          <w:p w:rsidR="00825A6B" w:rsidRPr="007101A5" w:rsidRDefault="00811868" w:rsidP="006926A0">
            <w:pPr>
              <w:pStyle w:val="a3"/>
              <w:widowControl w:val="0"/>
              <w:rPr>
                <w:szCs w:val="17"/>
                <w:lang w:val="uk-UA"/>
              </w:rPr>
            </w:pPr>
            <w:r>
              <w:rPr>
                <w:noProof/>
                <w:lang w:val="uk-UA" w:eastAsia="uk-UA"/>
              </w:rPr>
              <w:drawing>
                <wp:inline distT="0" distB="0" distL="0" distR="0">
                  <wp:extent cx="1444625" cy="2863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5" cy="286385"/>
                          </a:xfrm>
                          <a:prstGeom prst="rect">
                            <a:avLst/>
                          </a:prstGeom>
                          <a:noFill/>
                          <a:ln>
                            <a:noFill/>
                          </a:ln>
                        </pic:spPr>
                      </pic:pic>
                    </a:graphicData>
                  </a:graphic>
                </wp:inline>
              </w:drawing>
            </w:r>
          </w:p>
        </w:tc>
        <w:tc>
          <w:tcPr>
            <w:tcW w:w="10200" w:type="dxa"/>
          </w:tcPr>
          <w:p w:rsidR="00DD71E4" w:rsidRPr="00E634AA"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E634AA">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E634AA"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w:t>
            </w:r>
          </w:p>
          <w:p w:rsidR="00825A6B" w:rsidRPr="00E634AA" w:rsidRDefault="006926A0" w:rsidP="00E634AA">
            <w:pPr>
              <w:widowControl w:val="0"/>
              <w:autoSpaceDE w:val="0"/>
              <w:autoSpaceDN w:val="0"/>
              <w:adjustRightInd w:val="0"/>
              <w:rPr>
                <w:lang w:val="uk-UA"/>
              </w:rPr>
            </w:pPr>
            <w:r w:rsidRPr="007101A5">
              <w:rPr>
                <w:lang w:val="uk-UA"/>
              </w:rPr>
              <w:t xml:space="preserve">код 20572069, </w:t>
            </w:r>
            <w:proofErr w:type="spellStart"/>
            <w:r w:rsidRPr="007101A5">
              <w:rPr>
                <w:color w:val="000000"/>
              </w:rPr>
              <w:t>юридична</w:t>
            </w:r>
            <w:proofErr w:type="spellEnd"/>
            <w:r w:rsidRPr="007101A5">
              <w:rPr>
                <w:color w:val="000000"/>
              </w:rPr>
              <w:t xml:space="preserve"> особа/ </w:t>
            </w:r>
            <w:proofErr w:type="spellStart"/>
            <w:r w:rsidRPr="007101A5">
              <w:rPr>
                <w:color w:val="000000"/>
              </w:rPr>
              <w:t>суб'єкт</w:t>
            </w:r>
            <w:proofErr w:type="spellEnd"/>
            <w:r w:rsidRPr="007101A5">
              <w:rPr>
                <w:color w:val="000000"/>
              </w:rPr>
              <w:t xml:space="preserve"> </w:t>
            </w:r>
            <w:proofErr w:type="spellStart"/>
            <w:r w:rsidRPr="007101A5">
              <w:rPr>
                <w:color w:val="000000"/>
              </w:rPr>
              <w:t>господарювання</w:t>
            </w:r>
            <w:proofErr w:type="spellEnd"/>
            <w:r w:rsidRPr="007101A5">
              <w:rPr>
                <w:color w:val="000000"/>
              </w:rPr>
              <w:t>, який здійснює діяльність в окремих сферах господарювання, зазначених у п. 4 ч.1 ст. 2 Закону України «Про публічні закупівлі»</w:t>
            </w:r>
          </w:p>
        </w:tc>
      </w:tr>
      <w:tr w:rsidR="001021AF" w:rsidRPr="007101A5" w:rsidTr="00E634AA">
        <w:tc>
          <w:tcPr>
            <w:tcW w:w="14315"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8B6E47" w:rsidP="008B6E47">
      <w:pPr>
        <w:pStyle w:val="a3"/>
        <w:widowControl w:val="0"/>
        <w:ind w:left="284"/>
        <w:jc w:val="both"/>
        <w:rPr>
          <w:sz w:val="24"/>
          <w:szCs w:val="24"/>
          <w:lang w:val="uk-UA"/>
        </w:rPr>
      </w:pPr>
      <w:r>
        <w:rPr>
          <w:sz w:val="24"/>
          <w:szCs w:val="24"/>
          <w:lang w:val="uk-UA"/>
        </w:rPr>
        <w:t xml:space="preserve">    </w:t>
      </w:r>
      <w:r w:rsidR="003C4B6B"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46"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00"/>
        <w:gridCol w:w="4527"/>
        <w:gridCol w:w="2805"/>
        <w:gridCol w:w="3266"/>
        <w:gridCol w:w="2773"/>
      </w:tblGrid>
      <w:tr w:rsidR="00A76484" w:rsidRPr="007101A5" w:rsidTr="00E634AA">
        <w:tc>
          <w:tcPr>
            <w:tcW w:w="44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4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6"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3"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45"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E634AA">
        <w:tc>
          <w:tcPr>
            <w:tcW w:w="443" w:type="pct"/>
          </w:tcPr>
          <w:p w:rsidR="008B6E47" w:rsidRDefault="00D631AD" w:rsidP="00EA6113">
            <w:pPr>
              <w:widowControl w:val="0"/>
              <w:ind w:right="-11"/>
              <w:jc w:val="center"/>
              <w:rPr>
                <w:sz w:val="22"/>
                <w:szCs w:val="22"/>
                <w:lang w:val="uk-UA"/>
              </w:rPr>
            </w:pPr>
            <w:r w:rsidRPr="00EA6113">
              <w:rPr>
                <w:sz w:val="22"/>
                <w:szCs w:val="22"/>
                <w:lang w:val="uk-UA"/>
              </w:rPr>
              <w:t xml:space="preserve">1.01 </w:t>
            </w:r>
          </w:p>
          <w:p w:rsidR="00A76484" w:rsidRPr="00EA6113" w:rsidRDefault="00BD6E95" w:rsidP="00EA6113">
            <w:pPr>
              <w:widowControl w:val="0"/>
              <w:ind w:right="-11"/>
              <w:jc w:val="center"/>
              <w:rPr>
                <w:sz w:val="22"/>
                <w:szCs w:val="22"/>
                <w:lang w:val="uk-UA" w:eastAsia="uk-UA"/>
              </w:rPr>
            </w:pPr>
            <w:r w:rsidRPr="00EA6113">
              <w:rPr>
                <w:sz w:val="22"/>
                <w:szCs w:val="22"/>
                <w:lang w:val="uk-UA" w:eastAsia="uk-UA"/>
              </w:rPr>
              <w:t>(202</w:t>
            </w:r>
            <w:r w:rsidR="005469FD" w:rsidRPr="00EA6113">
              <w:rPr>
                <w:sz w:val="22"/>
                <w:szCs w:val="22"/>
                <w:lang w:val="uk-UA" w:eastAsia="uk-UA"/>
              </w:rPr>
              <w:t>4</w:t>
            </w:r>
            <w:r w:rsidR="00A76484" w:rsidRPr="00EA6113">
              <w:rPr>
                <w:sz w:val="22"/>
                <w:szCs w:val="22"/>
                <w:lang w:val="uk-UA" w:eastAsia="uk-UA"/>
              </w:rPr>
              <w:t>)</w:t>
            </w:r>
          </w:p>
        </w:tc>
        <w:tc>
          <w:tcPr>
            <w:tcW w:w="1543" w:type="pct"/>
          </w:tcPr>
          <w:p w:rsidR="00A76484" w:rsidRPr="00EA6113" w:rsidRDefault="00D631AD" w:rsidP="00A12478">
            <w:pPr>
              <w:widowControl w:val="0"/>
              <w:rPr>
                <w:bCs/>
                <w:sz w:val="22"/>
                <w:szCs w:val="22"/>
                <w:lang w:val="uk-UA"/>
              </w:rPr>
            </w:pPr>
            <w:r w:rsidRPr="00EA6113">
              <w:rPr>
                <w:b/>
                <w:sz w:val="22"/>
                <w:szCs w:val="22"/>
                <w:lang w:val="uk-UA"/>
              </w:rPr>
              <w:t xml:space="preserve">Природний газ, код ДК 021:2015 - 09120000-6 - Газове паливо </w:t>
            </w:r>
          </w:p>
        </w:tc>
        <w:tc>
          <w:tcPr>
            <w:tcW w:w="956" w:type="pct"/>
          </w:tcPr>
          <w:p w:rsidR="00A76484" w:rsidRPr="00EA6113" w:rsidRDefault="00D631AD" w:rsidP="002D4D30">
            <w:pPr>
              <w:widowControl w:val="0"/>
              <w:jc w:val="center"/>
              <w:rPr>
                <w:sz w:val="22"/>
                <w:szCs w:val="22"/>
                <w:lang w:val="uk-UA"/>
              </w:rPr>
            </w:pPr>
            <w:r w:rsidRPr="00EA6113">
              <w:rPr>
                <w:sz w:val="22"/>
                <w:szCs w:val="22"/>
                <w:lang w:val="uk-UA"/>
              </w:rPr>
              <w:t>16 493 157,70</w:t>
            </w:r>
            <w:r w:rsidR="00A76484" w:rsidRPr="00EA6113">
              <w:rPr>
                <w:sz w:val="22"/>
                <w:szCs w:val="22"/>
                <w:lang w:val="uk-UA"/>
              </w:rPr>
              <w:t xml:space="preserve"> </w:t>
            </w:r>
          </w:p>
          <w:p w:rsidR="00A76484" w:rsidRPr="00EA6113" w:rsidRDefault="00A76484" w:rsidP="002D4D30">
            <w:pPr>
              <w:widowControl w:val="0"/>
              <w:jc w:val="center"/>
              <w:rPr>
                <w:sz w:val="22"/>
                <w:szCs w:val="22"/>
                <w:lang w:val="uk-UA"/>
              </w:rPr>
            </w:pPr>
            <w:r w:rsidRPr="00EA6113">
              <w:rPr>
                <w:sz w:val="22"/>
                <w:szCs w:val="22"/>
                <w:lang w:val="uk-UA"/>
              </w:rPr>
              <w:t>грн. з ПДВ</w:t>
            </w:r>
          </w:p>
        </w:tc>
        <w:tc>
          <w:tcPr>
            <w:tcW w:w="1113" w:type="pct"/>
          </w:tcPr>
          <w:p w:rsidR="00A76484" w:rsidRPr="00EA6113" w:rsidRDefault="00EA6113" w:rsidP="002D4D30">
            <w:pPr>
              <w:widowControl w:val="0"/>
              <w:jc w:val="center"/>
              <w:rPr>
                <w:sz w:val="22"/>
                <w:szCs w:val="22"/>
                <w:lang w:val="uk-UA"/>
              </w:rPr>
            </w:pPr>
            <w:r w:rsidRPr="00EA6113">
              <w:rPr>
                <w:sz w:val="22"/>
                <w:szCs w:val="22"/>
                <w:lang w:val="uk-UA"/>
              </w:rPr>
              <w:t>13 744 298,08</w:t>
            </w:r>
          </w:p>
          <w:p w:rsidR="00A76484" w:rsidRPr="00EA6113" w:rsidRDefault="00A76484" w:rsidP="002D4D30">
            <w:pPr>
              <w:widowControl w:val="0"/>
              <w:jc w:val="center"/>
              <w:rPr>
                <w:sz w:val="22"/>
                <w:szCs w:val="22"/>
                <w:lang w:val="uk-UA"/>
              </w:rPr>
            </w:pPr>
            <w:r w:rsidRPr="00EA6113">
              <w:rPr>
                <w:sz w:val="22"/>
                <w:szCs w:val="22"/>
                <w:lang w:val="uk-UA"/>
              </w:rPr>
              <w:t xml:space="preserve">грн. без ПДВ </w:t>
            </w:r>
          </w:p>
        </w:tc>
        <w:tc>
          <w:tcPr>
            <w:tcW w:w="945" w:type="pct"/>
          </w:tcPr>
          <w:p w:rsidR="00A76484" w:rsidRPr="00EA6113" w:rsidRDefault="00D631AD" w:rsidP="002D4D30">
            <w:pPr>
              <w:widowControl w:val="0"/>
              <w:jc w:val="center"/>
              <w:rPr>
                <w:color w:val="0000FF"/>
                <w:sz w:val="22"/>
                <w:szCs w:val="22"/>
                <w:lang w:val="uk-UA"/>
              </w:rPr>
            </w:pPr>
            <w:r w:rsidRPr="00EA6113">
              <w:rPr>
                <w:b/>
                <w:sz w:val="22"/>
                <w:szCs w:val="22"/>
                <w:lang w:val="uk-UA"/>
              </w:rPr>
              <w:t>UA-2024-10-18-008961-a</w:t>
            </w:r>
          </w:p>
        </w:tc>
      </w:tr>
    </w:tbl>
    <w:p w:rsidR="00A12478" w:rsidRPr="007101A5" w:rsidRDefault="00A12478" w:rsidP="0063471D">
      <w:pPr>
        <w:pStyle w:val="a3"/>
        <w:widowControl w:val="0"/>
        <w:jc w:val="both"/>
        <w:rPr>
          <w:sz w:val="24"/>
          <w:szCs w:val="24"/>
          <w:lang w:val="uk-UA"/>
        </w:rPr>
      </w:pPr>
    </w:p>
    <w:p w:rsidR="00A355EA" w:rsidRDefault="00A355EA" w:rsidP="00E634AA">
      <w:pPr>
        <w:widowControl w:val="0"/>
        <w:shd w:val="clear" w:color="auto" w:fill="DEEAF6"/>
        <w:ind w:left="284" w:right="141"/>
        <w:jc w:val="center"/>
        <w:rPr>
          <w:b/>
          <w:lang w:val="uk-UA"/>
        </w:rPr>
      </w:pPr>
      <w:r w:rsidRPr="007101A5">
        <w:rPr>
          <w:b/>
          <w:lang w:val="uk-UA"/>
        </w:rPr>
        <w:t>Обґрунтування на виконання вимог Постанови КМУ від 11.10.2016 № 710:</w:t>
      </w:r>
    </w:p>
    <w:p w:rsidR="00E634AA" w:rsidRPr="007101A5" w:rsidRDefault="00E634AA" w:rsidP="00E634AA">
      <w:pPr>
        <w:widowControl w:val="0"/>
        <w:shd w:val="clear" w:color="auto" w:fill="DEEAF6"/>
        <w:ind w:left="284" w:right="141"/>
        <w:jc w:val="center"/>
        <w:rPr>
          <w:lang w:val="uk-UA"/>
        </w:rPr>
      </w:pPr>
    </w:p>
    <w:tbl>
      <w:tblPr>
        <w:tblW w:w="14742" w:type="dxa"/>
        <w:tblInd w:w="254" w:type="dxa"/>
        <w:tblLayout w:type="fixed"/>
        <w:tblCellMar>
          <w:top w:w="30" w:type="dxa"/>
          <w:left w:w="60" w:type="dxa"/>
          <w:bottom w:w="30" w:type="dxa"/>
          <w:right w:w="30" w:type="dxa"/>
        </w:tblCellMar>
        <w:tblLook w:val="0000" w:firstRow="0" w:lastRow="0" w:firstColumn="0" w:lastColumn="0" w:noHBand="0" w:noVBand="0"/>
      </w:tblPr>
      <w:tblGrid>
        <w:gridCol w:w="567"/>
        <w:gridCol w:w="2358"/>
        <w:gridCol w:w="11817"/>
      </w:tblGrid>
      <w:tr w:rsidR="008335E7" w:rsidRPr="007101A5" w:rsidTr="008B6E4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E634AA" w:rsidRDefault="008335E7" w:rsidP="00C62708">
            <w:pPr>
              <w:rPr>
                <w:sz w:val="22"/>
                <w:szCs w:val="22"/>
                <w:lang w:val="uk-UA"/>
              </w:rPr>
            </w:pPr>
            <w:r w:rsidRPr="00E634AA">
              <w:rPr>
                <w:sz w:val="22"/>
                <w:szCs w:val="22"/>
                <w:lang w:val="uk-UA"/>
              </w:rPr>
              <w:t>1</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E634AA" w:rsidRDefault="008335E7" w:rsidP="00C62708">
            <w:pPr>
              <w:rPr>
                <w:sz w:val="22"/>
                <w:szCs w:val="22"/>
                <w:lang w:val="uk-UA"/>
              </w:rPr>
            </w:pPr>
            <w:r w:rsidRPr="00E634AA">
              <w:rPr>
                <w:sz w:val="22"/>
                <w:szCs w:val="22"/>
                <w:lang w:val="uk-UA"/>
              </w:rPr>
              <w:t>Обґрунтування очікуваної вартості предмета закупівлі</w:t>
            </w:r>
          </w:p>
        </w:tc>
        <w:tc>
          <w:tcPr>
            <w:tcW w:w="1181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A6113" w:rsidRPr="00681965" w:rsidRDefault="00EA6113" w:rsidP="00EA6113">
            <w:pPr>
              <w:widowControl w:val="0"/>
              <w:tabs>
                <w:tab w:val="left" w:pos="9639"/>
              </w:tabs>
              <w:jc w:val="both"/>
              <w:rPr>
                <w:sz w:val="22"/>
                <w:szCs w:val="22"/>
                <w:lang w:val="uk-UA"/>
              </w:rPr>
            </w:pPr>
            <w:r w:rsidRPr="00E634AA">
              <w:rPr>
                <w:sz w:val="22"/>
                <w:szCs w:val="22"/>
                <w:u w:val="single"/>
                <w:lang w:val="uk-UA"/>
              </w:rPr>
              <w:t>Плановий об'єм</w:t>
            </w:r>
            <w:r w:rsidR="00681965">
              <w:rPr>
                <w:sz w:val="22"/>
                <w:szCs w:val="22"/>
                <w:lang w:val="uk-UA"/>
              </w:rPr>
              <w:t xml:space="preserve"> споживання природного газу</w:t>
            </w:r>
            <w:r w:rsidRPr="00E634AA">
              <w:rPr>
                <w:sz w:val="22"/>
                <w:szCs w:val="22"/>
                <w:lang w:val="uk-UA"/>
              </w:rPr>
              <w:t xml:space="preserve">  становить  </w:t>
            </w:r>
            <w:r w:rsidRPr="00681965">
              <w:rPr>
                <w:sz w:val="22"/>
                <w:szCs w:val="22"/>
                <w:lang w:val="uk-UA"/>
              </w:rPr>
              <w:t>853 000 м3.</w:t>
            </w:r>
          </w:p>
          <w:p w:rsidR="00EA6113" w:rsidRPr="00681965" w:rsidRDefault="00EA6113" w:rsidP="00EA6113">
            <w:pPr>
              <w:widowControl w:val="0"/>
              <w:tabs>
                <w:tab w:val="left" w:pos="9639"/>
              </w:tabs>
              <w:jc w:val="both"/>
              <w:rPr>
                <w:sz w:val="22"/>
                <w:szCs w:val="22"/>
                <w:u w:val="single"/>
                <w:lang w:val="uk-UA"/>
              </w:rPr>
            </w:pPr>
            <w:r w:rsidRPr="00E634AA">
              <w:rPr>
                <w:sz w:val="22"/>
                <w:szCs w:val="22"/>
                <w:u w:val="single"/>
                <w:lang w:val="uk-UA"/>
              </w:rPr>
              <w:t>Тариф</w:t>
            </w:r>
            <w:r w:rsidRPr="00E634AA">
              <w:rPr>
                <w:sz w:val="22"/>
                <w:szCs w:val="22"/>
                <w:lang w:val="uk-UA"/>
              </w:rPr>
              <w:t xml:space="preserve">, згідно розрахунку – ціна за </w:t>
            </w:r>
            <w:r w:rsidRPr="00E634AA">
              <w:rPr>
                <w:color w:val="2E74B5" w:themeColor="accent1" w:themeShade="BF"/>
                <w:sz w:val="22"/>
                <w:szCs w:val="22"/>
                <w:lang w:val="uk-UA"/>
              </w:rPr>
              <w:t>1000 м</w:t>
            </w:r>
            <w:r w:rsidRPr="00E634AA">
              <w:rPr>
                <w:color w:val="2E74B5" w:themeColor="accent1" w:themeShade="BF"/>
                <w:sz w:val="22"/>
                <w:szCs w:val="22"/>
                <w:vertAlign w:val="subscript"/>
                <w:lang w:val="uk-UA"/>
              </w:rPr>
              <w:t xml:space="preserve">3 </w:t>
            </w:r>
            <w:r w:rsidRPr="00E634AA">
              <w:rPr>
                <w:sz w:val="22"/>
                <w:szCs w:val="22"/>
                <w:lang w:val="uk-UA"/>
              </w:rPr>
              <w:t xml:space="preserve">- </w:t>
            </w:r>
            <w:r w:rsidRPr="00681965">
              <w:rPr>
                <w:sz w:val="22"/>
                <w:szCs w:val="22"/>
                <w:lang w:val="uk-UA"/>
              </w:rPr>
              <w:t>19 335,4721 грн з ПДВ</w:t>
            </w:r>
          </w:p>
          <w:p w:rsidR="00EA6113" w:rsidRPr="00681965" w:rsidRDefault="00EA6113" w:rsidP="00EA6113">
            <w:pPr>
              <w:widowControl w:val="0"/>
              <w:jc w:val="both"/>
              <w:rPr>
                <w:sz w:val="22"/>
                <w:szCs w:val="22"/>
                <w:lang w:val="uk-UA"/>
              </w:rPr>
            </w:pPr>
            <w:r w:rsidRPr="00681965">
              <w:rPr>
                <w:sz w:val="22"/>
                <w:szCs w:val="22"/>
                <w:lang w:val="uk-UA"/>
              </w:rPr>
              <w:t xml:space="preserve">Очікувана вартість предмета закупівлі:  </w:t>
            </w:r>
          </w:p>
          <w:p w:rsidR="008335E7" w:rsidRPr="00E634AA" w:rsidRDefault="00EA6113" w:rsidP="00EA6113">
            <w:pPr>
              <w:rPr>
                <w:i/>
                <w:sz w:val="22"/>
                <w:szCs w:val="22"/>
                <w:lang w:val="uk-UA"/>
              </w:rPr>
            </w:pPr>
            <w:r w:rsidRPr="00681965">
              <w:rPr>
                <w:sz w:val="22"/>
                <w:szCs w:val="22"/>
                <w:lang w:val="uk-UA"/>
              </w:rPr>
              <w:t>853 000 м3 * 19,3354721 грн. = 16 493 157,70 грн з ПДВ 20%</w:t>
            </w:r>
          </w:p>
        </w:tc>
      </w:tr>
      <w:tr w:rsidR="006F428D" w:rsidRPr="007101A5" w:rsidTr="008B6E4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8335E7" w:rsidP="00C62708">
            <w:pPr>
              <w:rPr>
                <w:sz w:val="22"/>
                <w:szCs w:val="22"/>
                <w:lang w:val="uk-UA"/>
              </w:rPr>
            </w:pPr>
            <w:r w:rsidRPr="00E634AA">
              <w:rPr>
                <w:sz w:val="22"/>
                <w:szCs w:val="22"/>
                <w:lang w:val="uk-UA"/>
              </w:rPr>
              <w:t>2</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6F428D" w:rsidP="00C62708">
            <w:pPr>
              <w:rPr>
                <w:sz w:val="22"/>
                <w:szCs w:val="22"/>
                <w:lang w:val="uk-UA"/>
              </w:rPr>
            </w:pPr>
            <w:r w:rsidRPr="00E634AA">
              <w:rPr>
                <w:sz w:val="22"/>
                <w:szCs w:val="22"/>
                <w:lang w:val="uk-UA"/>
              </w:rPr>
              <w:t>Обґрунтування технічних та якісних характеристик предмета закупівлі</w:t>
            </w:r>
          </w:p>
        </w:tc>
        <w:tc>
          <w:tcPr>
            <w:tcW w:w="1181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EA6113" w:rsidRPr="00E634AA" w:rsidRDefault="00EA6113" w:rsidP="00E634AA">
            <w:pPr>
              <w:shd w:val="clear" w:color="auto" w:fill="FFFFFF"/>
              <w:ind w:right="111" w:firstLine="450"/>
              <w:jc w:val="both"/>
              <w:rPr>
                <w:sz w:val="22"/>
                <w:szCs w:val="22"/>
                <w:lang w:val="uk-UA"/>
              </w:rPr>
            </w:pPr>
            <w:r w:rsidRPr="00E634AA">
              <w:rPr>
                <w:sz w:val="22"/>
                <w:szCs w:val="22"/>
                <w:lang w:val="uk-UA"/>
              </w:rPr>
              <w:t xml:space="preserve">Газ горючий природний для промислового та комунального призначення. </w:t>
            </w:r>
          </w:p>
          <w:p w:rsidR="00EA6113" w:rsidRPr="00E634AA" w:rsidRDefault="00EA6113" w:rsidP="00E634AA">
            <w:pPr>
              <w:shd w:val="clear" w:color="auto" w:fill="FFFFFF"/>
              <w:ind w:right="111" w:firstLine="450"/>
              <w:jc w:val="both"/>
              <w:rPr>
                <w:sz w:val="22"/>
                <w:szCs w:val="22"/>
                <w:lang w:val="uk-UA" w:eastAsia="uk-UA"/>
              </w:rPr>
            </w:pPr>
            <w:r w:rsidRPr="00E634AA">
              <w:rPr>
                <w:sz w:val="22"/>
                <w:szCs w:val="22"/>
                <w:lang w:val="uk-UA"/>
              </w:rPr>
              <w:t xml:space="preserve">Природний газ, нафтовий (попутний) газ, газ (метан) вугільних родовищ та газ сланцевих </w:t>
            </w:r>
            <w:proofErr w:type="spellStart"/>
            <w:r w:rsidRPr="00E634AA">
              <w:rPr>
                <w:sz w:val="22"/>
                <w:szCs w:val="22"/>
                <w:lang w:val="uk-UA"/>
              </w:rPr>
              <w:t>товщ</w:t>
            </w:r>
            <w:proofErr w:type="spellEnd"/>
            <w:r w:rsidRPr="00E634AA">
              <w:rPr>
                <w:sz w:val="22"/>
                <w:szCs w:val="22"/>
                <w:lang w:val="uk-UA"/>
              </w:rPr>
              <w:t>, газ колекторів щільних порід, газ центрально-басейнового типу (далі – природний газ)</w:t>
            </w:r>
            <w:r w:rsidR="00681965">
              <w:rPr>
                <w:sz w:val="22"/>
                <w:szCs w:val="22"/>
                <w:lang w:val="uk-UA"/>
              </w:rPr>
              <w:t xml:space="preserve"> </w:t>
            </w:r>
            <w:r w:rsidRPr="00E634AA">
              <w:rPr>
                <w:sz w:val="22"/>
                <w:szCs w:val="22"/>
                <w:lang w:val="uk-UA"/>
              </w:rPr>
              <w:t>- суміш вуглеводних компонентів, що перебуває у газоподібному стані за стандартних умов (тиск -760мм ртутного стовпа і температура - 20</w:t>
            </w:r>
            <w:r w:rsidRPr="00E634AA">
              <w:rPr>
                <w:sz w:val="22"/>
                <w:szCs w:val="22"/>
                <w:vertAlign w:val="superscript"/>
                <w:lang w:val="uk-UA"/>
              </w:rPr>
              <w:t>0</w:t>
            </w:r>
            <w:r w:rsidRPr="00E634AA">
              <w:rPr>
                <w:sz w:val="22"/>
                <w:szCs w:val="22"/>
                <w:lang w:val="uk-UA"/>
              </w:rPr>
              <w:t xml:space="preserve">С)  є товарною продукцією.  </w:t>
            </w:r>
          </w:p>
          <w:p w:rsidR="00EA6113" w:rsidRPr="00E634AA" w:rsidRDefault="00EA6113" w:rsidP="00E634AA">
            <w:pPr>
              <w:shd w:val="clear" w:color="auto" w:fill="FFFFFF"/>
              <w:ind w:right="111" w:firstLine="450"/>
              <w:jc w:val="both"/>
              <w:rPr>
                <w:sz w:val="22"/>
                <w:szCs w:val="22"/>
                <w:lang w:val="uk-UA" w:eastAsia="uk-UA"/>
              </w:rPr>
            </w:pPr>
            <w:r w:rsidRPr="00E634AA">
              <w:rPr>
                <w:sz w:val="22"/>
                <w:szCs w:val="22"/>
                <w:lang w:val="uk-UA" w:eastAsia="uk-UA"/>
              </w:rPr>
              <w:t xml:space="preserve">Характеристики якості природного газу відповідають </w:t>
            </w:r>
            <w:hyperlink r:id="rId9" w:anchor="n18" w:tgtFrame="_blank" w:history="1">
              <w:r w:rsidRPr="00E634AA">
                <w:rPr>
                  <w:sz w:val="22"/>
                  <w:szCs w:val="22"/>
                  <w:u w:val="single"/>
                  <w:lang w:val="uk-UA" w:eastAsia="uk-UA"/>
                </w:rPr>
                <w:t>Кодексу газотранспортної системи</w:t>
              </w:r>
            </w:hyperlink>
            <w:r w:rsidRPr="00E634AA">
              <w:rPr>
                <w:sz w:val="22"/>
                <w:szCs w:val="22"/>
                <w:lang w:val="uk-UA" w:eastAsia="uk-UA"/>
              </w:rPr>
              <w:t>, затвердженого постановою Національної комісії, що здійсн</w:t>
            </w:r>
            <w:bookmarkStart w:id="0" w:name="_GoBack"/>
            <w:bookmarkEnd w:id="0"/>
            <w:r w:rsidRPr="00E634AA">
              <w:rPr>
                <w:sz w:val="22"/>
                <w:szCs w:val="22"/>
                <w:lang w:val="uk-UA" w:eastAsia="uk-UA"/>
              </w:rPr>
              <w:t>ює державне регулювання у сферах енергетики та комунальних послуг, від 30 вересня 2015 року № 2493, а саме:</w:t>
            </w:r>
          </w:p>
          <w:p w:rsidR="006F428D" w:rsidRPr="00E634AA" w:rsidRDefault="00EA6113" w:rsidP="00E634AA">
            <w:pPr>
              <w:widowControl w:val="0"/>
              <w:ind w:right="111"/>
              <w:jc w:val="both"/>
              <w:rPr>
                <w:bCs/>
                <w:sz w:val="22"/>
                <w:szCs w:val="22"/>
                <w:lang w:val="uk-UA"/>
              </w:rPr>
            </w:pPr>
            <w:r w:rsidRPr="00E634AA">
              <w:rPr>
                <w:sz w:val="22"/>
                <w:szCs w:val="22"/>
              </w:rPr>
              <w:t>п</w:t>
            </w:r>
            <w:r w:rsidRPr="00E634AA">
              <w:rPr>
                <w:sz w:val="22"/>
                <w:szCs w:val="22"/>
                <w:lang w:val="uk-UA"/>
              </w:rPr>
              <w:t xml:space="preserve">.13 Розділу </w:t>
            </w:r>
            <w:r w:rsidRPr="00E634AA">
              <w:rPr>
                <w:rStyle w:val="rvts15"/>
                <w:bCs/>
                <w:sz w:val="22"/>
                <w:szCs w:val="22"/>
                <w:lang w:val="uk-UA"/>
              </w:rPr>
              <w:t>ІІІ. «Норми якості, фізико-хімічні показники та інші характеристики природного газу, правила обліку та документальне оформлення приймання-передачі природного газу» Частини 1. «Норми якості, фізико-хімічні показники та інші характеристики природного газу, що допускається до транспортування в газотранспортній системі».</w:t>
            </w:r>
          </w:p>
        </w:tc>
      </w:tr>
      <w:tr w:rsidR="006F428D" w:rsidRPr="007101A5" w:rsidTr="008B6E47">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6F428D" w:rsidP="00C62708">
            <w:pPr>
              <w:rPr>
                <w:bCs/>
                <w:sz w:val="22"/>
                <w:szCs w:val="22"/>
                <w:lang w:val="uk-UA"/>
              </w:rPr>
            </w:pPr>
            <w:r w:rsidRPr="00E634AA">
              <w:rPr>
                <w:bCs/>
                <w:sz w:val="22"/>
                <w:szCs w:val="22"/>
                <w:lang w:val="uk-UA"/>
              </w:rPr>
              <w:t>3</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E634AA" w:rsidRDefault="006F428D" w:rsidP="00C62708">
            <w:pPr>
              <w:rPr>
                <w:sz w:val="22"/>
                <w:szCs w:val="22"/>
                <w:lang w:val="uk-UA"/>
              </w:rPr>
            </w:pPr>
            <w:r w:rsidRPr="00E634AA">
              <w:rPr>
                <w:sz w:val="22"/>
                <w:szCs w:val="22"/>
                <w:lang w:val="uk-UA"/>
              </w:rPr>
              <w:t>Інша інформація</w:t>
            </w:r>
          </w:p>
        </w:tc>
        <w:tc>
          <w:tcPr>
            <w:tcW w:w="1181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B6E47" w:rsidRPr="00E634AA" w:rsidRDefault="008B6E47" w:rsidP="008B6E47">
            <w:pPr>
              <w:pStyle w:val="af5"/>
              <w:widowControl w:val="0"/>
              <w:spacing w:after="0" w:line="240" w:lineRule="auto"/>
              <w:ind w:left="0" w:right="56"/>
              <w:jc w:val="both"/>
              <w:rPr>
                <w:rFonts w:ascii="Times New Roman" w:hAnsi="Times New Roman"/>
                <w:lang w:val="uk-UA"/>
              </w:rPr>
            </w:pPr>
            <w:r w:rsidRPr="00E634AA">
              <w:rPr>
                <w:rFonts w:ascii="Times New Roman" w:hAnsi="Times New Roman"/>
                <w:lang w:val="uk-UA"/>
              </w:rPr>
              <w:t xml:space="preserve">Спосіб </w:t>
            </w:r>
            <w:r w:rsidRPr="00E634AA">
              <w:rPr>
                <w:rFonts w:ascii="Times New Roman" w:hAnsi="Times New Roman"/>
                <w:noProof/>
                <w:lang w:val="uk-UA"/>
              </w:rPr>
              <w:t>проведення аналізу ринку:</w:t>
            </w:r>
            <w:r w:rsidRPr="00E634AA">
              <w:rPr>
                <w:rFonts w:ascii="Times New Roman" w:hAnsi="Times New Roman"/>
                <w:lang w:val="uk-UA"/>
              </w:rPr>
              <w:t xml:space="preserve"> дані з сайту Української енергетичної біржі.</w:t>
            </w:r>
          </w:p>
          <w:p w:rsidR="006F428D" w:rsidRPr="00E634AA" w:rsidRDefault="008B6E47" w:rsidP="008B6E47">
            <w:pPr>
              <w:ind w:right="56"/>
              <w:jc w:val="both"/>
              <w:rPr>
                <w:i/>
                <w:sz w:val="22"/>
                <w:szCs w:val="22"/>
                <w:lang w:val="uk-UA"/>
              </w:rPr>
            </w:pPr>
            <w:r w:rsidRPr="00E634AA">
              <w:rPr>
                <w:sz w:val="22"/>
                <w:szCs w:val="22"/>
                <w:lang w:val="uk-UA"/>
              </w:rPr>
              <w:t>Взята середньозважена ціна (</w:t>
            </w:r>
            <w:proofErr w:type="spellStart"/>
            <w:r w:rsidRPr="00E634AA">
              <w:rPr>
                <w:sz w:val="22"/>
                <w:szCs w:val="22"/>
                <w:lang w:val="uk-UA"/>
              </w:rPr>
              <w:t>післяоплата</w:t>
            </w:r>
            <w:proofErr w:type="spellEnd"/>
            <w:r w:rsidRPr="00E634AA">
              <w:rPr>
                <w:sz w:val="22"/>
                <w:szCs w:val="22"/>
                <w:lang w:val="uk-UA"/>
              </w:rPr>
              <w:t xml:space="preserve">) місячного ресурсу природного газу за результатами електронних біржових торгів на Українській енергетичній біржі за </w:t>
            </w:r>
            <w:r w:rsidRPr="00E634AA">
              <w:rPr>
                <w:color w:val="2E74B5" w:themeColor="accent1" w:themeShade="BF"/>
                <w:sz w:val="22"/>
                <w:szCs w:val="22"/>
                <w:lang w:val="uk-UA"/>
              </w:rPr>
              <w:t>вересень</w:t>
            </w:r>
            <w:r w:rsidRPr="00E634AA">
              <w:rPr>
                <w:sz w:val="22"/>
                <w:szCs w:val="22"/>
                <w:lang w:val="uk-UA"/>
              </w:rPr>
              <w:t xml:space="preserve"> 2024 року</w:t>
            </w:r>
          </w:p>
        </w:tc>
      </w:tr>
    </w:tbl>
    <w:p w:rsidR="006F428D" w:rsidRPr="007101A5" w:rsidRDefault="006F428D" w:rsidP="00A12478">
      <w:pPr>
        <w:rPr>
          <w:b/>
          <w:lang w:val="uk-UA"/>
        </w:rPr>
      </w:pPr>
    </w:p>
    <w:p w:rsidR="00E634AA" w:rsidRDefault="00E634AA" w:rsidP="006926A0">
      <w:pPr>
        <w:ind w:firstLine="567"/>
        <w:jc w:val="both"/>
        <w:rPr>
          <w:lang w:val="uk-UA"/>
        </w:rPr>
      </w:pPr>
    </w:p>
    <w:p w:rsidR="00E634AA" w:rsidRDefault="00E634AA" w:rsidP="006926A0">
      <w:pPr>
        <w:ind w:firstLine="567"/>
        <w:jc w:val="both"/>
        <w:rPr>
          <w:lang w:val="uk-UA"/>
        </w:rPr>
      </w:pPr>
    </w:p>
    <w:p w:rsidR="006926A0" w:rsidRPr="008B6E47" w:rsidRDefault="006926A0" w:rsidP="006926A0">
      <w:pPr>
        <w:ind w:firstLine="567"/>
        <w:jc w:val="both"/>
        <w:rPr>
          <w:lang w:val="uk-UA"/>
        </w:rPr>
      </w:pPr>
      <w:r w:rsidRPr="008B6E47">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8B6E47" w:rsidRPr="00DF5F81" w:rsidRDefault="008B6E47" w:rsidP="008B6E47">
      <w:pPr>
        <w:widowControl w:val="0"/>
        <w:jc w:val="center"/>
        <w:rPr>
          <w:noProof/>
          <w:sz w:val="22"/>
          <w:szCs w:val="22"/>
          <w:lang w:val="uk-UA"/>
        </w:rPr>
      </w:pPr>
    </w:p>
    <w:tbl>
      <w:tblPr>
        <w:tblW w:w="152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20"/>
        <w:gridCol w:w="1135"/>
        <w:gridCol w:w="1275"/>
        <w:gridCol w:w="10348"/>
      </w:tblGrid>
      <w:tr w:rsidR="008B6E47" w:rsidRPr="00DF5F81" w:rsidTr="00614328">
        <w:trPr>
          <w:trHeight w:val="267"/>
        </w:trPr>
        <w:tc>
          <w:tcPr>
            <w:tcW w:w="15235" w:type="dxa"/>
            <w:gridSpan w:val="5"/>
            <w:tcBorders>
              <w:top w:val="single" w:sz="4" w:space="0" w:color="auto"/>
              <w:left w:val="single" w:sz="4" w:space="0" w:color="auto"/>
              <w:right w:val="single" w:sz="4" w:space="0" w:color="auto"/>
            </w:tcBorders>
            <w:shd w:val="clear" w:color="auto" w:fill="auto"/>
          </w:tcPr>
          <w:p w:rsidR="008B6E47" w:rsidRPr="00DF5F81" w:rsidRDefault="008B6E47" w:rsidP="00614328">
            <w:pPr>
              <w:widowControl w:val="0"/>
              <w:jc w:val="center"/>
              <w:rPr>
                <w:i/>
                <w:noProof/>
                <w:sz w:val="22"/>
                <w:szCs w:val="22"/>
                <w:highlight w:val="yellow"/>
                <w:lang w:val="uk-UA"/>
              </w:rPr>
            </w:pPr>
            <w:r w:rsidRPr="00DF5F81">
              <w:rPr>
                <w:noProof/>
                <w:sz w:val="22"/>
                <w:szCs w:val="22"/>
                <w:lang w:val="uk-UA"/>
              </w:rPr>
              <w:t>Технічна специфікація</w:t>
            </w:r>
          </w:p>
        </w:tc>
      </w:tr>
      <w:tr w:rsidR="008B6E47" w:rsidRPr="00DF5F81" w:rsidTr="00614328">
        <w:trPr>
          <w:trHeight w:val="661"/>
        </w:trPr>
        <w:tc>
          <w:tcPr>
            <w:tcW w:w="757"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rPr>
                <w:noProof/>
                <w:sz w:val="22"/>
                <w:szCs w:val="22"/>
                <w:lang w:val="uk-UA"/>
              </w:rPr>
            </w:pPr>
            <w:r w:rsidRPr="00DF5F81">
              <w:rPr>
                <w:noProof/>
                <w:sz w:val="22"/>
                <w:szCs w:val="22"/>
                <w:lang w:val="uk-UA"/>
              </w:rPr>
              <w:t>№ п/п</w:t>
            </w:r>
          </w:p>
        </w:tc>
        <w:tc>
          <w:tcPr>
            <w:tcW w:w="1720"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Найменування Товару</w:t>
            </w:r>
          </w:p>
          <w:p w:rsidR="008B6E47" w:rsidRPr="00DF5F81" w:rsidRDefault="008B6E47" w:rsidP="00614328">
            <w:pPr>
              <w:widowControl w:val="0"/>
              <w:jc w:val="center"/>
              <w:rPr>
                <w:bCs/>
                <w:noProof/>
                <w:snapToGrid w:val="0"/>
                <w:sz w:val="22"/>
                <w:szCs w:val="22"/>
                <w:lang w:val="uk-UA"/>
              </w:rPr>
            </w:pPr>
          </w:p>
        </w:tc>
        <w:tc>
          <w:tcPr>
            <w:tcW w:w="1135"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Одиниця</w:t>
            </w:r>
          </w:p>
          <w:p w:rsidR="008B6E47" w:rsidRPr="00DF5F81" w:rsidRDefault="008B6E47" w:rsidP="00614328">
            <w:pPr>
              <w:widowControl w:val="0"/>
              <w:jc w:val="center"/>
              <w:rPr>
                <w:noProof/>
                <w:sz w:val="22"/>
                <w:szCs w:val="22"/>
                <w:lang w:val="uk-UA"/>
              </w:rPr>
            </w:pPr>
            <w:r w:rsidRPr="00DF5F81">
              <w:rPr>
                <w:noProof/>
                <w:sz w:val="22"/>
                <w:szCs w:val="22"/>
                <w:lang w:val="uk-UA"/>
              </w:rPr>
              <w:t>виміру</w:t>
            </w:r>
          </w:p>
        </w:tc>
        <w:tc>
          <w:tcPr>
            <w:tcW w:w="1275"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Кількість</w:t>
            </w:r>
          </w:p>
          <w:p w:rsidR="008B6E47" w:rsidRPr="00DF5F81" w:rsidRDefault="008B6E47" w:rsidP="00614328">
            <w:pPr>
              <w:widowControl w:val="0"/>
              <w:jc w:val="center"/>
              <w:rPr>
                <w:noProof/>
                <w:sz w:val="22"/>
                <w:szCs w:val="22"/>
                <w:lang w:val="uk-UA"/>
              </w:rPr>
            </w:pPr>
          </w:p>
        </w:tc>
        <w:tc>
          <w:tcPr>
            <w:tcW w:w="10348" w:type="dxa"/>
            <w:tcBorders>
              <w:top w:val="single" w:sz="4" w:space="0" w:color="auto"/>
              <w:left w:val="single" w:sz="4" w:space="0" w:color="auto"/>
              <w:right w:val="single" w:sz="4" w:space="0" w:color="auto"/>
            </w:tcBorders>
            <w:shd w:val="clear" w:color="auto" w:fill="D9E2F3"/>
          </w:tcPr>
          <w:p w:rsidR="008B6E47" w:rsidRPr="00DF5F81" w:rsidRDefault="008B6E47" w:rsidP="00614328">
            <w:pPr>
              <w:widowControl w:val="0"/>
              <w:jc w:val="center"/>
              <w:rPr>
                <w:noProof/>
                <w:sz w:val="22"/>
                <w:szCs w:val="22"/>
                <w:lang w:val="uk-UA"/>
              </w:rPr>
            </w:pPr>
            <w:r w:rsidRPr="00DF5F81">
              <w:rPr>
                <w:noProof/>
                <w:sz w:val="22"/>
                <w:szCs w:val="22"/>
                <w:lang w:val="uk-UA"/>
              </w:rPr>
              <w:t>Технічні та якісні характеристики предмета закупівлі</w:t>
            </w:r>
          </w:p>
          <w:p w:rsidR="008B6E47" w:rsidRPr="00DF5F81" w:rsidRDefault="008B6E47" w:rsidP="00614328">
            <w:pPr>
              <w:widowControl w:val="0"/>
              <w:jc w:val="center"/>
              <w:rPr>
                <w:noProof/>
                <w:sz w:val="22"/>
                <w:szCs w:val="22"/>
                <w:lang w:val="uk-UA"/>
              </w:rPr>
            </w:pPr>
          </w:p>
        </w:tc>
      </w:tr>
      <w:tr w:rsidR="008B6E47" w:rsidRPr="00DF5F81" w:rsidTr="00E634AA">
        <w:trPr>
          <w:trHeight w:val="2258"/>
        </w:trPr>
        <w:tc>
          <w:tcPr>
            <w:tcW w:w="757" w:type="dxa"/>
            <w:tcBorders>
              <w:top w:val="single" w:sz="4" w:space="0" w:color="auto"/>
              <w:left w:val="single" w:sz="4" w:space="0" w:color="auto"/>
              <w:right w:val="single" w:sz="4" w:space="0" w:color="auto"/>
            </w:tcBorders>
            <w:shd w:val="clear" w:color="auto" w:fill="auto"/>
          </w:tcPr>
          <w:p w:rsidR="008B6E47" w:rsidRPr="00DF5F81" w:rsidRDefault="008B6E47" w:rsidP="00614328">
            <w:pPr>
              <w:widowControl w:val="0"/>
              <w:rPr>
                <w:noProof/>
                <w:sz w:val="22"/>
                <w:szCs w:val="22"/>
                <w:lang w:val="uk-UA"/>
              </w:rPr>
            </w:pPr>
            <w:r w:rsidRPr="00DF5F81">
              <w:rPr>
                <w:noProof/>
                <w:sz w:val="22"/>
                <w:szCs w:val="22"/>
                <w:lang w:val="uk-UA"/>
              </w:rPr>
              <w:t>1</w:t>
            </w:r>
          </w:p>
        </w:tc>
        <w:tc>
          <w:tcPr>
            <w:tcW w:w="1720" w:type="dxa"/>
            <w:tcBorders>
              <w:top w:val="single" w:sz="4" w:space="0" w:color="auto"/>
              <w:left w:val="single" w:sz="4" w:space="0" w:color="auto"/>
              <w:right w:val="single" w:sz="4" w:space="0" w:color="auto"/>
            </w:tcBorders>
            <w:shd w:val="clear" w:color="auto" w:fill="auto"/>
          </w:tcPr>
          <w:p w:rsidR="008B6E47" w:rsidRPr="00DF5F81" w:rsidRDefault="008B6E47" w:rsidP="00614328">
            <w:pPr>
              <w:suppressAutoHyphens/>
              <w:rPr>
                <w:noProof/>
                <w:sz w:val="22"/>
                <w:szCs w:val="22"/>
                <w:lang w:val="uk-UA"/>
              </w:rPr>
            </w:pPr>
            <w:r w:rsidRPr="00DF5F81">
              <w:rPr>
                <w:noProof/>
                <w:sz w:val="22"/>
                <w:szCs w:val="22"/>
                <w:lang w:val="uk-UA"/>
              </w:rPr>
              <w:t>Природний газ</w:t>
            </w:r>
          </w:p>
        </w:tc>
        <w:tc>
          <w:tcPr>
            <w:tcW w:w="1135" w:type="dxa"/>
            <w:tcBorders>
              <w:top w:val="single" w:sz="4" w:space="0" w:color="auto"/>
              <w:left w:val="single" w:sz="4" w:space="0" w:color="auto"/>
              <w:right w:val="single" w:sz="4" w:space="0" w:color="auto"/>
            </w:tcBorders>
            <w:shd w:val="clear" w:color="auto" w:fill="auto"/>
          </w:tcPr>
          <w:p w:rsidR="008B6E47" w:rsidRPr="00DF5F81" w:rsidRDefault="008B6E47" w:rsidP="00614328">
            <w:pPr>
              <w:suppressAutoHyphens/>
              <w:jc w:val="center"/>
              <w:rPr>
                <w:noProof/>
                <w:sz w:val="22"/>
                <w:szCs w:val="22"/>
                <w:lang w:val="uk-UA"/>
              </w:rPr>
            </w:pPr>
            <w:r w:rsidRPr="00DF5F81">
              <w:rPr>
                <w:noProof/>
                <w:sz w:val="22"/>
                <w:szCs w:val="22"/>
                <w:lang w:val="uk-UA"/>
              </w:rPr>
              <w:t>м</w:t>
            </w:r>
            <w:r w:rsidRPr="00DF5F81">
              <w:rPr>
                <w:noProof/>
                <w:sz w:val="22"/>
                <w:szCs w:val="22"/>
                <w:vertAlign w:val="superscript"/>
                <w:lang w:val="uk-UA"/>
              </w:rPr>
              <w:t>3</w:t>
            </w:r>
          </w:p>
        </w:tc>
        <w:tc>
          <w:tcPr>
            <w:tcW w:w="1275" w:type="dxa"/>
            <w:tcBorders>
              <w:top w:val="single" w:sz="4" w:space="0" w:color="auto"/>
              <w:left w:val="single" w:sz="4" w:space="0" w:color="auto"/>
              <w:right w:val="single" w:sz="4" w:space="0" w:color="auto"/>
            </w:tcBorders>
            <w:shd w:val="clear" w:color="auto" w:fill="auto"/>
          </w:tcPr>
          <w:p w:rsidR="008B6E47" w:rsidRPr="00DF5F81" w:rsidRDefault="008B6E47" w:rsidP="00614328">
            <w:pPr>
              <w:suppressAutoHyphens/>
              <w:jc w:val="center"/>
              <w:rPr>
                <w:noProof/>
                <w:sz w:val="22"/>
                <w:szCs w:val="22"/>
                <w:lang w:val="uk-UA"/>
              </w:rPr>
            </w:pPr>
            <w:r w:rsidRPr="00DF5F81">
              <w:rPr>
                <w:noProof/>
                <w:sz w:val="22"/>
                <w:szCs w:val="22"/>
                <w:lang w:val="uk-UA"/>
              </w:rPr>
              <w:t>853 000</w:t>
            </w:r>
          </w:p>
        </w:tc>
        <w:tc>
          <w:tcPr>
            <w:tcW w:w="10348" w:type="dxa"/>
            <w:tcBorders>
              <w:top w:val="single" w:sz="4" w:space="0" w:color="auto"/>
              <w:left w:val="single" w:sz="4" w:space="0" w:color="auto"/>
              <w:right w:val="single" w:sz="4" w:space="0" w:color="auto"/>
            </w:tcBorders>
            <w:shd w:val="clear" w:color="auto" w:fill="auto"/>
          </w:tcPr>
          <w:p w:rsidR="008B6E47" w:rsidRPr="00DF5F81" w:rsidRDefault="008B6E47" w:rsidP="00614328">
            <w:pPr>
              <w:shd w:val="clear" w:color="auto" w:fill="FFFFFF"/>
              <w:jc w:val="both"/>
              <w:rPr>
                <w:noProof/>
                <w:sz w:val="22"/>
                <w:szCs w:val="22"/>
                <w:lang w:val="uk-UA" w:eastAsia="uk-UA"/>
              </w:rPr>
            </w:pPr>
            <w:r w:rsidRPr="00DF5F81">
              <w:rPr>
                <w:noProof/>
                <w:sz w:val="22"/>
                <w:szCs w:val="22"/>
                <w:lang w:val="uk-UA" w:eastAsia="uk-UA"/>
              </w:rPr>
              <w:t xml:space="preserve">Характеристики якості природного газу відповідають </w:t>
            </w:r>
            <w:hyperlink r:id="rId10" w:anchor="n18" w:tgtFrame="_blank" w:history="1">
              <w:r w:rsidRPr="00DF5F81">
                <w:rPr>
                  <w:noProof/>
                  <w:sz w:val="22"/>
                  <w:szCs w:val="22"/>
                  <w:u w:val="single"/>
                  <w:lang w:val="uk-UA" w:eastAsia="uk-UA"/>
                </w:rPr>
                <w:t>Кодексу газотранспортної системи</w:t>
              </w:r>
            </w:hyperlink>
            <w:r w:rsidRPr="00DF5F81">
              <w:rPr>
                <w:noProof/>
                <w:sz w:val="22"/>
                <w:szCs w:val="22"/>
                <w:lang w:val="uk-UA" w:eastAsia="uk-UA"/>
              </w:rPr>
              <w:t>, затвердженого постановою Національної комісії, що здійснює державне регулювання у сферах енергетики та комунальних послуг, від 30.09.2015 № 2493, а саме:</w:t>
            </w:r>
          </w:p>
          <w:p w:rsidR="008B6E47" w:rsidRPr="00DF5F81" w:rsidRDefault="008B6E47" w:rsidP="00614328">
            <w:pPr>
              <w:pStyle w:val="rvps7"/>
              <w:shd w:val="clear" w:color="auto" w:fill="FFFFFF"/>
              <w:spacing w:before="0" w:beforeAutospacing="0" w:after="0" w:afterAutospacing="0"/>
              <w:jc w:val="both"/>
              <w:rPr>
                <w:rStyle w:val="rvts15"/>
                <w:bCs/>
                <w:noProof/>
                <w:sz w:val="22"/>
                <w:szCs w:val="22"/>
              </w:rPr>
            </w:pPr>
            <w:r w:rsidRPr="00DF5F81">
              <w:rPr>
                <w:noProof/>
                <w:sz w:val="22"/>
                <w:szCs w:val="22"/>
              </w:rPr>
              <w:t xml:space="preserve">п.13 Розділу </w:t>
            </w:r>
            <w:r w:rsidRPr="00DF5F81">
              <w:rPr>
                <w:rStyle w:val="rvts15"/>
                <w:bCs/>
                <w:noProof/>
                <w:sz w:val="22"/>
                <w:szCs w:val="22"/>
              </w:rPr>
              <w:t>ІІІ. «Норми якості, фізико-хімічні показники та інші характеристики природного газу, правила обліку та документальне оформлення приймання-передачі природного газу» Частини</w:t>
            </w:r>
            <w:bookmarkStart w:id="1" w:name="n182"/>
            <w:bookmarkEnd w:id="1"/>
            <w:r w:rsidRPr="00DF5F81">
              <w:rPr>
                <w:rStyle w:val="rvts15"/>
                <w:bCs/>
                <w:noProof/>
                <w:sz w:val="22"/>
                <w:szCs w:val="22"/>
              </w:rPr>
              <w:t xml:space="preserve"> 1. «Норми якості, фізико-хімічні показники та інші характеристики природного газу, що допускається до транспортування в газотранспортній системі».</w:t>
            </w:r>
          </w:p>
          <w:p w:rsidR="008B6E47" w:rsidRPr="00DF5F81" w:rsidRDefault="008B6E47" w:rsidP="00614328">
            <w:pPr>
              <w:jc w:val="both"/>
              <w:rPr>
                <w:b/>
                <w:noProof/>
                <w:sz w:val="22"/>
                <w:szCs w:val="22"/>
                <w:lang w:val="uk-UA"/>
              </w:rPr>
            </w:pPr>
            <w:r w:rsidRPr="00DF5F81">
              <w:rPr>
                <w:b/>
                <w:noProof/>
                <w:sz w:val="22"/>
                <w:szCs w:val="22"/>
                <w:lang w:val="uk-UA"/>
              </w:rPr>
              <w:t>Показники норми:</w:t>
            </w:r>
          </w:p>
          <w:tbl>
            <w:tblPr>
              <w:tblW w:w="10091" w:type="dxa"/>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6122"/>
              <w:gridCol w:w="3969"/>
            </w:tblGrid>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B6E47" w:rsidRPr="00DF5F81" w:rsidRDefault="008B6E47" w:rsidP="00614328">
                  <w:pPr>
                    <w:jc w:val="center"/>
                    <w:rPr>
                      <w:noProof/>
                      <w:sz w:val="22"/>
                      <w:szCs w:val="22"/>
                      <w:lang w:val="uk-UA"/>
                    </w:rPr>
                  </w:pPr>
                  <w:r w:rsidRPr="00DF5F81">
                    <w:rPr>
                      <w:b/>
                      <w:noProof/>
                      <w:sz w:val="22"/>
                      <w:szCs w:val="22"/>
                      <w:lang w:val="uk-UA"/>
                    </w:rPr>
                    <w:t>Найменування показника</w:t>
                  </w:r>
                </w:p>
              </w:tc>
              <w:tc>
                <w:tcPr>
                  <w:tcW w:w="396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8B6E47" w:rsidRPr="00DF5F81" w:rsidRDefault="008B6E47" w:rsidP="00614328">
                  <w:pPr>
                    <w:jc w:val="center"/>
                    <w:rPr>
                      <w:noProof/>
                      <w:sz w:val="22"/>
                      <w:szCs w:val="22"/>
                      <w:lang w:val="uk-UA"/>
                    </w:rPr>
                  </w:pPr>
                  <w:r w:rsidRPr="00DF5F81">
                    <w:rPr>
                      <w:b/>
                      <w:noProof/>
                      <w:sz w:val="22"/>
                      <w:szCs w:val="22"/>
                      <w:lang w:val="uk-UA"/>
                    </w:rPr>
                    <w:t>Норма</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tcPr>
                <w:p w:rsidR="008B6E47" w:rsidRPr="00DF5F81" w:rsidRDefault="008B6E47" w:rsidP="00614328">
                  <w:pPr>
                    <w:jc w:val="both"/>
                    <w:rPr>
                      <w:noProof/>
                      <w:sz w:val="22"/>
                      <w:szCs w:val="22"/>
                      <w:lang w:val="uk-UA"/>
                    </w:rPr>
                  </w:pPr>
                  <w:r w:rsidRPr="00DF5F81">
                    <w:rPr>
                      <w:noProof/>
                      <w:sz w:val="22"/>
                      <w:szCs w:val="22"/>
                      <w:lang w:val="uk-UA"/>
                    </w:rPr>
                    <w:t>вміст метану (C</w:t>
                  </w:r>
                  <w:r w:rsidRPr="00DF5F81">
                    <w:rPr>
                      <w:b/>
                      <w:bCs/>
                      <w:noProof/>
                      <w:sz w:val="22"/>
                      <w:szCs w:val="22"/>
                      <w:vertAlign w:val="subscript"/>
                      <w:lang w:val="uk-UA"/>
                    </w:rPr>
                    <w:t>1</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tcPr>
                <w:p w:rsidR="008B6E47" w:rsidRPr="00DF5F81" w:rsidRDefault="008B6E47" w:rsidP="00614328">
                  <w:pPr>
                    <w:jc w:val="both"/>
                    <w:rPr>
                      <w:noProof/>
                      <w:sz w:val="22"/>
                      <w:szCs w:val="22"/>
                      <w:lang w:val="uk-UA"/>
                    </w:rPr>
                  </w:pPr>
                  <w:r w:rsidRPr="00DF5F81">
                    <w:rPr>
                      <w:noProof/>
                      <w:sz w:val="22"/>
                      <w:szCs w:val="22"/>
                      <w:lang w:val="uk-UA"/>
                    </w:rPr>
                    <w:t>мінімум 90</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етану (C</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7</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пропану (C</w:t>
                  </w:r>
                  <w:r w:rsidRPr="00DF5F81">
                    <w:rPr>
                      <w:b/>
                      <w:bCs/>
                      <w:noProof/>
                      <w:sz w:val="22"/>
                      <w:szCs w:val="22"/>
                      <w:vertAlign w:val="subscript"/>
                      <w:lang w:val="uk-UA"/>
                    </w:rPr>
                    <w:t>3</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3</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бутану (C</w:t>
                  </w:r>
                  <w:r w:rsidRPr="00DF5F81">
                    <w:rPr>
                      <w:b/>
                      <w:bCs/>
                      <w:noProof/>
                      <w:sz w:val="22"/>
                      <w:szCs w:val="22"/>
                      <w:vertAlign w:val="subscript"/>
                      <w:lang w:val="uk-UA"/>
                    </w:rPr>
                    <w:t>4</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2</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пентану та інших більш важких вуглеводнів (C</w:t>
                  </w:r>
                  <w:r w:rsidRPr="00DF5F81">
                    <w:rPr>
                      <w:b/>
                      <w:bCs/>
                      <w:noProof/>
                      <w:sz w:val="22"/>
                      <w:szCs w:val="22"/>
                      <w:vertAlign w:val="subscript"/>
                      <w:lang w:val="uk-UA"/>
                    </w:rPr>
                    <w:t>5</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1</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азоту (N</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5</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вуглецю (CO</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2</w:t>
                  </w:r>
                </w:p>
              </w:tc>
            </w:tr>
            <w:tr w:rsidR="008B6E47" w:rsidRPr="00DF5F81" w:rsidTr="00614328">
              <w:tc>
                <w:tcPr>
                  <w:tcW w:w="6122"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вміст кисню (O</w:t>
                  </w:r>
                  <w:r w:rsidRPr="00DF5F81">
                    <w:rPr>
                      <w:b/>
                      <w:bCs/>
                      <w:noProof/>
                      <w:sz w:val="22"/>
                      <w:szCs w:val="22"/>
                      <w:vertAlign w:val="subscript"/>
                      <w:lang w:val="uk-UA"/>
                    </w:rPr>
                    <w:t>2</w:t>
                  </w:r>
                  <w:r w:rsidRPr="00DF5F81">
                    <w:rPr>
                      <w:noProof/>
                      <w:sz w:val="22"/>
                      <w:szCs w:val="22"/>
                      <w:lang w:val="uk-UA"/>
                    </w:rPr>
                    <w:t>), мол. %</w:t>
                  </w:r>
                </w:p>
              </w:tc>
              <w:tc>
                <w:tcPr>
                  <w:tcW w:w="3969" w:type="dxa"/>
                  <w:tcBorders>
                    <w:top w:val="single" w:sz="2" w:space="0" w:color="auto"/>
                    <w:left w:val="single" w:sz="2" w:space="0" w:color="auto"/>
                    <w:bottom w:val="single" w:sz="2" w:space="0" w:color="auto"/>
                    <w:right w:val="single" w:sz="2" w:space="0" w:color="auto"/>
                  </w:tcBorders>
                  <w:shd w:val="clear" w:color="auto" w:fill="FFFFFF"/>
                  <w:hideMark/>
                </w:tcPr>
                <w:p w:rsidR="008B6E47" w:rsidRPr="00DF5F81" w:rsidRDefault="008B6E47" w:rsidP="00614328">
                  <w:pPr>
                    <w:jc w:val="both"/>
                    <w:rPr>
                      <w:noProof/>
                      <w:sz w:val="22"/>
                      <w:szCs w:val="22"/>
                      <w:lang w:val="uk-UA"/>
                    </w:rPr>
                  </w:pPr>
                  <w:r w:rsidRPr="00DF5F81">
                    <w:rPr>
                      <w:noProof/>
                      <w:sz w:val="22"/>
                      <w:szCs w:val="22"/>
                      <w:lang w:val="uk-UA"/>
                    </w:rPr>
                    <w:t>максимум 0,2</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вища теплота згоряння (25 °C/20 °C)</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bookmarkStart w:id="2" w:name="n207"/>
                  <w:bookmarkEnd w:id="2"/>
                  <w:r w:rsidRPr="00DF5F81">
                    <w:rPr>
                      <w:noProof/>
                      <w:sz w:val="22"/>
                      <w:szCs w:val="22"/>
                      <w:lang w:val="uk-UA"/>
                    </w:rPr>
                    <w:t>мінімум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36,20 МДж/м</w:t>
                  </w:r>
                  <w:r w:rsidRPr="00DF5F81">
                    <w:rPr>
                      <w:b/>
                      <w:bCs/>
                      <w:noProof/>
                      <w:sz w:val="22"/>
                      <w:szCs w:val="22"/>
                      <w:vertAlign w:val="superscript"/>
                      <w:lang w:val="uk-UA"/>
                    </w:rPr>
                    <w:t>-3</w:t>
                  </w:r>
                  <w:r w:rsidRPr="00DF5F81">
                    <w:rPr>
                      <w:noProof/>
                      <w:sz w:val="22"/>
                      <w:szCs w:val="22"/>
                      <w:lang w:val="uk-UA"/>
                    </w:rPr>
                    <w:t> (10,06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38,30 МДж/м</w:t>
                  </w:r>
                  <w:r w:rsidRPr="00DF5F81">
                    <w:rPr>
                      <w:b/>
                      <w:bCs/>
                      <w:noProof/>
                      <w:sz w:val="22"/>
                      <w:szCs w:val="22"/>
                      <w:vertAlign w:val="superscript"/>
                      <w:lang w:val="uk-UA"/>
                    </w:rPr>
                    <w:t>-3</w:t>
                  </w:r>
                  <w:r w:rsidRPr="00DF5F81">
                    <w:rPr>
                      <w:noProof/>
                      <w:sz w:val="22"/>
                      <w:szCs w:val="22"/>
                      <w:lang w:val="uk-UA"/>
                    </w:rPr>
                    <w:t> (10,64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вища теплота згоряння (25 °C/0 °C)</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мінімум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38,85 МДж/м</w:t>
                  </w:r>
                  <w:r w:rsidRPr="00DF5F81">
                    <w:rPr>
                      <w:b/>
                      <w:bCs/>
                      <w:noProof/>
                      <w:sz w:val="22"/>
                      <w:szCs w:val="22"/>
                      <w:vertAlign w:val="superscript"/>
                      <w:lang w:val="uk-UA"/>
                    </w:rPr>
                    <w:t>-3</w:t>
                  </w:r>
                  <w:r w:rsidRPr="00DF5F81">
                    <w:rPr>
                      <w:noProof/>
                      <w:sz w:val="22"/>
                      <w:szCs w:val="22"/>
                      <w:lang w:val="uk-UA"/>
                    </w:rPr>
                    <w:t> (10,80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41,10 МДж/м</w:t>
                  </w:r>
                  <w:r w:rsidRPr="00DF5F81">
                    <w:rPr>
                      <w:b/>
                      <w:bCs/>
                      <w:noProof/>
                      <w:sz w:val="22"/>
                      <w:szCs w:val="22"/>
                      <w:vertAlign w:val="superscript"/>
                      <w:lang w:val="uk-UA"/>
                    </w:rPr>
                    <w:t>-3</w:t>
                  </w:r>
                  <w:r w:rsidRPr="00DF5F81">
                    <w:rPr>
                      <w:noProof/>
                      <w:sz w:val="22"/>
                      <w:szCs w:val="22"/>
                      <w:lang w:val="uk-UA"/>
                    </w:rPr>
                    <w:t> (11,42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нижча теплота згоряння (25 °C/20 °C)</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мінімум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32,66 МДж/м</w:t>
                  </w:r>
                  <w:r w:rsidRPr="00DF5F81">
                    <w:rPr>
                      <w:b/>
                      <w:bCs/>
                      <w:noProof/>
                      <w:sz w:val="22"/>
                      <w:szCs w:val="22"/>
                      <w:vertAlign w:val="superscript"/>
                      <w:lang w:val="uk-UA"/>
                    </w:rPr>
                    <w:t>-3</w:t>
                  </w:r>
                  <w:r w:rsidRPr="00DF5F81">
                    <w:rPr>
                      <w:noProof/>
                      <w:sz w:val="22"/>
                      <w:szCs w:val="22"/>
                      <w:lang w:val="uk-UA"/>
                    </w:rPr>
                    <w:t> (09,07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34,54 МДж/м</w:t>
                  </w:r>
                  <w:r w:rsidRPr="00DF5F81">
                    <w:rPr>
                      <w:b/>
                      <w:bCs/>
                      <w:noProof/>
                      <w:sz w:val="22"/>
                      <w:szCs w:val="22"/>
                      <w:vertAlign w:val="superscript"/>
                      <w:lang w:val="uk-UA"/>
                    </w:rPr>
                    <w:t>-3</w:t>
                  </w:r>
                  <w:r w:rsidRPr="00DF5F81">
                    <w:rPr>
                      <w:noProof/>
                      <w:sz w:val="22"/>
                      <w:szCs w:val="22"/>
                      <w:lang w:val="uk-UA"/>
                    </w:rPr>
                    <w:t> (09,59 кВт</w:t>
                  </w:r>
                  <w:r w:rsidRPr="00DF5F81">
                    <w:rPr>
                      <w:rFonts w:ascii="Cambria Math" w:hAnsi="Cambria Math" w:cs="Cambria Math"/>
                      <w:b/>
                      <w:bCs/>
                      <w:noProof/>
                      <w:sz w:val="22"/>
                      <w:szCs w:val="22"/>
                      <w:lang w:val="uk-UA"/>
                    </w:rPr>
                    <w:t>⋅</w:t>
                  </w:r>
                  <w:r w:rsidRPr="00DF5F81">
                    <w:rPr>
                      <w:noProof/>
                      <w:sz w:val="22"/>
                      <w:szCs w:val="22"/>
                      <w:lang w:val="uk-UA"/>
                    </w:rPr>
                    <w:t>год/м</w:t>
                  </w:r>
                  <w:r w:rsidRPr="00DF5F81">
                    <w:rPr>
                      <w:b/>
                      <w:bCs/>
                      <w:noProof/>
                      <w:sz w:val="22"/>
                      <w:szCs w:val="22"/>
                      <w:vertAlign w:val="superscript"/>
                      <w:lang w:val="uk-UA"/>
                    </w:rPr>
                    <w:t>-3</w:t>
                  </w:r>
                  <w:r w:rsidRPr="00DF5F81">
                    <w:rPr>
                      <w:noProof/>
                      <w:sz w:val="22"/>
                      <w:szCs w:val="22"/>
                      <w:lang w:val="uk-UA"/>
                    </w:rPr>
                    <w:t>)</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температура точки роси за вологою °С</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lastRenderedPageBreak/>
                    <w:t>при абсолютному тиску газу 3,92 МПа</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не перевищує мінус 8 (-8)</w:t>
                  </w:r>
                </w:p>
              </w:tc>
            </w:tr>
            <w:tr w:rsidR="008B6E47" w:rsidRPr="00DF5F81" w:rsidTr="00614328">
              <w:tblPrEx>
                <w:shd w:val="clear" w:color="auto" w:fill="auto"/>
              </w:tblPrEx>
              <w:tc>
                <w:tcPr>
                  <w:tcW w:w="10091" w:type="dxa"/>
                  <w:gridSpan w:val="2"/>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температура точки роси за вуглеводнями</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при температурі газу не нижче 0 °С</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не перевищує 0°С</w:t>
                  </w:r>
                </w:p>
              </w:tc>
            </w:tr>
            <w:tr w:rsidR="008B6E47" w:rsidRPr="00DF5F81" w:rsidTr="00614328">
              <w:tblPrEx>
                <w:shd w:val="clear" w:color="auto" w:fill="auto"/>
              </w:tblPrEx>
              <w:trPr>
                <w:trHeight w:val="220"/>
              </w:trPr>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вміст механічних домішок:</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відсутні</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вміст сірководню, г/м</w:t>
                  </w:r>
                  <w:r w:rsidRPr="00DF5F81">
                    <w:rPr>
                      <w:b/>
                      <w:bCs/>
                      <w:noProof/>
                      <w:sz w:val="22"/>
                      <w:szCs w:val="22"/>
                      <w:vertAlign w:val="superscript"/>
                      <w:lang w:val="uk-UA"/>
                    </w:rPr>
                    <w:t>-3</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 0,006</w:t>
                  </w:r>
                </w:p>
              </w:tc>
            </w:tr>
            <w:tr w:rsidR="008B6E47" w:rsidRPr="00DF5F81" w:rsidTr="00614328">
              <w:tblPrEx>
                <w:shd w:val="clear" w:color="auto" w:fill="auto"/>
              </w:tblPrEx>
              <w:tc>
                <w:tcPr>
                  <w:tcW w:w="6122"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вміст меркаптанової сірки, г/м</w:t>
                  </w:r>
                  <w:r w:rsidRPr="00DF5F81">
                    <w:rPr>
                      <w:b/>
                      <w:bCs/>
                      <w:noProof/>
                      <w:sz w:val="22"/>
                      <w:szCs w:val="22"/>
                      <w:vertAlign w:val="superscript"/>
                      <w:lang w:val="uk-UA"/>
                    </w:rPr>
                    <w:t>-3</w:t>
                  </w:r>
                </w:p>
              </w:tc>
              <w:tc>
                <w:tcPr>
                  <w:tcW w:w="3969" w:type="dxa"/>
                  <w:tcBorders>
                    <w:top w:val="single" w:sz="2" w:space="0" w:color="auto"/>
                    <w:left w:val="single" w:sz="2" w:space="0" w:color="auto"/>
                    <w:bottom w:val="single" w:sz="2" w:space="0" w:color="auto"/>
                    <w:right w:val="single" w:sz="2" w:space="0" w:color="auto"/>
                  </w:tcBorders>
                  <w:hideMark/>
                </w:tcPr>
                <w:p w:rsidR="008B6E47" w:rsidRPr="00DF5F81" w:rsidRDefault="008B6E47" w:rsidP="00614328">
                  <w:pPr>
                    <w:jc w:val="both"/>
                    <w:rPr>
                      <w:noProof/>
                      <w:sz w:val="22"/>
                      <w:szCs w:val="22"/>
                      <w:lang w:val="uk-UA"/>
                    </w:rPr>
                  </w:pPr>
                  <w:r w:rsidRPr="00DF5F81">
                    <w:rPr>
                      <w:noProof/>
                      <w:sz w:val="22"/>
                      <w:szCs w:val="22"/>
                      <w:lang w:val="uk-UA"/>
                    </w:rPr>
                    <w:t>максимум 0,02</w:t>
                  </w:r>
                </w:p>
              </w:tc>
            </w:tr>
          </w:tbl>
          <w:p w:rsidR="008B6E47" w:rsidRPr="00DF5F81" w:rsidRDefault="008B6E47" w:rsidP="00614328">
            <w:pPr>
              <w:rPr>
                <w:noProof/>
                <w:sz w:val="22"/>
                <w:szCs w:val="22"/>
                <w:lang w:val="uk-UA"/>
              </w:rPr>
            </w:pPr>
          </w:p>
        </w:tc>
      </w:tr>
    </w:tbl>
    <w:p w:rsidR="008B6E47" w:rsidRPr="00DF5F81" w:rsidRDefault="00E634AA" w:rsidP="008B6E47">
      <w:pPr>
        <w:rPr>
          <w:rFonts w:eastAsia="Calibri"/>
          <w:noProof/>
          <w:sz w:val="22"/>
          <w:szCs w:val="22"/>
          <w:lang w:val="uk-UA" w:eastAsia="en-US"/>
        </w:rPr>
      </w:pPr>
      <w:r>
        <w:rPr>
          <w:rFonts w:eastAsia="Calibri"/>
          <w:b/>
          <w:noProof/>
          <w:sz w:val="22"/>
          <w:szCs w:val="22"/>
          <w:lang w:val="uk-UA" w:eastAsia="en-US"/>
        </w:rPr>
        <w:lastRenderedPageBreak/>
        <w:t xml:space="preserve">  </w:t>
      </w:r>
      <w:r w:rsidR="008B6E47" w:rsidRPr="00DF5F81">
        <w:rPr>
          <w:rFonts w:eastAsia="Calibri"/>
          <w:b/>
          <w:noProof/>
          <w:sz w:val="22"/>
          <w:szCs w:val="22"/>
          <w:lang w:val="uk-UA" w:eastAsia="en-US"/>
        </w:rPr>
        <w:t>Персоніфіковані дані Споживача:</w:t>
      </w:r>
      <w:r w:rsidR="008B6E47" w:rsidRPr="00DF5F81">
        <w:rPr>
          <w:rFonts w:eastAsia="Calibri"/>
          <w:noProof/>
          <w:sz w:val="22"/>
          <w:szCs w:val="22"/>
          <w:lang w:val="uk-UA" w:eastAsia="en-US"/>
        </w:rPr>
        <w:t xml:space="preserve"> </w:t>
      </w:r>
      <w:r w:rsidR="008B6E47" w:rsidRPr="00DF5F81">
        <w:rPr>
          <w:b/>
          <w:noProof/>
          <w:sz w:val="22"/>
          <w:szCs w:val="22"/>
          <w:lang w:val="uk-UA"/>
        </w:rPr>
        <w:t>EIC код Споживача - 56ХО0000KFW1X00G</w:t>
      </w:r>
    </w:p>
    <w:p w:rsidR="008B6E47" w:rsidRDefault="008B6E47" w:rsidP="008B6E47">
      <w:pPr>
        <w:keepNext/>
        <w:keepLines/>
        <w:tabs>
          <w:tab w:val="left" w:pos="0"/>
          <w:tab w:val="left" w:pos="284"/>
        </w:tabs>
        <w:rPr>
          <w:b/>
          <w:noProof/>
          <w:sz w:val="22"/>
          <w:szCs w:val="22"/>
          <w:lang w:val="uk-UA" w:eastAsia="ar-SA"/>
        </w:rPr>
      </w:pPr>
    </w:p>
    <w:p w:rsidR="008B6E47" w:rsidRPr="00DF5F81" w:rsidRDefault="008B6E47" w:rsidP="00E634AA">
      <w:pPr>
        <w:keepNext/>
        <w:keepLines/>
        <w:tabs>
          <w:tab w:val="left" w:pos="284"/>
        </w:tabs>
        <w:ind w:left="142"/>
        <w:rPr>
          <w:noProof/>
          <w:sz w:val="22"/>
          <w:szCs w:val="22"/>
          <w:lang w:val="uk-UA" w:eastAsia="ar-SA"/>
        </w:rPr>
      </w:pPr>
      <w:r w:rsidRPr="00DF5F81">
        <w:rPr>
          <w:b/>
          <w:noProof/>
          <w:sz w:val="22"/>
          <w:szCs w:val="22"/>
          <w:lang w:val="uk-UA" w:eastAsia="ar-SA"/>
        </w:rPr>
        <w:t>Умови постачання Товару Замовнику повинні відповідати наступним нормативно-правовим актам:</w:t>
      </w:r>
    </w:p>
    <w:p w:rsidR="008B6E47" w:rsidRPr="00DF5F81" w:rsidRDefault="008B6E47" w:rsidP="00E634AA">
      <w:pPr>
        <w:tabs>
          <w:tab w:val="left" w:pos="426"/>
        </w:tabs>
        <w:ind w:left="142"/>
        <w:jc w:val="both"/>
        <w:rPr>
          <w:noProof/>
          <w:sz w:val="22"/>
          <w:szCs w:val="22"/>
          <w:lang w:val="uk-UA" w:eastAsia="ar-SA"/>
        </w:rPr>
      </w:pPr>
      <w:r w:rsidRPr="00DF5F81">
        <w:rPr>
          <w:noProof/>
          <w:sz w:val="22"/>
          <w:szCs w:val="22"/>
          <w:lang w:val="uk-UA" w:eastAsia="ar-SA"/>
        </w:rPr>
        <w:t>- Закону України «Про ринок природного газу»</w:t>
      </w:r>
      <w:r w:rsidRPr="00DF5F81">
        <w:rPr>
          <w:noProof/>
          <w:lang w:val="uk-UA"/>
        </w:rPr>
        <w:t xml:space="preserve"> </w:t>
      </w:r>
      <w:r w:rsidRPr="00DF5F81">
        <w:rPr>
          <w:noProof/>
          <w:sz w:val="22"/>
          <w:szCs w:val="22"/>
          <w:lang w:val="uk-UA"/>
        </w:rPr>
        <w:t>від 09.04.2015 № 329-VIII</w:t>
      </w:r>
      <w:r w:rsidRPr="00DF5F81">
        <w:rPr>
          <w:noProof/>
          <w:sz w:val="22"/>
          <w:szCs w:val="22"/>
          <w:lang w:val="uk-UA" w:eastAsia="ar-SA"/>
        </w:rPr>
        <w:t>;</w:t>
      </w:r>
    </w:p>
    <w:p w:rsidR="008B6E47" w:rsidRPr="00DF5F81" w:rsidRDefault="008B6E47" w:rsidP="00E634AA">
      <w:pPr>
        <w:tabs>
          <w:tab w:val="left" w:pos="426"/>
        </w:tabs>
        <w:ind w:left="142"/>
        <w:jc w:val="both"/>
        <w:rPr>
          <w:noProof/>
          <w:sz w:val="22"/>
          <w:szCs w:val="22"/>
          <w:lang w:val="uk-UA" w:eastAsia="ar-SA"/>
        </w:rPr>
      </w:pPr>
      <w:r w:rsidRPr="00DF5F81">
        <w:rPr>
          <w:noProof/>
          <w:sz w:val="22"/>
          <w:szCs w:val="22"/>
          <w:lang w:val="uk-UA" w:eastAsia="ar-SA"/>
        </w:rPr>
        <w:t>- Правилам постачання природного газу, затвердженим постановою НКРЕКП від 30.09.2015 № 2496;</w:t>
      </w:r>
    </w:p>
    <w:p w:rsidR="008B6E47" w:rsidRPr="00DF5F81" w:rsidRDefault="008B6E47" w:rsidP="00E634AA">
      <w:pPr>
        <w:tabs>
          <w:tab w:val="left" w:pos="426"/>
        </w:tabs>
        <w:ind w:left="142"/>
        <w:jc w:val="both"/>
        <w:rPr>
          <w:noProof/>
          <w:sz w:val="22"/>
          <w:szCs w:val="22"/>
          <w:lang w:val="uk-UA"/>
        </w:rPr>
      </w:pPr>
      <w:r w:rsidRPr="00DF5F81">
        <w:rPr>
          <w:noProof/>
          <w:sz w:val="22"/>
          <w:szCs w:val="22"/>
          <w:lang w:val="uk-UA"/>
        </w:rPr>
        <w:t>- Кодексу газорозподільних систем, затвердженим Постановою НКРЕКП від 30.09.2015 № 2494;</w:t>
      </w:r>
    </w:p>
    <w:p w:rsidR="008B6E47" w:rsidRPr="00DF5F81" w:rsidRDefault="008B6E47" w:rsidP="00E634AA">
      <w:pPr>
        <w:tabs>
          <w:tab w:val="left" w:pos="426"/>
        </w:tabs>
        <w:ind w:left="142"/>
        <w:jc w:val="both"/>
        <w:rPr>
          <w:noProof/>
          <w:sz w:val="22"/>
          <w:szCs w:val="22"/>
          <w:lang w:val="uk-UA" w:eastAsia="ar-SA"/>
        </w:rPr>
      </w:pPr>
      <w:r w:rsidRPr="00DF5F81">
        <w:rPr>
          <w:noProof/>
          <w:sz w:val="22"/>
          <w:szCs w:val="22"/>
          <w:lang w:val="uk-UA"/>
        </w:rPr>
        <w:t>- Кодексу газотранспортної системи, затвердженим Постановою НКРЕКП від 30.09.2015 № 2493;</w:t>
      </w:r>
    </w:p>
    <w:p w:rsidR="008B6E47" w:rsidRPr="00DF5F81" w:rsidRDefault="008B6E47" w:rsidP="00E634AA">
      <w:pPr>
        <w:tabs>
          <w:tab w:val="left" w:pos="426"/>
        </w:tabs>
        <w:ind w:left="142"/>
        <w:jc w:val="both"/>
        <w:rPr>
          <w:noProof/>
          <w:sz w:val="22"/>
          <w:szCs w:val="22"/>
          <w:lang w:val="uk-UA"/>
        </w:rPr>
      </w:pPr>
      <w:r w:rsidRPr="00DF5F81">
        <w:rPr>
          <w:noProof/>
          <w:sz w:val="22"/>
          <w:szCs w:val="22"/>
          <w:lang w:val="uk-UA" w:eastAsia="ar-SA"/>
        </w:rPr>
        <w:t>- іншим чинним нормативно-правовим актам, прийнятим на виконання Закону України «Про ринок природного газу».</w:t>
      </w:r>
    </w:p>
    <w:p w:rsidR="006F428D" w:rsidRPr="007101A5" w:rsidRDefault="006F428D" w:rsidP="00E634AA">
      <w:pPr>
        <w:ind w:left="142"/>
        <w:rPr>
          <w:b/>
          <w:lang w:val="uk-UA"/>
        </w:rPr>
      </w:pPr>
    </w:p>
    <w:p w:rsidR="006F428D" w:rsidRPr="007101A5" w:rsidRDefault="006F428D" w:rsidP="00A12478">
      <w:pPr>
        <w:rPr>
          <w:b/>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E634AA">
      <w:headerReference w:type="even" r:id="rId11"/>
      <w:headerReference w:type="default" r:id="rId12"/>
      <w:footerReference w:type="default" r:id="rId13"/>
      <w:pgSz w:w="16838" w:h="11906" w:orient="landscape"/>
      <w:pgMar w:top="925" w:right="678" w:bottom="567" w:left="993" w:header="568" w:footer="5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AD" w:rsidRDefault="00D631AD">
      <w:r>
        <w:separator/>
      </w:r>
    </w:p>
  </w:endnote>
  <w:endnote w:type="continuationSeparator" w:id="0">
    <w:p w:rsidR="00D631AD" w:rsidRDefault="00D6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11868"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AB02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D631AD">
      <w:rPr>
        <w:sz w:val="20"/>
        <w:szCs w:val="20"/>
        <w:lang w:val="uk-UA"/>
      </w:rPr>
      <w:t xml:space="preserve">Природний газ, код ДК 021:2015 - 09120000-6 - Газове паливо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681965">
      <w:rPr>
        <w:bCs/>
        <w:noProof/>
        <w:sz w:val="20"/>
        <w:szCs w:val="20"/>
      </w:rPr>
      <w:t>3</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681965">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AD" w:rsidRDefault="00D631AD">
      <w:r>
        <w:separator/>
      </w:r>
    </w:p>
  </w:footnote>
  <w:footnote w:type="continuationSeparator" w:id="0">
    <w:p w:rsidR="00D631AD" w:rsidRDefault="00D6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811868"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C030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4625" cy="2863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965"/>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868"/>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6E47"/>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31AD"/>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34AA"/>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113"/>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BF3B83"/>
  <w15:chartTrackingRefBased/>
  <w15:docId w15:val="{1C1A0558-309D-4873-88EB-1BD8C812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CA bullets"/>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5"/>
    <w:uiPriority w:val="34"/>
    <w:locked/>
    <w:rsid w:val="006F0757"/>
    <w:rPr>
      <w:rFonts w:ascii="Calibri" w:eastAsia="Calibri" w:hAnsi="Calibri"/>
      <w:sz w:val="22"/>
      <w:szCs w:val="22"/>
      <w:lang w:val="ru-RU" w:eastAsia="en-US"/>
    </w:rPr>
  </w:style>
  <w:style w:type="character" w:customStyle="1" w:styleId="rvts15">
    <w:name w:val="rvts15"/>
    <w:basedOn w:val="a0"/>
    <w:rsid w:val="00EA6113"/>
    <w:rPr>
      <w:rFonts w:cs="Times New Roman"/>
    </w:rPr>
  </w:style>
  <w:style w:type="paragraph" w:customStyle="1" w:styleId="rvps7">
    <w:name w:val="rvps7"/>
    <w:basedOn w:val="a"/>
    <w:rsid w:val="008B6E4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rada/show/z1378-15" TargetMode="External"/><Relationship Id="rId4" Type="http://schemas.openxmlformats.org/officeDocument/2006/relationships/settings" Target="settings.xml"/><Relationship Id="rId9" Type="http://schemas.openxmlformats.org/officeDocument/2006/relationships/hyperlink" Target="https://zakon.rada.gov.ua/rada/show/z1378-1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5FFC-0390-4FB4-B3FF-3AF2717D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689</Words>
  <Characters>4750</Characters>
  <Application>Microsoft Office Word</Application>
  <DocSecurity>0</DocSecurity>
  <Lines>39</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2024-10-21T08:45:00Z</dcterms:created>
  <dcterms:modified xsi:type="dcterms:W3CDTF">2024-10-21T11:00:00Z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