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7101A5" w:rsidTr="001021AF">
        <w:tc>
          <w:tcPr>
            <w:tcW w:w="4683" w:type="dxa"/>
          </w:tcPr>
          <w:p w:rsidR="00825A6B" w:rsidRPr="007101A5" w:rsidRDefault="002B6846" w:rsidP="006926A0">
            <w:pPr>
              <w:pStyle w:val="a3"/>
              <w:widowControl w:val="0"/>
              <w:rPr>
                <w:szCs w:val="17"/>
                <w:lang w:val="uk-UA"/>
              </w:rPr>
            </w:pPr>
            <w:r>
              <w:rPr>
                <w:noProof/>
                <w:lang w:val="uk-UA" w:eastAsia="uk-UA"/>
              </w:rPr>
              <w:drawing>
                <wp:inline distT="0" distB="0" distL="0" distR="0">
                  <wp:extent cx="1447800" cy="28702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7020"/>
                          </a:xfrm>
                          <a:prstGeom prst="rect">
                            <a:avLst/>
                          </a:prstGeom>
                          <a:noFill/>
                          <a:ln>
                            <a:noFill/>
                          </a:ln>
                        </pic:spPr>
                      </pic:pic>
                    </a:graphicData>
                  </a:graphic>
                </wp:inline>
              </w:drawing>
            </w:r>
          </w:p>
        </w:tc>
        <w:tc>
          <w:tcPr>
            <w:tcW w:w="5171"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7101A5" w:rsidRDefault="006926A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7101A5">
              <w:rPr>
                <w:b w:val="0"/>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7101A5">
              <w:rPr>
                <w:color w:val="000000"/>
              </w:rPr>
              <w:t>»</w:t>
            </w:r>
          </w:p>
        </w:tc>
      </w:tr>
      <w:tr w:rsidR="001021AF" w:rsidRPr="00800AC4" w:rsidTr="00C62708">
        <w:tc>
          <w:tcPr>
            <w:tcW w:w="9854" w:type="dxa"/>
            <w:gridSpan w:val="2"/>
          </w:tcPr>
          <w:p w:rsidR="003C4B6B" w:rsidRPr="00800AC4" w:rsidRDefault="003C4B6B" w:rsidP="007D7B6F">
            <w:pPr>
              <w:pStyle w:val="1"/>
              <w:keepNext w:val="0"/>
              <w:widowControl w:val="0"/>
            </w:pPr>
          </w:p>
          <w:p w:rsidR="001021AF" w:rsidRPr="00800AC4" w:rsidRDefault="007D7B6F" w:rsidP="007D7B6F">
            <w:pPr>
              <w:pStyle w:val="1"/>
              <w:keepNext w:val="0"/>
              <w:widowControl w:val="0"/>
            </w:pPr>
            <w:r w:rsidRPr="00800AC4">
              <w:t>Обґрунтування технічних та якісних характеристик предмета закупівлі та очікуваної вартості предмета закупівлі</w:t>
            </w:r>
          </w:p>
        </w:tc>
      </w:tr>
    </w:tbl>
    <w:p w:rsidR="005F3529" w:rsidRPr="00800AC4" w:rsidRDefault="005F3529" w:rsidP="0063471D">
      <w:pPr>
        <w:pStyle w:val="a3"/>
        <w:widowControl w:val="0"/>
        <w:jc w:val="both"/>
        <w:rPr>
          <w:sz w:val="24"/>
          <w:szCs w:val="24"/>
          <w:lang w:val="uk-UA"/>
        </w:rPr>
      </w:pPr>
    </w:p>
    <w:p w:rsidR="007D7B6F" w:rsidRPr="00800AC4" w:rsidRDefault="003C4B6B" w:rsidP="0063471D">
      <w:pPr>
        <w:pStyle w:val="a3"/>
        <w:widowControl w:val="0"/>
        <w:jc w:val="both"/>
        <w:rPr>
          <w:sz w:val="24"/>
          <w:szCs w:val="24"/>
          <w:lang w:val="uk-UA"/>
        </w:rPr>
      </w:pPr>
      <w:r w:rsidRPr="00800AC4">
        <w:rPr>
          <w:sz w:val="24"/>
          <w:szCs w:val="24"/>
          <w:lang w:val="uk-UA"/>
        </w:rPr>
        <w:t xml:space="preserve">Підстава: </w:t>
      </w:r>
      <w:r w:rsidR="007D7B6F" w:rsidRPr="00800AC4">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800AC4"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5"/>
        <w:gridCol w:w="3116"/>
        <w:gridCol w:w="1932"/>
        <w:gridCol w:w="2249"/>
        <w:gridCol w:w="1910"/>
      </w:tblGrid>
      <w:tr w:rsidR="00A76484" w:rsidRPr="00800AC4" w:rsidTr="00BE12E1">
        <w:tc>
          <w:tcPr>
            <w:tcW w:w="488" w:type="pct"/>
            <w:shd w:val="clear" w:color="auto" w:fill="DEEAF6"/>
          </w:tcPr>
          <w:p w:rsidR="00A76484" w:rsidRPr="00800AC4" w:rsidRDefault="00A76484" w:rsidP="002D4D30">
            <w:pPr>
              <w:widowControl w:val="0"/>
              <w:contextualSpacing/>
              <w:jc w:val="center"/>
              <w:rPr>
                <w:b/>
                <w:lang w:val="uk-UA"/>
              </w:rPr>
            </w:pPr>
            <w:r w:rsidRPr="00800AC4">
              <w:rPr>
                <w:b/>
                <w:lang w:val="uk-UA"/>
              </w:rPr>
              <w:t>Пункт Кошторису</w:t>
            </w:r>
          </w:p>
        </w:tc>
        <w:tc>
          <w:tcPr>
            <w:tcW w:w="1527" w:type="pct"/>
            <w:shd w:val="clear" w:color="auto" w:fill="DEEAF6"/>
          </w:tcPr>
          <w:p w:rsidR="00A76484" w:rsidRPr="00800AC4" w:rsidRDefault="00A76484" w:rsidP="002D4D30">
            <w:pPr>
              <w:widowControl w:val="0"/>
              <w:contextualSpacing/>
              <w:jc w:val="center"/>
              <w:rPr>
                <w:b/>
                <w:lang w:val="uk-UA"/>
              </w:rPr>
            </w:pPr>
            <w:r w:rsidRPr="00800AC4">
              <w:rPr>
                <w:b/>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800AC4" w:rsidRDefault="00A76484" w:rsidP="00DB2D70">
            <w:pPr>
              <w:widowControl w:val="0"/>
              <w:contextualSpacing/>
              <w:jc w:val="center"/>
              <w:rPr>
                <w:b/>
                <w:lang w:val="uk-UA"/>
              </w:rPr>
            </w:pPr>
            <w:r w:rsidRPr="00800AC4">
              <w:rPr>
                <w:b/>
                <w:lang w:val="uk-UA"/>
              </w:rPr>
              <w:t>Очікувана варт</w:t>
            </w:r>
            <w:r w:rsidR="00DB2D70" w:rsidRPr="00800AC4">
              <w:rPr>
                <w:b/>
                <w:lang w:val="uk-UA"/>
              </w:rPr>
              <w:t>ість предмета закупівлі згідно р</w:t>
            </w:r>
            <w:r w:rsidRPr="00800AC4">
              <w:rPr>
                <w:b/>
                <w:lang w:val="uk-UA"/>
              </w:rPr>
              <w:t>ічного плану закупівель</w:t>
            </w:r>
          </w:p>
        </w:tc>
        <w:tc>
          <w:tcPr>
            <w:tcW w:w="1102" w:type="pct"/>
            <w:shd w:val="clear" w:color="auto" w:fill="DEEAF6"/>
          </w:tcPr>
          <w:p w:rsidR="00A76484" w:rsidRPr="00800AC4" w:rsidRDefault="00A76484" w:rsidP="002D4D30">
            <w:pPr>
              <w:widowControl w:val="0"/>
              <w:contextualSpacing/>
              <w:jc w:val="center"/>
              <w:rPr>
                <w:b/>
                <w:lang w:val="uk-UA"/>
              </w:rPr>
            </w:pPr>
            <w:r w:rsidRPr="00800AC4">
              <w:rPr>
                <w:b/>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800AC4" w:rsidRDefault="00A355EA" w:rsidP="002D4D30">
            <w:pPr>
              <w:widowControl w:val="0"/>
              <w:contextualSpacing/>
              <w:jc w:val="center"/>
              <w:rPr>
                <w:b/>
                <w:lang w:val="uk-UA"/>
              </w:rPr>
            </w:pPr>
            <w:r w:rsidRPr="00800AC4">
              <w:rPr>
                <w:b/>
                <w:lang w:val="uk-UA"/>
              </w:rPr>
              <w:t>Ідентифікатор процедури закупівлі</w:t>
            </w:r>
          </w:p>
        </w:tc>
      </w:tr>
      <w:tr w:rsidR="00BE12E1" w:rsidRPr="00800AC4" w:rsidTr="00BE12E1">
        <w:tc>
          <w:tcPr>
            <w:tcW w:w="488" w:type="pct"/>
          </w:tcPr>
          <w:p w:rsidR="00BE12E1" w:rsidRPr="00800AC4" w:rsidRDefault="00BE12E1" w:rsidP="003A3647">
            <w:pPr>
              <w:widowControl w:val="0"/>
              <w:ind w:right="-11"/>
              <w:jc w:val="center"/>
              <w:rPr>
                <w:lang w:val="uk-UA" w:eastAsia="uk-UA"/>
              </w:rPr>
            </w:pPr>
            <w:r w:rsidRPr="00800AC4">
              <w:rPr>
                <w:lang w:val="uk-UA"/>
              </w:rPr>
              <w:t xml:space="preserve">п. 3.08 </w:t>
            </w:r>
            <w:r w:rsidRPr="00800AC4">
              <w:rPr>
                <w:lang w:val="uk-UA" w:eastAsia="uk-UA"/>
              </w:rPr>
              <w:t>(2024)</w:t>
            </w:r>
          </w:p>
        </w:tc>
        <w:tc>
          <w:tcPr>
            <w:tcW w:w="1527" w:type="pct"/>
          </w:tcPr>
          <w:p w:rsidR="00BE12E1" w:rsidRPr="00800AC4" w:rsidRDefault="00BE12E1" w:rsidP="003A3647">
            <w:pPr>
              <w:widowControl w:val="0"/>
              <w:rPr>
                <w:bCs/>
                <w:lang w:val="uk-UA"/>
              </w:rPr>
            </w:pPr>
            <w:r w:rsidRPr="00800AC4">
              <w:rPr>
                <w:b/>
                <w:lang w:val="uk-UA"/>
              </w:rPr>
              <w:t xml:space="preserve">Промислові гази, </w:t>
            </w:r>
            <w:r w:rsidRPr="00800AC4">
              <w:rPr>
                <w:lang w:val="uk-UA"/>
              </w:rPr>
              <w:t xml:space="preserve">код ДК 021:2015 - 24110000-8 - Промислові гази </w:t>
            </w:r>
          </w:p>
        </w:tc>
        <w:tc>
          <w:tcPr>
            <w:tcW w:w="947" w:type="pct"/>
          </w:tcPr>
          <w:p w:rsidR="00BE12E1" w:rsidRPr="00800AC4" w:rsidRDefault="00BE12E1" w:rsidP="003A3647">
            <w:pPr>
              <w:widowControl w:val="0"/>
              <w:jc w:val="center"/>
              <w:rPr>
                <w:lang w:val="uk-UA"/>
              </w:rPr>
            </w:pPr>
            <w:r w:rsidRPr="00800AC4">
              <w:rPr>
                <w:lang w:val="uk-UA"/>
              </w:rPr>
              <w:t xml:space="preserve">73 645,00 </w:t>
            </w:r>
          </w:p>
          <w:p w:rsidR="00BE12E1" w:rsidRPr="00800AC4" w:rsidRDefault="00BE12E1" w:rsidP="003A3647">
            <w:pPr>
              <w:widowControl w:val="0"/>
              <w:jc w:val="center"/>
              <w:rPr>
                <w:lang w:val="uk-UA"/>
              </w:rPr>
            </w:pPr>
            <w:r w:rsidRPr="00800AC4">
              <w:rPr>
                <w:lang w:val="uk-UA"/>
              </w:rPr>
              <w:t>грн. з ПДВ</w:t>
            </w:r>
          </w:p>
        </w:tc>
        <w:tc>
          <w:tcPr>
            <w:tcW w:w="1102" w:type="pct"/>
          </w:tcPr>
          <w:p w:rsidR="00BE12E1" w:rsidRPr="00800AC4" w:rsidRDefault="00BE12E1" w:rsidP="003A3647">
            <w:pPr>
              <w:widowControl w:val="0"/>
              <w:jc w:val="center"/>
              <w:rPr>
                <w:lang w:val="uk-UA"/>
              </w:rPr>
            </w:pPr>
            <w:r w:rsidRPr="00800AC4">
              <w:rPr>
                <w:lang w:val="uk-UA"/>
              </w:rPr>
              <w:t>61 370,83</w:t>
            </w:r>
          </w:p>
          <w:p w:rsidR="00BE12E1" w:rsidRPr="00800AC4" w:rsidRDefault="00BE12E1" w:rsidP="003A3647">
            <w:pPr>
              <w:widowControl w:val="0"/>
              <w:jc w:val="center"/>
              <w:rPr>
                <w:lang w:val="uk-UA"/>
              </w:rPr>
            </w:pPr>
            <w:r w:rsidRPr="00800AC4">
              <w:rPr>
                <w:lang w:val="uk-UA"/>
              </w:rPr>
              <w:t xml:space="preserve">грн. без ПДВ </w:t>
            </w:r>
          </w:p>
        </w:tc>
        <w:bookmarkStart w:id="0" w:name="_GoBack"/>
        <w:tc>
          <w:tcPr>
            <w:tcW w:w="936" w:type="pct"/>
          </w:tcPr>
          <w:p w:rsidR="00BE12E1" w:rsidRPr="00C95469" w:rsidRDefault="00C95469" w:rsidP="002D4D30">
            <w:pPr>
              <w:widowControl w:val="0"/>
              <w:jc w:val="center"/>
              <w:rPr>
                <w:color w:val="0000FF"/>
                <w:sz w:val="22"/>
                <w:szCs w:val="22"/>
                <w:lang w:val="uk-UA"/>
              </w:rPr>
            </w:pPr>
            <w:r w:rsidRPr="00C95469">
              <w:rPr>
                <w:sz w:val="22"/>
                <w:szCs w:val="22"/>
              </w:rPr>
              <w:fldChar w:fldCharType="begin"/>
            </w:r>
            <w:r w:rsidRPr="00C95469">
              <w:rPr>
                <w:sz w:val="22"/>
                <w:szCs w:val="22"/>
              </w:rPr>
              <w:instrText xml:space="preserve"> HYPERLINK "http://prozorro.gov.ua/tender/UA-2024-11-15-007725-a/" </w:instrText>
            </w:r>
            <w:r w:rsidRPr="00C95469">
              <w:rPr>
                <w:sz w:val="22"/>
                <w:szCs w:val="22"/>
              </w:rPr>
              <w:fldChar w:fldCharType="separate"/>
            </w:r>
            <w:r w:rsidRPr="00C95469">
              <w:rPr>
                <w:rStyle w:val="ae"/>
                <w:sz w:val="22"/>
                <w:szCs w:val="22"/>
                <w:u w:val="none"/>
                <w:shd w:val="clear" w:color="auto" w:fill="FAFAFA"/>
              </w:rPr>
              <w:t>UA-2024-11-15-007725-a</w:t>
            </w:r>
            <w:r w:rsidRPr="00C95469">
              <w:rPr>
                <w:sz w:val="22"/>
                <w:szCs w:val="22"/>
              </w:rPr>
              <w:fldChar w:fldCharType="end"/>
            </w:r>
            <w:bookmarkEnd w:id="0"/>
          </w:p>
        </w:tc>
      </w:tr>
    </w:tbl>
    <w:p w:rsidR="00A12478" w:rsidRPr="00800AC4" w:rsidRDefault="00A12478" w:rsidP="0063471D">
      <w:pPr>
        <w:pStyle w:val="a3"/>
        <w:widowControl w:val="0"/>
        <w:jc w:val="both"/>
        <w:rPr>
          <w:sz w:val="24"/>
          <w:szCs w:val="24"/>
          <w:lang w:val="uk-UA"/>
        </w:rPr>
      </w:pPr>
    </w:p>
    <w:p w:rsidR="00A355EA" w:rsidRPr="00800AC4" w:rsidRDefault="00A355EA" w:rsidP="00C62708">
      <w:pPr>
        <w:widowControl w:val="0"/>
        <w:shd w:val="clear" w:color="auto" w:fill="DEEAF6"/>
        <w:jc w:val="center"/>
        <w:rPr>
          <w:lang w:val="uk-UA"/>
        </w:rPr>
      </w:pPr>
      <w:r w:rsidRPr="00800AC4">
        <w:rPr>
          <w:b/>
          <w:lang w:val="uk-UA"/>
        </w:rPr>
        <w:t>Обґрунтування на виконання вимог Постанови КМУ від 11.10.2016 № 710:</w:t>
      </w:r>
    </w:p>
    <w:p w:rsidR="006F428D" w:rsidRPr="00800AC4"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157E87" w:rsidRPr="00800AC4"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57E87" w:rsidRPr="00800AC4" w:rsidRDefault="00157E87" w:rsidP="00C62708">
            <w:pPr>
              <w:rPr>
                <w:lang w:val="uk-UA"/>
              </w:rPr>
            </w:pPr>
            <w:r w:rsidRPr="00800AC4">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57E87" w:rsidRPr="00800AC4" w:rsidRDefault="00157E87" w:rsidP="00C62708">
            <w:pPr>
              <w:rPr>
                <w:noProof/>
                <w:lang w:val="uk-UA"/>
              </w:rPr>
            </w:pPr>
            <w:r w:rsidRPr="00800AC4">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57E87" w:rsidRPr="00800AC4" w:rsidRDefault="00157E87" w:rsidP="003A3647">
            <w:pPr>
              <w:widowControl w:val="0"/>
              <w:ind w:right="162" w:firstLine="368"/>
              <w:jc w:val="both"/>
              <w:rPr>
                <w:noProof/>
                <w:lang w:val="uk-UA"/>
              </w:rPr>
            </w:pPr>
            <w:r w:rsidRPr="00800AC4">
              <w:rPr>
                <w:b/>
                <w:i/>
                <w:noProof/>
                <w:lang w:val="uk-UA"/>
              </w:rPr>
              <w:t>Обґрунтування очікуваної вартості предмета закупівлі:</w:t>
            </w:r>
            <w:r w:rsidRPr="00800AC4">
              <w:rPr>
                <w:noProof/>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157E87" w:rsidRPr="00800AC4" w:rsidRDefault="00157E87" w:rsidP="003A3647">
            <w:pPr>
              <w:widowControl w:val="0"/>
              <w:ind w:firstLine="368"/>
              <w:jc w:val="both"/>
              <w:rPr>
                <w:noProof/>
                <w:lang w:val="uk-UA"/>
              </w:rPr>
            </w:pPr>
            <w:r w:rsidRPr="00800AC4">
              <w:rPr>
                <w:noProof/>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r w:rsidR="00503AB7" w:rsidRPr="00800AC4">
              <w:t xml:space="preserve"> </w:t>
            </w:r>
            <w:r w:rsidR="00503AB7" w:rsidRPr="00800AC4">
              <w:rPr>
                <w:noProof/>
                <w:lang w:val="uk-UA"/>
              </w:rPr>
              <w:t>Розрахунок очікуваної вартості послуг проводився комбінованим методом.</w:t>
            </w:r>
          </w:p>
          <w:p w:rsidR="00157E87" w:rsidRPr="00800AC4" w:rsidRDefault="00157E87" w:rsidP="003A3647">
            <w:pPr>
              <w:widowControl w:val="0"/>
              <w:ind w:firstLine="368"/>
              <w:jc w:val="both"/>
              <w:rPr>
                <w:noProof/>
                <w:lang w:val="uk-UA"/>
              </w:rPr>
            </w:pPr>
            <w:r w:rsidRPr="00800AC4">
              <w:rPr>
                <w:b/>
                <w:i/>
                <w:noProof/>
                <w:lang w:val="uk-UA"/>
              </w:rPr>
              <w:t>Обґрунтування обсягів закупівлі:</w:t>
            </w:r>
            <w:r w:rsidRPr="00800AC4">
              <w:rPr>
                <w:b/>
                <w:noProof/>
                <w:lang w:val="uk-UA"/>
              </w:rPr>
              <w:t xml:space="preserve"> </w:t>
            </w:r>
            <w:r w:rsidRPr="00800AC4">
              <w:rPr>
                <w:noProof/>
                <w:lang w:val="uk-UA"/>
              </w:rPr>
              <w:t xml:space="preserve">Розрахунок кількості для закупівлі відповідно до «Розрахунку витрат гіпохлориту наторію» </w:t>
            </w:r>
          </w:p>
        </w:tc>
      </w:tr>
      <w:tr w:rsidR="00157E87" w:rsidRPr="00800AC4"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57E87" w:rsidRPr="00800AC4" w:rsidRDefault="00157E87" w:rsidP="00C62708">
            <w:pPr>
              <w:rPr>
                <w:lang w:val="uk-UA"/>
              </w:rPr>
            </w:pPr>
            <w:r w:rsidRPr="00800AC4">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57E87" w:rsidRPr="00800AC4" w:rsidRDefault="00157E87" w:rsidP="00C62708">
            <w:pPr>
              <w:rPr>
                <w:noProof/>
                <w:lang w:val="uk-UA"/>
              </w:rPr>
            </w:pPr>
            <w:r w:rsidRPr="00800AC4">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57E87" w:rsidRPr="00800AC4" w:rsidRDefault="00157E87" w:rsidP="003A3647">
            <w:pPr>
              <w:widowControl w:val="0"/>
              <w:ind w:right="162" w:firstLine="368"/>
              <w:jc w:val="both"/>
              <w:rPr>
                <w:noProof/>
                <w:lang w:val="uk-UA"/>
              </w:rPr>
            </w:pPr>
            <w:r w:rsidRPr="00800AC4">
              <w:rPr>
                <w:b/>
                <w:i/>
                <w:noProof/>
                <w:lang w:val="uk-UA"/>
              </w:rPr>
              <w:t>Визначення потреби в закупівлі:</w:t>
            </w:r>
            <w:r w:rsidRPr="00800AC4">
              <w:rPr>
                <w:noProof/>
                <w:lang w:val="uk-UA"/>
              </w:rPr>
              <w:t xml:space="preserve"> Закупівля товару зумовлена необхідністю проведення регламентних робіт профільними службами ДП МА «Бориспіль».</w:t>
            </w:r>
          </w:p>
          <w:p w:rsidR="00157E87" w:rsidRPr="00800AC4" w:rsidRDefault="00157E87" w:rsidP="003A3647">
            <w:pPr>
              <w:widowControl w:val="0"/>
              <w:ind w:right="162" w:firstLine="368"/>
              <w:jc w:val="both"/>
              <w:rPr>
                <w:noProof/>
                <w:lang w:val="uk-UA"/>
              </w:rPr>
            </w:pPr>
            <w:r w:rsidRPr="00800AC4">
              <w:rPr>
                <w:b/>
                <w:i/>
                <w:noProof/>
                <w:lang w:val="uk-UA"/>
              </w:rPr>
              <w:t>Обґрунтування технічних та якісних характеристик предмета закупівлі:</w:t>
            </w:r>
            <w:r w:rsidRPr="00800AC4">
              <w:rPr>
                <w:noProof/>
                <w:lang w:val="uk-UA"/>
              </w:rPr>
              <w:t xml:space="preserve"> Якісні та технічні характеристики предмета закупівлі визначені з урахуванням реальних потреб підприємства </w:t>
            </w:r>
            <w:r w:rsidRPr="00800AC4">
              <w:rPr>
                <w:noProof/>
                <w:lang w:val="uk-UA"/>
              </w:rPr>
              <w:lastRenderedPageBreak/>
              <w:t>та оптимального співвідношення ціни та якості.</w:t>
            </w:r>
          </w:p>
          <w:p w:rsidR="00157E87" w:rsidRPr="00800AC4" w:rsidRDefault="00157E87" w:rsidP="003A3647">
            <w:pPr>
              <w:widowControl w:val="0"/>
              <w:jc w:val="both"/>
              <w:rPr>
                <w:i/>
                <w:noProof/>
                <w:lang w:val="uk-UA"/>
              </w:rPr>
            </w:pPr>
            <w:r w:rsidRPr="00800AC4">
              <w:rPr>
                <w:noProof/>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bl>
    <w:p w:rsidR="006F428D" w:rsidRPr="00800AC4" w:rsidRDefault="006F428D" w:rsidP="00A12478">
      <w:pPr>
        <w:rPr>
          <w:b/>
          <w:lang w:val="uk-UA"/>
        </w:rPr>
      </w:pPr>
    </w:p>
    <w:p w:rsidR="006926A0" w:rsidRPr="00800AC4" w:rsidRDefault="006926A0" w:rsidP="006926A0">
      <w:pPr>
        <w:ind w:firstLine="567"/>
        <w:jc w:val="both"/>
        <w:rPr>
          <w:lang w:val="uk-UA"/>
        </w:rPr>
      </w:pPr>
      <w:r w:rsidRPr="00800AC4">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rsidR="00BF2689" w:rsidRPr="00800AC4" w:rsidRDefault="00BF2689" w:rsidP="00BF2689">
      <w:pPr>
        <w:widowControl w:val="0"/>
        <w:jc w:val="center"/>
        <w:rPr>
          <w:lang w:val="uk-UA"/>
        </w:rPr>
      </w:pPr>
    </w:p>
    <w:tbl>
      <w:tblPr>
        <w:tblW w:w="106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701"/>
        <w:gridCol w:w="1417"/>
        <w:gridCol w:w="1135"/>
        <w:gridCol w:w="851"/>
        <w:gridCol w:w="3116"/>
        <w:gridCol w:w="1730"/>
        <w:gridCol w:w="33"/>
      </w:tblGrid>
      <w:tr w:rsidR="00BF2689" w:rsidRPr="00800AC4" w:rsidTr="003A3647">
        <w:trPr>
          <w:trHeight w:val="217"/>
        </w:trPr>
        <w:tc>
          <w:tcPr>
            <w:tcW w:w="10617" w:type="dxa"/>
            <w:gridSpan w:val="8"/>
            <w:tcBorders>
              <w:top w:val="single" w:sz="4" w:space="0" w:color="auto"/>
              <w:left w:val="single" w:sz="4" w:space="0" w:color="auto"/>
              <w:right w:val="single" w:sz="4" w:space="0" w:color="auto"/>
            </w:tcBorders>
            <w:shd w:val="clear" w:color="auto" w:fill="auto"/>
          </w:tcPr>
          <w:p w:rsidR="00BF2689" w:rsidRPr="00800AC4" w:rsidRDefault="00BF2689" w:rsidP="003A3647">
            <w:pPr>
              <w:widowControl w:val="0"/>
              <w:jc w:val="center"/>
              <w:rPr>
                <w:i/>
                <w:highlight w:val="yellow"/>
                <w:lang w:val="uk-UA"/>
              </w:rPr>
            </w:pPr>
            <w:r w:rsidRPr="00800AC4">
              <w:rPr>
                <w:lang w:val="uk-UA"/>
              </w:rPr>
              <w:t>Технічна специфікація</w:t>
            </w:r>
          </w:p>
        </w:tc>
      </w:tr>
      <w:tr w:rsidR="00BF2689" w:rsidRPr="00800AC4" w:rsidTr="003A3647">
        <w:trPr>
          <w:gridAfter w:val="1"/>
          <w:wAfter w:w="33" w:type="dxa"/>
          <w:trHeight w:val="1369"/>
        </w:trPr>
        <w:tc>
          <w:tcPr>
            <w:tcW w:w="634" w:type="dxa"/>
            <w:tcBorders>
              <w:top w:val="single" w:sz="4" w:space="0" w:color="auto"/>
              <w:left w:val="single" w:sz="4" w:space="0" w:color="auto"/>
              <w:right w:val="single" w:sz="4" w:space="0" w:color="auto"/>
            </w:tcBorders>
            <w:shd w:val="clear" w:color="auto" w:fill="D9E2F3"/>
          </w:tcPr>
          <w:p w:rsidR="00BF2689" w:rsidRPr="00800AC4" w:rsidRDefault="00BF2689" w:rsidP="003A3647">
            <w:pPr>
              <w:widowControl w:val="0"/>
              <w:rPr>
                <w:lang w:val="uk-UA"/>
              </w:rPr>
            </w:pPr>
            <w:r w:rsidRPr="00800AC4">
              <w:rPr>
                <w:lang w:val="uk-UA"/>
              </w:rPr>
              <w:t>№ п/п</w:t>
            </w:r>
          </w:p>
        </w:tc>
        <w:tc>
          <w:tcPr>
            <w:tcW w:w="1701" w:type="dxa"/>
            <w:tcBorders>
              <w:top w:val="single" w:sz="4" w:space="0" w:color="auto"/>
              <w:left w:val="single" w:sz="4" w:space="0" w:color="auto"/>
              <w:right w:val="single" w:sz="4" w:space="0" w:color="auto"/>
            </w:tcBorders>
            <w:shd w:val="clear" w:color="auto" w:fill="D9E2F3"/>
          </w:tcPr>
          <w:p w:rsidR="00BF2689" w:rsidRPr="00800AC4" w:rsidRDefault="00BF2689" w:rsidP="003A3647">
            <w:pPr>
              <w:widowControl w:val="0"/>
              <w:jc w:val="center"/>
              <w:rPr>
                <w:lang w:val="uk-UA"/>
              </w:rPr>
            </w:pPr>
            <w:r w:rsidRPr="00800AC4">
              <w:rPr>
                <w:lang w:val="uk-UA"/>
              </w:rPr>
              <w:t>Найменування Товару</w:t>
            </w:r>
          </w:p>
          <w:p w:rsidR="00BF2689" w:rsidRPr="00800AC4" w:rsidRDefault="00BF2689" w:rsidP="003A3647">
            <w:pPr>
              <w:widowControl w:val="0"/>
              <w:jc w:val="center"/>
              <w:rPr>
                <w:lang w:val="uk-UA"/>
              </w:rPr>
            </w:pPr>
          </w:p>
        </w:tc>
        <w:tc>
          <w:tcPr>
            <w:tcW w:w="1417" w:type="dxa"/>
            <w:tcBorders>
              <w:top w:val="single" w:sz="4" w:space="0" w:color="auto"/>
              <w:left w:val="single" w:sz="4" w:space="0" w:color="auto"/>
              <w:right w:val="single" w:sz="4" w:space="0" w:color="auto"/>
            </w:tcBorders>
            <w:shd w:val="clear" w:color="auto" w:fill="D9E2F3"/>
          </w:tcPr>
          <w:p w:rsidR="00BF2689" w:rsidRPr="00800AC4" w:rsidRDefault="00BF2689" w:rsidP="003A3647">
            <w:pPr>
              <w:widowControl w:val="0"/>
              <w:jc w:val="center"/>
              <w:rPr>
                <w:bCs/>
                <w:snapToGrid w:val="0"/>
                <w:lang w:val="uk-UA"/>
              </w:rPr>
            </w:pPr>
            <w:r w:rsidRPr="00800AC4">
              <w:rPr>
                <w:bCs/>
                <w:snapToGrid w:val="0"/>
                <w:lang w:val="uk-UA"/>
              </w:rPr>
              <w:t>Тара (фасування)</w:t>
            </w:r>
          </w:p>
        </w:tc>
        <w:tc>
          <w:tcPr>
            <w:tcW w:w="1135" w:type="dxa"/>
            <w:tcBorders>
              <w:top w:val="single" w:sz="4" w:space="0" w:color="auto"/>
              <w:left w:val="single" w:sz="4" w:space="0" w:color="auto"/>
              <w:right w:val="single" w:sz="4" w:space="0" w:color="auto"/>
            </w:tcBorders>
            <w:shd w:val="clear" w:color="auto" w:fill="D9E2F3"/>
          </w:tcPr>
          <w:p w:rsidR="00BF2689" w:rsidRPr="00800AC4" w:rsidRDefault="00BF2689" w:rsidP="003A3647">
            <w:pPr>
              <w:widowControl w:val="0"/>
              <w:jc w:val="center"/>
              <w:rPr>
                <w:lang w:val="uk-UA"/>
              </w:rPr>
            </w:pPr>
            <w:r w:rsidRPr="00800AC4">
              <w:rPr>
                <w:lang w:val="uk-UA"/>
              </w:rPr>
              <w:t>Одиниця</w:t>
            </w:r>
          </w:p>
          <w:p w:rsidR="00BF2689" w:rsidRPr="00800AC4" w:rsidRDefault="00BF2689" w:rsidP="003A3647">
            <w:pPr>
              <w:widowControl w:val="0"/>
              <w:jc w:val="center"/>
              <w:rPr>
                <w:lang w:val="uk-UA"/>
              </w:rPr>
            </w:pPr>
            <w:r w:rsidRPr="00800AC4">
              <w:rPr>
                <w:lang w:val="uk-UA"/>
              </w:rPr>
              <w:t>виміру</w:t>
            </w:r>
          </w:p>
        </w:tc>
        <w:tc>
          <w:tcPr>
            <w:tcW w:w="851" w:type="dxa"/>
            <w:tcBorders>
              <w:top w:val="single" w:sz="4" w:space="0" w:color="auto"/>
              <w:left w:val="single" w:sz="4" w:space="0" w:color="auto"/>
              <w:right w:val="single" w:sz="4" w:space="0" w:color="auto"/>
            </w:tcBorders>
            <w:shd w:val="clear" w:color="auto" w:fill="D9E2F3"/>
          </w:tcPr>
          <w:p w:rsidR="00BF2689" w:rsidRPr="00800AC4" w:rsidRDefault="00BF2689" w:rsidP="003A3647">
            <w:pPr>
              <w:widowControl w:val="0"/>
              <w:jc w:val="center"/>
              <w:rPr>
                <w:lang w:val="uk-UA"/>
              </w:rPr>
            </w:pPr>
            <w:r w:rsidRPr="00800AC4">
              <w:rPr>
                <w:lang w:val="uk-UA"/>
              </w:rPr>
              <w:t>Кількість</w:t>
            </w:r>
          </w:p>
          <w:p w:rsidR="00BF2689" w:rsidRPr="00800AC4" w:rsidRDefault="00BF2689" w:rsidP="003A3647">
            <w:pPr>
              <w:widowControl w:val="0"/>
              <w:jc w:val="center"/>
              <w:rPr>
                <w:lang w:val="uk-UA"/>
              </w:rPr>
            </w:pPr>
          </w:p>
        </w:tc>
        <w:tc>
          <w:tcPr>
            <w:tcW w:w="3116" w:type="dxa"/>
            <w:tcBorders>
              <w:top w:val="single" w:sz="4" w:space="0" w:color="auto"/>
              <w:left w:val="single" w:sz="4" w:space="0" w:color="auto"/>
              <w:right w:val="single" w:sz="4" w:space="0" w:color="auto"/>
            </w:tcBorders>
            <w:shd w:val="clear" w:color="auto" w:fill="D9E2F3"/>
          </w:tcPr>
          <w:p w:rsidR="00BF2689" w:rsidRPr="00800AC4" w:rsidRDefault="00BF2689" w:rsidP="003A3647">
            <w:pPr>
              <w:widowControl w:val="0"/>
              <w:jc w:val="center"/>
              <w:rPr>
                <w:lang w:val="uk-UA"/>
              </w:rPr>
            </w:pPr>
            <w:r w:rsidRPr="00800AC4">
              <w:rPr>
                <w:lang w:val="uk-UA"/>
              </w:rPr>
              <w:t>Технічні та якісні характеристики предмета закупівлі</w:t>
            </w:r>
          </w:p>
          <w:p w:rsidR="00BF2689" w:rsidRPr="00800AC4" w:rsidRDefault="00BF2689" w:rsidP="003A3647">
            <w:pPr>
              <w:widowControl w:val="0"/>
              <w:jc w:val="center"/>
              <w:rPr>
                <w:lang w:val="uk-UA"/>
              </w:rPr>
            </w:pPr>
          </w:p>
        </w:tc>
        <w:tc>
          <w:tcPr>
            <w:tcW w:w="1730" w:type="dxa"/>
            <w:tcBorders>
              <w:top w:val="single" w:sz="4" w:space="0" w:color="auto"/>
              <w:left w:val="single" w:sz="4" w:space="0" w:color="auto"/>
              <w:right w:val="single" w:sz="4" w:space="0" w:color="auto"/>
            </w:tcBorders>
            <w:shd w:val="clear" w:color="auto" w:fill="D9E2F3"/>
          </w:tcPr>
          <w:p w:rsidR="00BF2689" w:rsidRPr="00800AC4" w:rsidRDefault="00BF2689" w:rsidP="003A3647">
            <w:pPr>
              <w:widowControl w:val="0"/>
              <w:jc w:val="center"/>
              <w:rPr>
                <w:lang w:val="uk-UA"/>
              </w:rPr>
            </w:pPr>
            <w:r w:rsidRPr="00800AC4">
              <w:rPr>
                <w:lang w:val="uk-UA"/>
              </w:rPr>
              <w:t>Документ, згідно якого виготовляється Товар / якому відповідає Товар</w:t>
            </w:r>
          </w:p>
        </w:tc>
      </w:tr>
      <w:tr w:rsidR="00BF2689" w:rsidRPr="00800AC4" w:rsidTr="003A3647">
        <w:trPr>
          <w:gridAfter w:val="1"/>
          <w:wAfter w:w="33" w:type="dxa"/>
          <w:trHeight w:val="4088"/>
        </w:trPr>
        <w:tc>
          <w:tcPr>
            <w:tcW w:w="634" w:type="dxa"/>
            <w:tcBorders>
              <w:top w:val="single" w:sz="4" w:space="0" w:color="auto"/>
              <w:left w:val="single" w:sz="4" w:space="0" w:color="auto"/>
              <w:right w:val="single" w:sz="4" w:space="0" w:color="auto"/>
            </w:tcBorders>
            <w:shd w:val="clear" w:color="auto" w:fill="auto"/>
          </w:tcPr>
          <w:p w:rsidR="00BF2689" w:rsidRPr="00800AC4" w:rsidRDefault="00BF2689" w:rsidP="003A3647">
            <w:pPr>
              <w:widowControl w:val="0"/>
              <w:rPr>
                <w:lang w:val="uk-UA"/>
              </w:rPr>
            </w:pPr>
            <w:r w:rsidRPr="00800AC4">
              <w:rPr>
                <w:lang w:val="uk-UA"/>
              </w:rPr>
              <w:t>1</w:t>
            </w:r>
          </w:p>
        </w:tc>
        <w:tc>
          <w:tcPr>
            <w:tcW w:w="1701" w:type="dxa"/>
            <w:tcBorders>
              <w:top w:val="single" w:sz="4" w:space="0" w:color="auto"/>
              <w:left w:val="single" w:sz="4" w:space="0" w:color="auto"/>
              <w:right w:val="single" w:sz="4" w:space="0" w:color="auto"/>
            </w:tcBorders>
            <w:shd w:val="clear" w:color="auto" w:fill="auto"/>
          </w:tcPr>
          <w:p w:rsidR="00BF2689" w:rsidRPr="00800AC4" w:rsidRDefault="00BF2689" w:rsidP="003A3647">
            <w:pPr>
              <w:widowControl w:val="0"/>
              <w:rPr>
                <w:lang w:val="uk-UA"/>
              </w:rPr>
            </w:pPr>
            <w:r w:rsidRPr="00800AC4">
              <w:rPr>
                <w:lang w:val="uk-UA"/>
              </w:rPr>
              <w:t>Азот газоподібний</w:t>
            </w:r>
          </w:p>
        </w:tc>
        <w:tc>
          <w:tcPr>
            <w:tcW w:w="1417" w:type="dxa"/>
            <w:tcBorders>
              <w:top w:val="single" w:sz="4" w:space="0" w:color="auto"/>
              <w:left w:val="single" w:sz="4" w:space="0" w:color="auto"/>
              <w:right w:val="single" w:sz="4" w:space="0" w:color="auto"/>
            </w:tcBorders>
            <w:shd w:val="clear" w:color="auto" w:fill="auto"/>
          </w:tcPr>
          <w:p w:rsidR="00BF2689" w:rsidRPr="00800AC4" w:rsidRDefault="00BF2689" w:rsidP="003A3647">
            <w:pPr>
              <w:widowControl w:val="0"/>
              <w:rPr>
                <w:bCs/>
                <w:snapToGrid w:val="0"/>
                <w:lang w:val="uk-UA"/>
              </w:rPr>
            </w:pPr>
            <w:r w:rsidRPr="00800AC4">
              <w:rPr>
                <w:bCs/>
                <w:snapToGrid w:val="0"/>
                <w:lang w:val="uk-UA"/>
              </w:rPr>
              <w:t xml:space="preserve">об’єм балону – </w:t>
            </w:r>
          </w:p>
          <w:p w:rsidR="00BF2689" w:rsidRPr="00800AC4" w:rsidRDefault="00BF2689" w:rsidP="003A3647">
            <w:pPr>
              <w:widowControl w:val="0"/>
              <w:rPr>
                <w:bCs/>
                <w:snapToGrid w:val="0"/>
                <w:lang w:val="uk-UA"/>
              </w:rPr>
            </w:pPr>
            <w:r w:rsidRPr="00800AC4">
              <w:rPr>
                <w:bCs/>
                <w:snapToGrid w:val="0"/>
                <w:lang w:val="uk-UA"/>
              </w:rPr>
              <w:t>40 літрів</w:t>
            </w:r>
          </w:p>
        </w:tc>
        <w:tc>
          <w:tcPr>
            <w:tcW w:w="1135" w:type="dxa"/>
            <w:tcBorders>
              <w:top w:val="single" w:sz="4" w:space="0" w:color="auto"/>
              <w:left w:val="single" w:sz="4" w:space="0" w:color="auto"/>
              <w:right w:val="single" w:sz="4" w:space="0" w:color="auto"/>
            </w:tcBorders>
            <w:shd w:val="clear" w:color="auto" w:fill="auto"/>
          </w:tcPr>
          <w:p w:rsidR="00BF2689" w:rsidRPr="00800AC4" w:rsidRDefault="00BF2689" w:rsidP="003A3647">
            <w:pPr>
              <w:widowControl w:val="0"/>
              <w:rPr>
                <w:lang w:val="uk-UA"/>
              </w:rPr>
            </w:pPr>
            <w:r w:rsidRPr="00800AC4">
              <w:rPr>
                <w:bCs/>
                <w:snapToGrid w:val="0"/>
                <w:lang w:val="uk-UA"/>
              </w:rPr>
              <w:t>балон</w:t>
            </w:r>
          </w:p>
        </w:tc>
        <w:tc>
          <w:tcPr>
            <w:tcW w:w="851" w:type="dxa"/>
            <w:tcBorders>
              <w:top w:val="single" w:sz="4" w:space="0" w:color="auto"/>
              <w:left w:val="single" w:sz="4" w:space="0" w:color="auto"/>
              <w:right w:val="single" w:sz="4" w:space="0" w:color="auto"/>
            </w:tcBorders>
            <w:shd w:val="clear" w:color="auto" w:fill="auto"/>
          </w:tcPr>
          <w:p w:rsidR="00BF2689" w:rsidRPr="00800AC4" w:rsidRDefault="00BF2689" w:rsidP="003A3647">
            <w:pPr>
              <w:widowControl w:val="0"/>
              <w:rPr>
                <w:lang w:val="uk-UA"/>
              </w:rPr>
            </w:pPr>
            <w:r w:rsidRPr="00800AC4">
              <w:rPr>
                <w:lang w:val="uk-UA"/>
              </w:rPr>
              <w:t>87</w:t>
            </w:r>
          </w:p>
        </w:tc>
        <w:tc>
          <w:tcPr>
            <w:tcW w:w="3116" w:type="dxa"/>
            <w:tcBorders>
              <w:top w:val="single" w:sz="4" w:space="0" w:color="auto"/>
              <w:left w:val="single" w:sz="4" w:space="0" w:color="auto"/>
              <w:right w:val="single" w:sz="4" w:space="0" w:color="auto"/>
            </w:tcBorders>
            <w:shd w:val="clear" w:color="auto" w:fill="auto"/>
          </w:tcPr>
          <w:p w:rsidR="00BF2689" w:rsidRPr="00800AC4" w:rsidRDefault="00BF2689" w:rsidP="003A3647">
            <w:pPr>
              <w:rPr>
                <w:lang w:val="uk-UA"/>
              </w:rPr>
            </w:pPr>
            <w:r w:rsidRPr="00800AC4">
              <w:rPr>
                <w:lang w:val="uk-UA"/>
              </w:rPr>
              <w:t xml:space="preserve">Об`ємна частка азоту – не менше 99,6% Об`ємна частка кисню – не більше 0,4% </w:t>
            </w:r>
          </w:p>
          <w:p w:rsidR="00BF2689" w:rsidRPr="00800AC4" w:rsidRDefault="00BF2689" w:rsidP="003A3647">
            <w:pPr>
              <w:rPr>
                <w:lang w:val="uk-UA"/>
              </w:rPr>
            </w:pPr>
            <w:r w:rsidRPr="00800AC4">
              <w:rPr>
                <w:lang w:val="uk-UA"/>
              </w:rPr>
              <w:t>Об`ємна частка водяних парів – не більше 0,003%</w:t>
            </w:r>
          </w:p>
          <w:p w:rsidR="00BF2689" w:rsidRPr="00800AC4" w:rsidRDefault="00BF2689" w:rsidP="003A3647">
            <w:pPr>
              <w:rPr>
                <w:lang w:val="uk-UA"/>
              </w:rPr>
            </w:pPr>
            <w:r w:rsidRPr="00800AC4">
              <w:rPr>
                <w:lang w:val="uk-UA"/>
              </w:rPr>
              <w:t xml:space="preserve">Об’єм азоту в балоні – не менше 5,7 м³ </w:t>
            </w:r>
          </w:p>
          <w:p w:rsidR="00BF2689" w:rsidRPr="00800AC4" w:rsidRDefault="00BF2689" w:rsidP="003A3647">
            <w:pPr>
              <w:rPr>
                <w:lang w:val="uk-UA"/>
              </w:rPr>
            </w:pPr>
            <w:r w:rsidRPr="00800AC4">
              <w:rPr>
                <w:lang w:val="uk-UA"/>
              </w:rPr>
              <w:t>Тиск в балоні при 20 С° - 14,7 ± 0,5 МПа</w:t>
            </w:r>
          </w:p>
          <w:p w:rsidR="00BF2689" w:rsidRPr="00800AC4" w:rsidRDefault="00BF2689" w:rsidP="003A3647">
            <w:pPr>
              <w:rPr>
                <w:lang w:val="uk-UA"/>
              </w:rPr>
            </w:pPr>
          </w:p>
          <w:p w:rsidR="00BF2689" w:rsidRPr="00800AC4" w:rsidRDefault="00BF2689" w:rsidP="003A3647">
            <w:pPr>
              <w:rPr>
                <w:lang w:val="uk-UA"/>
              </w:rPr>
            </w:pPr>
            <w:r w:rsidRPr="00800AC4">
              <w:rPr>
                <w:i/>
                <w:color w:val="0070C0"/>
                <w:lang w:val="uk-UA"/>
              </w:rPr>
              <w:t>(По всім переліченим характеристикам Учасник в Тендерній пропозиції (технічній частині) вказує конкретний показник, якщо це доцільно)</w:t>
            </w:r>
            <w:r w:rsidRPr="00800AC4">
              <w:rPr>
                <w:color w:val="0070C0"/>
                <w:lang w:val="uk-UA"/>
              </w:rPr>
              <w:t xml:space="preserve"> </w:t>
            </w:r>
          </w:p>
        </w:tc>
        <w:tc>
          <w:tcPr>
            <w:tcW w:w="1730" w:type="dxa"/>
            <w:tcBorders>
              <w:top w:val="single" w:sz="4" w:space="0" w:color="auto"/>
              <w:left w:val="single" w:sz="4" w:space="0" w:color="auto"/>
              <w:right w:val="single" w:sz="4" w:space="0" w:color="auto"/>
            </w:tcBorders>
            <w:shd w:val="clear" w:color="auto" w:fill="auto"/>
          </w:tcPr>
          <w:p w:rsidR="00BF2689" w:rsidRPr="00800AC4" w:rsidRDefault="00BF2689" w:rsidP="003A3647">
            <w:pPr>
              <w:widowControl w:val="0"/>
              <w:rPr>
                <w:lang w:val="uk-UA"/>
              </w:rPr>
            </w:pPr>
            <w:r w:rsidRPr="00800AC4">
              <w:rPr>
                <w:lang w:val="uk-UA"/>
              </w:rPr>
              <w:t xml:space="preserve">ДСТУ ГОСТ 9293:2009 та/або відповідним ГСТУ  чи технічним умовам виробника.  </w:t>
            </w:r>
          </w:p>
        </w:tc>
      </w:tr>
      <w:tr w:rsidR="00BF2689" w:rsidRPr="00800AC4" w:rsidTr="003A3647">
        <w:trPr>
          <w:gridAfter w:val="1"/>
          <w:wAfter w:w="33" w:type="dxa"/>
          <w:trHeight w:val="229"/>
        </w:trPr>
        <w:tc>
          <w:tcPr>
            <w:tcW w:w="634" w:type="dxa"/>
            <w:tcBorders>
              <w:top w:val="single" w:sz="4" w:space="0" w:color="auto"/>
              <w:left w:val="single" w:sz="4" w:space="0" w:color="auto"/>
              <w:right w:val="single" w:sz="4" w:space="0" w:color="auto"/>
            </w:tcBorders>
            <w:shd w:val="clear" w:color="auto" w:fill="auto"/>
          </w:tcPr>
          <w:p w:rsidR="00BF2689" w:rsidRPr="00800AC4" w:rsidRDefault="00BF2689" w:rsidP="003A3647">
            <w:pPr>
              <w:widowControl w:val="0"/>
              <w:rPr>
                <w:lang w:val="uk-UA"/>
              </w:rPr>
            </w:pPr>
            <w:r w:rsidRPr="00800AC4">
              <w:rPr>
                <w:lang w:val="uk-UA"/>
              </w:rPr>
              <w:t>2</w:t>
            </w:r>
          </w:p>
        </w:tc>
        <w:tc>
          <w:tcPr>
            <w:tcW w:w="1701" w:type="dxa"/>
            <w:tcBorders>
              <w:top w:val="single" w:sz="4" w:space="0" w:color="auto"/>
              <w:left w:val="single" w:sz="4" w:space="0" w:color="auto"/>
              <w:right w:val="single" w:sz="4" w:space="0" w:color="auto"/>
            </w:tcBorders>
            <w:shd w:val="clear" w:color="auto" w:fill="auto"/>
          </w:tcPr>
          <w:p w:rsidR="00BF2689" w:rsidRPr="00800AC4" w:rsidRDefault="00BF2689" w:rsidP="003A3647">
            <w:pPr>
              <w:widowControl w:val="0"/>
              <w:rPr>
                <w:lang w:val="uk-UA"/>
              </w:rPr>
            </w:pPr>
            <w:r w:rsidRPr="00800AC4">
              <w:rPr>
                <w:lang w:val="uk-UA"/>
              </w:rPr>
              <w:t>Діоксид вуглецю</w:t>
            </w:r>
          </w:p>
        </w:tc>
        <w:tc>
          <w:tcPr>
            <w:tcW w:w="1417" w:type="dxa"/>
            <w:tcBorders>
              <w:top w:val="single" w:sz="4" w:space="0" w:color="auto"/>
              <w:left w:val="single" w:sz="4" w:space="0" w:color="auto"/>
              <w:right w:val="single" w:sz="4" w:space="0" w:color="auto"/>
            </w:tcBorders>
            <w:shd w:val="clear" w:color="auto" w:fill="auto"/>
          </w:tcPr>
          <w:p w:rsidR="00BF2689" w:rsidRPr="00800AC4" w:rsidRDefault="00BF2689" w:rsidP="003A3647">
            <w:pPr>
              <w:widowControl w:val="0"/>
              <w:rPr>
                <w:bCs/>
                <w:snapToGrid w:val="0"/>
                <w:lang w:val="uk-UA"/>
              </w:rPr>
            </w:pPr>
            <w:r w:rsidRPr="00800AC4">
              <w:rPr>
                <w:bCs/>
                <w:snapToGrid w:val="0"/>
                <w:lang w:val="uk-UA"/>
              </w:rPr>
              <w:t xml:space="preserve">об’єм балону – </w:t>
            </w:r>
          </w:p>
          <w:p w:rsidR="00BF2689" w:rsidRPr="00800AC4" w:rsidRDefault="00BF2689" w:rsidP="003A3647">
            <w:pPr>
              <w:widowControl w:val="0"/>
              <w:rPr>
                <w:bCs/>
                <w:snapToGrid w:val="0"/>
                <w:lang w:val="uk-UA"/>
              </w:rPr>
            </w:pPr>
            <w:r w:rsidRPr="00800AC4">
              <w:rPr>
                <w:bCs/>
                <w:snapToGrid w:val="0"/>
                <w:lang w:val="uk-UA"/>
              </w:rPr>
              <w:t>40 літрів</w:t>
            </w:r>
          </w:p>
        </w:tc>
        <w:tc>
          <w:tcPr>
            <w:tcW w:w="1135" w:type="dxa"/>
            <w:tcBorders>
              <w:top w:val="single" w:sz="4" w:space="0" w:color="auto"/>
              <w:left w:val="single" w:sz="4" w:space="0" w:color="auto"/>
              <w:right w:val="single" w:sz="4" w:space="0" w:color="auto"/>
            </w:tcBorders>
            <w:shd w:val="clear" w:color="auto" w:fill="auto"/>
          </w:tcPr>
          <w:p w:rsidR="00BF2689" w:rsidRPr="00800AC4" w:rsidRDefault="00BF2689" w:rsidP="003A3647">
            <w:pPr>
              <w:widowControl w:val="0"/>
              <w:rPr>
                <w:lang w:val="uk-UA"/>
              </w:rPr>
            </w:pPr>
            <w:r w:rsidRPr="00800AC4">
              <w:rPr>
                <w:bCs/>
                <w:snapToGrid w:val="0"/>
                <w:lang w:val="uk-UA"/>
              </w:rPr>
              <w:t>балон</w:t>
            </w:r>
          </w:p>
        </w:tc>
        <w:tc>
          <w:tcPr>
            <w:tcW w:w="851" w:type="dxa"/>
            <w:tcBorders>
              <w:top w:val="single" w:sz="4" w:space="0" w:color="auto"/>
              <w:left w:val="single" w:sz="4" w:space="0" w:color="auto"/>
              <w:right w:val="single" w:sz="4" w:space="0" w:color="auto"/>
            </w:tcBorders>
            <w:shd w:val="clear" w:color="auto" w:fill="auto"/>
          </w:tcPr>
          <w:p w:rsidR="00BF2689" w:rsidRPr="00800AC4" w:rsidRDefault="00BF2689" w:rsidP="003A3647">
            <w:pPr>
              <w:widowControl w:val="0"/>
              <w:rPr>
                <w:lang w:val="uk-UA"/>
              </w:rPr>
            </w:pPr>
            <w:r w:rsidRPr="00800AC4">
              <w:rPr>
                <w:lang w:val="uk-UA"/>
              </w:rPr>
              <w:t>40</w:t>
            </w:r>
          </w:p>
        </w:tc>
        <w:tc>
          <w:tcPr>
            <w:tcW w:w="3116" w:type="dxa"/>
            <w:tcBorders>
              <w:top w:val="single" w:sz="4" w:space="0" w:color="auto"/>
              <w:left w:val="single" w:sz="4" w:space="0" w:color="auto"/>
              <w:right w:val="single" w:sz="4" w:space="0" w:color="auto"/>
            </w:tcBorders>
            <w:shd w:val="clear" w:color="auto" w:fill="auto"/>
          </w:tcPr>
          <w:p w:rsidR="00BF2689" w:rsidRPr="00800AC4" w:rsidRDefault="00BF2689" w:rsidP="003A3647">
            <w:pPr>
              <w:pStyle w:val="af8"/>
              <w:rPr>
                <w:color w:val="222222"/>
                <w:sz w:val="24"/>
                <w:szCs w:val="24"/>
                <w:shd w:val="clear" w:color="auto" w:fill="F8F9FA"/>
              </w:rPr>
            </w:pPr>
            <w:r w:rsidRPr="00800AC4">
              <w:rPr>
                <w:color w:val="222222"/>
                <w:sz w:val="24"/>
                <w:szCs w:val="24"/>
                <w:shd w:val="clear" w:color="auto" w:fill="F8F9FA"/>
              </w:rPr>
              <w:t xml:space="preserve">Об’ємна частка діоксиду вуглецю (СО2), % - не менше 99,9 </w:t>
            </w:r>
          </w:p>
          <w:p w:rsidR="00BF2689" w:rsidRPr="00800AC4" w:rsidRDefault="00BF2689" w:rsidP="003A3647">
            <w:pPr>
              <w:pStyle w:val="af8"/>
              <w:rPr>
                <w:i/>
                <w:color w:val="0070C0"/>
                <w:sz w:val="24"/>
                <w:szCs w:val="24"/>
              </w:rPr>
            </w:pPr>
            <w:r w:rsidRPr="00800AC4">
              <w:rPr>
                <w:i/>
                <w:color w:val="0070C0"/>
                <w:sz w:val="24"/>
                <w:szCs w:val="24"/>
              </w:rPr>
              <w:t>(Учасник в Тендерній пропозиції (технічній частині) зазначає конкретний показник без виразу «не менше»);</w:t>
            </w:r>
          </w:p>
          <w:p w:rsidR="00BF2689" w:rsidRPr="00800AC4" w:rsidRDefault="00BF2689" w:rsidP="003A3647">
            <w:pPr>
              <w:pStyle w:val="af8"/>
              <w:rPr>
                <w:i/>
                <w:color w:val="0070C0"/>
                <w:sz w:val="24"/>
                <w:szCs w:val="24"/>
              </w:rPr>
            </w:pPr>
            <w:r w:rsidRPr="00800AC4">
              <w:rPr>
                <w:color w:val="222222"/>
                <w:sz w:val="24"/>
                <w:szCs w:val="24"/>
                <w:shd w:val="clear" w:color="auto" w:fill="F8F9FA"/>
              </w:rPr>
              <w:t xml:space="preserve">Масова концентрація сірчистого ангідриду (SO2), г/м³, не більше – 0,002 </w:t>
            </w:r>
            <w:r w:rsidRPr="00800AC4">
              <w:rPr>
                <w:color w:val="0070C0"/>
                <w:sz w:val="24"/>
                <w:szCs w:val="24"/>
                <w:shd w:val="clear" w:color="auto" w:fill="F8F9FA"/>
              </w:rPr>
              <w:t>(</w:t>
            </w:r>
            <w:r w:rsidRPr="00800AC4">
              <w:rPr>
                <w:i/>
                <w:color w:val="0070C0"/>
                <w:sz w:val="24"/>
                <w:szCs w:val="24"/>
              </w:rPr>
              <w:t>Учасник зазначає конкретний показник, якщо це доцільно);</w:t>
            </w:r>
          </w:p>
          <w:p w:rsidR="00BF2689" w:rsidRPr="00800AC4" w:rsidRDefault="00BF2689" w:rsidP="003A3647">
            <w:pPr>
              <w:pStyle w:val="af8"/>
              <w:rPr>
                <w:i/>
                <w:color w:val="0070C0"/>
                <w:sz w:val="24"/>
                <w:szCs w:val="24"/>
              </w:rPr>
            </w:pPr>
          </w:p>
          <w:p w:rsidR="00BF2689" w:rsidRPr="00800AC4" w:rsidRDefault="00BF2689" w:rsidP="003A3647">
            <w:pPr>
              <w:pStyle w:val="af8"/>
              <w:rPr>
                <w:color w:val="222222"/>
                <w:sz w:val="24"/>
                <w:szCs w:val="24"/>
                <w:shd w:val="clear" w:color="auto" w:fill="F8F9FA"/>
                <w:lang w:val="ru-RU"/>
              </w:rPr>
            </w:pPr>
            <w:r w:rsidRPr="00800AC4">
              <w:rPr>
                <w:color w:val="222222"/>
                <w:sz w:val="24"/>
                <w:szCs w:val="24"/>
                <w:shd w:val="clear" w:color="auto" w:fill="F8F9FA"/>
              </w:rPr>
              <w:t xml:space="preserve">Витримує випробування </w:t>
            </w:r>
            <w:r w:rsidRPr="00800AC4">
              <w:rPr>
                <w:color w:val="222222"/>
                <w:sz w:val="24"/>
                <w:szCs w:val="24"/>
                <w:shd w:val="clear" w:color="auto" w:fill="F8F9FA"/>
              </w:rPr>
              <w:lastRenderedPageBreak/>
              <w:t>наявності мінеральних мастил і механічних домішок;</w:t>
            </w:r>
          </w:p>
          <w:p w:rsidR="00BF2689" w:rsidRPr="00800AC4" w:rsidRDefault="00BF2689" w:rsidP="003A3647">
            <w:pPr>
              <w:pStyle w:val="af8"/>
              <w:rPr>
                <w:color w:val="222222"/>
                <w:sz w:val="24"/>
                <w:szCs w:val="24"/>
                <w:shd w:val="clear" w:color="auto" w:fill="F8F9FA"/>
              </w:rPr>
            </w:pPr>
            <w:r w:rsidRPr="00800AC4">
              <w:rPr>
                <w:color w:val="222222"/>
                <w:sz w:val="24"/>
                <w:szCs w:val="24"/>
                <w:shd w:val="clear" w:color="auto" w:fill="F8F9FA"/>
              </w:rPr>
              <w:t>Наявність оксиду вуглецю – нижче чутливості методу ;</w:t>
            </w:r>
          </w:p>
          <w:p w:rsidR="00BF2689" w:rsidRPr="00800AC4" w:rsidRDefault="00BF2689" w:rsidP="003A3647">
            <w:pPr>
              <w:pStyle w:val="af8"/>
              <w:rPr>
                <w:color w:val="222222"/>
                <w:sz w:val="24"/>
                <w:szCs w:val="24"/>
                <w:shd w:val="clear" w:color="auto" w:fill="F8F9FA"/>
              </w:rPr>
            </w:pPr>
            <w:r w:rsidRPr="00800AC4">
              <w:rPr>
                <w:color w:val="222222"/>
                <w:sz w:val="24"/>
                <w:szCs w:val="24"/>
                <w:shd w:val="clear" w:color="auto" w:fill="F8F9FA"/>
              </w:rPr>
              <w:t>Наявність оксидів азоту - нижче чутливості методу ;</w:t>
            </w:r>
          </w:p>
          <w:p w:rsidR="00BF2689" w:rsidRPr="00800AC4" w:rsidRDefault="00BF2689" w:rsidP="003A3647">
            <w:pPr>
              <w:pStyle w:val="af8"/>
              <w:rPr>
                <w:color w:val="222222"/>
                <w:sz w:val="24"/>
                <w:szCs w:val="24"/>
                <w:shd w:val="clear" w:color="auto" w:fill="F8F9FA"/>
                <w:lang w:val="ru-RU"/>
              </w:rPr>
            </w:pPr>
            <w:r w:rsidRPr="00800AC4">
              <w:rPr>
                <w:color w:val="222222"/>
                <w:sz w:val="24"/>
                <w:szCs w:val="24"/>
                <w:shd w:val="clear" w:color="auto" w:fill="F8F9FA"/>
              </w:rPr>
              <w:t>Витримує випробування наявності сірководню (Н2S);</w:t>
            </w:r>
          </w:p>
          <w:p w:rsidR="00BF2689" w:rsidRPr="00800AC4" w:rsidRDefault="00BF2689" w:rsidP="003A3647">
            <w:pPr>
              <w:rPr>
                <w:noProof/>
                <w:color w:val="222222"/>
                <w:shd w:val="clear" w:color="auto" w:fill="F8F9FA"/>
                <w:lang w:val="uk-UA"/>
              </w:rPr>
            </w:pPr>
            <w:r w:rsidRPr="00800AC4">
              <w:rPr>
                <w:noProof/>
                <w:color w:val="222222"/>
                <w:shd w:val="clear" w:color="auto" w:fill="F8F9FA"/>
                <w:lang w:val="uk-UA"/>
              </w:rPr>
              <w:t>Витримує випробування наявності соляної кислоти.</w:t>
            </w:r>
          </w:p>
          <w:p w:rsidR="00BF2689" w:rsidRPr="00800AC4" w:rsidRDefault="00BF2689" w:rsidP="003A3647">
            <w:pPr>
              <w:rPr>
                <w:lang w:val="uk-UA"/>
              </w:rPr>
            </w:pPr>
          </w:p>
        </w:tc>
        <w:tc>
          <w:tcPr>
            <w:tcW w:w="1730" w:type="dxa"/>
            <w:tcBorders>
              <w:top w:val="single" w:sz="4" w:space="0" w:color="auto"/>
              <w:left w:val="single" w:sz="4" w:space="0" w:color="auto"/>
              <w:right w:val="single" w:sz="4" w:space="0" w:color="auto"/>
            </w:tcBorders>
            <w:shd w:val="clear" w:color="auto" w:fill="auto"/>
          </w:tcPr>
          <w:p w:rsidR="00BF2689" w:rsidRPr="00800AC4" w:rsidRDefault="00BF2689" w:rsidP="003A3647">
            <w:pPr>
              <w:widowControl w:val="0"/>
              <w:rPr>
                <w:lang w:val="uk-UA"/>
              </w:rPr>
            </w:pPr>
            <w:r w:rsidRPr="00800AC4">
              <w:rPr>
                <w:lang w:val="uk-UA"/>
              </w:rPr>
              <w:lastRenderedPageBreak/>
              <w:t>ДСТУ 4817:2007 та/або відповідним ГСТУ чи технічним умовам виробника</w:t>
            </w:r>
          </w:p>
        </w:tc>
      </w:tr>
    </w:tbl>
    <w:p w:rsidR="00A256E7" w:rsidRPr="00800AC4" w:rsidRDefault="00A256E7" w:rsidP="00D04854">
      <w:pPr>
        <w:widowControl w:val="0"/>
        <w:autoSpaceDE w:val="0"/>
        <w:autoSpaceDN w:val="0"/>
        <w:adjustRightInd w:val="0"/>
        <w:ind w:firstLine="709"/>
        <w:contextualSpacing/>
        <w:jc w:val="both"/>
        <w:rPr>
          <w:color w:val="000000"/>
          <w:lang w:val="uk-UA"/>
        </w:rPr>
      </w:pPr>
    </w:p>
    <w:p w:rsidR="009165D1" w:rsidRPr="00800AC4" w:rsidRDefault="009165D1" w:rsidP="009165D1">
      <w:pPr>
        <w:jc w:val="both"/>
        <w:rPr>
          <w:b/>
          <w:bCs/>
          <w:lang w:val="uk-UA" w:eastAsia="uk-UA"/>
        </w:rPr>
      </w:pPr>
      <w:r w:rsidRPr="00800AC4">
        <w:rPr>
          <w:b/>
          <w:bCs/>
          <w:lang w:val="uk-UA"/>
        </w:rPr>
        <w:t>Додаткова інформація.</w:t>
      </w:r>
    </w:p>
    <w:p w:rsidR="009165D1" w:rsidRPr="00800AC4" w:rsidRDefault="009165D1" w:rsidP="009165D1">
      <w:pPr>
        <w:jc w:val="both"/>
        <w:rPr>
          <w:lang w:val="uk-UA"/>
        </w:rPr>
      </w:pPr>
      <w:r w:rsidRPr="00800AC4">
        <w:rPr>
          <w:b/>
          <w:bCs/>
          <w:lang w:val="uk-UA"/>
        </w:rPr>
        <w:t>1.</w:t>
      </w:r>
      <w:r w:rsidRPr="00800AC4">
        <w:rPr>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800AC4">
        <w:rPr>
          <w:b/>
          <w:bCs/>
          <w:lang w:val="uk-UA"/>
        </w:rPr>
        <w:t>біля кожного такого посилання вважати вираз «або еквівалент»</w:t>
      </w:r>
      <w:r w:rsidRPr="00800AC4">
        <w:rPr>
          <w:lang w:val="uk-UA"/>
        </w:rPr>
        <w:t xml:space="preserve">. Таким чином вважається, що до кожного посилання додається вираз </w:t>
      </w:r>
      <w:r w:rsidRPr="00800AC4">
        <w:rPr>
          <w:b/>
          <w:bCs/>
          <w:lang w:val="uk-UA"/>
        </w:rPr>
        <w:t>«або еквівалент»</w:t>
      </w:r>
      <w:r w:rsidRPr="00800AC4">
        <w:rPr>
          <w:lang w:val="uk-UA"/>
        </w:rPr>
        <w:t xml:space="preserve">. </w:t>
      </w:r>
    </w:p>
    <w:p w:rsidR="009165D1" w:rsidRPr="00800AC4" w:rsidRDefault="009165D1" w:rsidP="009165D1">
      <w:pPr>
        <w:jc w:val="both"/>
        <w:rPr>
          <w:lang w:val="uk-UA"/>
        </w:rPr>
      </w:pPr>
      <w:r w:rsidRPr="00800AC4">
        <w:rPr>
          <w:lang w:val="uk-UA"/>
        </w:rPr>
        <w:t xml:space="preserve">У місцях, де технічна специфікація містить посилання </w:t>
      </w:r>
      <w:r w:rsidRPr="00800AC4">
        <w:rPr>
          <w:vertAlign w:val="superscript"/>
          <w:lang w:val="uk-UA"/>
        </w:rPr>
        <w:t>1)</w:t>
      </w:r>
      <w:r w:rsidRPr="00800AC4">
        <w:rPr>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800AC4">
        <w:rPr>
          <w:b/>
          <w:bCs/>
          <w:lang w:val="uk-UA"/>
        </w:rPr>
        <w:t>вважати наявним вираз «або еквівалент»</w:t>
      </w:r>
      <w:r w:rsidRPr="00800AC4">
        <w:rPr>
          <w:lang w:val="uk-UA"/>
        </w:rPr>
        <w:t xml:space="preserve">. Таким чином вважається, що до кожного посилання додається вираз «або еквівалент» </w:t>
      </w:r>
      <w:r w:rsidRPr="00800AC4">
        <w:rPr>
          <w:b/>
          <w:bCs/>
          <w:i/>
          <w:iCs/>
          <w:lang w:val="uk-UA"/>
        </w:rPr>
        <w:t>(</w:t>
      </w:r>
      <w:r w:rsidRPr="00800AC4">
        <w:rPr>
          <w:b/>
          <w:bCs/>
          <w:i/>
          <w:iCs/>
          <w:vertAlign w:val="superscript"/>
          <w:lang w:val="uk-UA"/>
        </w:rPr>
        <w:t>1)</w:t>
      </w:r>
      <w:r w:rsidRPr="00800AC4">
        <w:rPr>
          <w:b/>
          <w:bCs/>
          <w:i/>
          <w:iCs/>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800AC4">
        <w:rPr>
          <w:lang w:val="uk-UA"/>
        </w:rPr>
        <w:t xml:space="preserve">. </w:t>
      </w:r>
    </w:p>
    <w:p w:rsidR="009165D1" w:rsidRPr="00800AC4" w:rsidRDefault="009165D1" w:rsidP="009165D1">
      <w:pPr>
        <w:autoSpaceDE w:val="0"/>
        <w:autoSpaceDN w:val="0"/>
        <w:ind w:firstLine="709"/>
        <w:jc w:val="both"/>
        <w:rPr>
          <w:color w:val="000000"/>
          <w:lang w:val="uk-UA"/>
        </w:rPr>
      </w:pPr>
      <w:r w:rsidRPr="00800AC4">
        <w:rPr>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800AC4">
        <w:rPr>
          <w:b/>
          <w:bCs/>
          <w:lang w:val="uk-UA"/>
        </w:rPr>
        <w:t>Додатку 1</w:t>
      </w:r>
      <w:r w:rsidRPr="00800AC4">
        <w:rPr>
          <w:lang w:val="uk-UA"/>
        </w:rPr>
        <w:t xml:space="preserve"> технічним та якісним характеристикам предмета закупівлі).</w:t>
      </w:r>
    </w:p>
    <w:p w:rsidR="00A256E7" w:rsidRPr="00800AC4" w:rsidRDefault="00A256E7" w:rsidP="00D04854">
      <w:pPr>
        <w:widowControl w:val="0"/>
        <w:autoSpaceDE w:val="0"/>
        <w:autoSpaceDN w:val="0"/>
        <w:adjustRightInd w:val="0"/>
        <w:ind w:firstLine="709"/>
        <w:contextualSpacing/>
        <w:jc w:val="both"/>
        <w:rPr>
          <w:color w:val="000000"/>
          <w:lang w:val="uk-UA"/>
        </w:rPr>
      </w:pPr>
    </w:p>
    <w:sectPr w:rsidR="00A256E7" w:rsidRPr="00800AC4"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7C9" w:rsidRDefault="005177C9">
      <w:r>
        <w:separator/>
      </w:r>
    </w:p>
  </w:endnote>
  <w:endnote w:type="continuationSeparator" w:id="0">
    <w:p w:rsidR="005177C9" w:rsidRDefault="0051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2B6846"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A8ED07"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706002">
      <w:rPr>
        <w:sz w:val="20"/>
        <w:szCs w:val="20"/>
        <w:lang w:val="uk-UA"/>
      </w:rPr>
      <w:t>Промислові гази, код ДК 021:2015 - 24110000-8 - Промислові гази</w:t>
    </w:r>
  </w:p>
  <w:p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C95469">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C95469">
      <w:rPr>
        <w:bCs/>
        <w:noProof/>
        <w:sz w:val="20"/>
        <w:szCs w:val="20"/>
      </w:rPr>
      <w:t>3</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7C9" w:rsidRDefault="005177C9">
      <w:r>
        <w:separator/>
      </w:r>
    </w:p>
  </w:footnote>
  <w:footnote w:type="continuationSeparator" w:id="0">
    <w:p w:rsidR="005177C9" w:rsidRDefault="00517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2B6846" w:rsidP="00A3681A">
    <w:pPr>
      <w:pStyle w:val="a9"/>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1968A9"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lang w:val="uk-UA" w:eastAsia="uk-UA"/>
      </w:rPr>
      <w:drawing>
        <wp:inline distT="0" distB="0" distL="0" distR="0">
          <wp:extent cx="1447800" cy="2870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702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34"/>
    <w:rsid w:val="0000007C"/>
    <w:rsid w:val="00001318"/>
    <w:rsid w:val="000023CD"/>
    <w:rsid w:val="000030D4"/>
    <w:rsid w:val="00004FF9"/>
    <w:rsid w:val="00005EA1"/>
    <w:rsid w:val="000063B4"/>
    <w:rsid w:val="000104FC"/>
    <w:rsid w:val="00011446"/>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57E8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B684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3AB7"/>
    <w:rsid w:val="00504A14"/>
    <w:rsid w:val="00504D3D"/>
    <w:rsid w:val="005135FC"/>
    <w:rsid w:val="00513C28"/>
    <w:rsid w:val="005177C9"/>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06002"/>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E760D"/>
    <w:rsid w:val="007F103C"/>
    <w:rsid w:val="007F1792"/>
    <w:rsid w:val="007F1EA9"/>
    <w:rsid w:val="007F51F7"/>
    <w:rsid w:val="007F5344"/>
    <w:rsid w:val="007F72DC"/>
    <w:rsid w:val="00800AC4"/>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77C"/>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12E1"/>
    <w:rsid w:val="00BE49E0"/>
    <w:rsid w:val="00BE62EE"/>
    <w:rsid w:val="00BE7534"/>
    <w:rsid w:val="00BF04B4"/>
    <w:rsid w:val="00BF0AB0"/>
    <w:rsid w:val="00BF1C5F"/>
    <w:rsid w:val="00BF2689"/>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469"/>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2C9BF7-9192-4332-B89D-C18D5D1A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у Знак"/>
    <w:link w:val="af5"/>
    <w:uiPriority w:val="34"/>
    <w:locked/>
    <w:rsid w:val="006F0757"/>
    <w:rPr>
      <w:rFonts w:ascii="Calibri" w:eastAsia="Calibri" w:hAnsi="Calibri"/>
      <w:sz w:val="22"/>
      <w:szCs w:val="22"/>
      <w:lang w:val="ru-RU" w:eastAsia="en-US"/>
    </w:rPr>
  </w:style>
  <w:style w:type="paragraph" w:styleId="af8">
    <w:name w:val="No Spacing"/>
    <w:uiPriority w:val="1"/>
    <w:qFormat/>
    <w:rsid w:val="00BF2689"/>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CD53-0079-43A1-9B01-0689AC58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3638</Words>
  <Characters>2075</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Airport Boryspil</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Рибак Тетяна Вікторівна</dc:creator>
  <cp:lastModifiedBy>Гапонюк Наталія Володимирівна</cp:lastModifiedBy>
  <cp:revision>6</cp:revision>
  <cp:lastPrinted>2021-11-17T09:02:00Z</cp:lastPrinted>
  <dcterms:created xsi:type="dcterms:W3CDTF">2024-11-14T13:48:00Z</dcterms:created>
  <dcterms:modified xsi:type="dcterms:W3CDTF">2024-11-15T13:00:00Z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