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852FF9" w:rsidP="006926A0">
            <w:pPr>
              <w:pStyle w:val="a3"/>
              <w:widowControl w:val="0"/>
              <w:rPr>
                <w:szCs w:val="17"/>
                <w:lang w:val="uk-UA"/>
              </w:rPr>
            </w:pPr>
            <w:r>
              <w:rPr>
                <w:noProof/>
                <w:lang w:val="ru-RU"/>
              </w:rPr>
              <w:drawing>
                <wp:inline distT="0" distB="0" distL="0" distR="0">
                  <wp:extent cx="1447800" cy="28702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DB0501" w:rsidRDefault="006926A0" w:rsidP="006926A0">
            <w:pPr>
              <w:widowControl w:val="0"/>
              <w:autoSpaceDE w:val="0"/>
              <w:autoSpaceDN w:val="0"/>
              <w:adjustRightInd w:val="0"/>
              <w:rPr>
                <w:sz w:val="20"/>
                <w:szCs w:val="20"/>
                <w:lang w:val="uk-UA"/>
              </w:rPr>
            </w:pPr>
            <w:r w:rsidRPr="00DB0501">
              <w:rPr>
                <w:sz w:val="20"/>
                <w:szCs w:val="20"/>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DB0501">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DB0501">
              <w:rPr>
                <w:color w:val="000000"/>
                <w:sz w:val="20"/>
                <w:szCs w:val="2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9F35DC" w:rsidRPr="00E74090" w:rsidRDefault="003C4B6B" w:rsidP="00356A09">
      <w:pPr>
        <w:pStyle w:val="a3"/>
        <w:widowControl w:val="0"/>
        <w:jc w:val="both"/>
        <w:rPr>
          <w:sz w:val="24"/>
          <w:szCs w:val="24"/>
          <w:lang w:val="uk-UA"/>
        </w:rPr>
      </w:pPr>
      <w:r w:rsidRPr="00E74090">
        <w:rPr>
          <w:sz w:val="24"/>
          <w:szCs w:val="24"/>
          <w:lang w:val="uk-UA"/>
        </w:rPr>
        <w:t xml:space="preserve">Підстава: </w:t>
      </w:r>
      <w:r w:rsidR="007D7B6F" w:rsidRPr="00E74090">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E74090" w:rsidTr="00E74090">
        <w:tc>
          <w:tcPr>
            <w:tcW w:w="487" w:type="pct"/>
            <w:shd w:val="clear" w:color="auto" w:fill="DEEAF6"/>
          </w:tcPr>
          <w:p w:rsidR="00A76484" w:rsidRPr="00E74090" w:rsidRDefault="00A76484" w:rsidP="002D4D30">
            <w:pPr>
              <w:widowControl w:val="0"/>
              <w:contextualSpacing/>
              <w:jc w:val="center"/>
              <w:rPr>
                <w:b/>
                <w:lang w:val="uk-UA"/>
              </w:rPr>
            </w:pPr>
            <w:r w:rsidRPr="00E74090">
              <w:rPr>
                <w:b/>
                <w:lang w:val="uk-UA"/>
              </w:rPr>
              <w:t>Пункт Кошторису</w:t>
            </w:r>
          </w:p>
        </w:tc>
        <w:tc>
          <w:tcPr>
            <w:tcW w:w="1527" w:type="pct"/>
            <w:shd w:val="clear" w:color="auto" w:fill="DEEAF6"/>
          </w:tcPr>
          <w:p w:rsidR="00A76484" w:rsidRPr="00E74090" w:rsidRDefault="00A76484" w:rsidP="002D4D30">
            <w:pPr>
              <w:widowControl w:val="0"/>
              <w:contextualSpacing/>
              <w:jc w:val="center"/>
              <w:rPr>
                <w:b/>
                <w:lang w:val="uk-UA"/>
              </w:rPr>
            </w:pPr>
            <w:r w:rsidRPr="00E74090">
              <w:rPr>
                <w:b/>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E74090" w:rsidRDefault="00A76484" w:rsidP="00DB2D70">
            <w:pPr>
              <w:widowControl w:val="0"/>
              <w:contextualSpacing/>
              <w:jc w:val="center"/>
              <w:rPr>
                <w:b/>
                <w:lang w:val="uk-UA"/>
              </w:rPr>
            </w:pPr>
            <w:r w:rsidRPr="00E74090">
              <w:rPr>
                <w:b/>
                <w:lang w:val="uk-UA"/>
              </w:rPr>
              <w:t>Очікувана варт</w:t>
            </w:r>
            <w:r w:rsidR="00DB2D70" w:rsidRPr="00E74090">
              <w:rPr>
                <w:b/>
                <w:lang w:val="uk-UA"/>
              </w:rPr>
              <w:t>ість предмета закупівлі згідно р</w:t>
            </w:r>
            <w:r w:rsidRPr="00E74090">
              <w:rPr>
                <w:b/>
                <w:lang w:val="uk-UA"/>
              </w:rPr>
              <w:t xml:space="preserve">ічного плану </w:t>
            </w:r>
            <w:proofErr w:type="spellStart"/>
            <w:r w:rsidRPr="00E74090">
              <w:rPr>
                <w:b/>
                <w:lang w:val="uk-UA"/>
              </w:rPr>
              <w:t>закупівель</w:t>
            </w:r>
            <w:proofErr w:type="spellEnd"/>
          </w:p>
        </w:tc>
        <w:tc>
          <w:tcPr>
            <w:tcW w:w="1102" w:type="pct"/>
            <w:shd w:val="clear" w:color="auto" w:fill="DEEAF6"/>
          </w:tcPr>
          <w:p w:rsidR="00A76484" w:rsidRPr="00E74090" w:rsidRDefault="00A76484" w:rsidP="002D4D30">
            <w:pPr>
              <w:widowControl w:val="0"/>
              <w:contextualSpacing/>
              <w:jc w:val="center"/>
              <w:rPr>
                <w:b/>
                <w:lang w:val="uk-UA"/>
              </w:rPr>
            </w:pPr>
            <w:r w:rsidRPr="00E74090">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E74090" w:rsidRDefault="00A355EA" w:rsidP="002D4D30">
            <w:pPr>
              <w:widowControl w:val="0"/>
              <w:contextualSpacing/>
              <w:jc w:val="center"/>
              <w:rPr>
                <w:b/>
                <w:lang w:val="uk-UA"/>
              </w:rPr>
            </w:pPr>
            <w:r w:rsidRPr="00E74090">
              <w:rPr>
                <w:b/>
                <w:lang w:val="uk-UA"/>
              </w:rPr>
              <w:t>Ідентифікатор процедури закупівлі</w:t>
            </w:r>
          </w:p>
        </w:tc>
      </w:tr>
      <w:tr w:rsidR="00A76484" w:rsidRPr="00E74090" w:rsidTr="00E74090">
        <w:tc>
          <w:tcPr>
            <w:tcW w:w="487" w:type="pct"/>
          </w:tcPr>
          <w:p w:rsidR="00A76484" w:rsidRPr="00E74090" w:rsidRDefault="004072F7" w:rsidP="00D46944">
            <w:pPr>
              <w:widowControl w:val="0"/>
              <w:ind w:right="-11"/>
              <w:jc w:val="center"/>
              <w:rPr>
                <w:lang w:val="uk-UA" w:eastAsia="uk-UA"/>
              </w:rPr>
            </w:pPr>
            <w:r w:rsidRPr="00E74090">
              <w:rPr>
                <w:lang w:val="uk-UA"/>
              </w:rPr>
              <w:t>п.</w:t>
            </w:r>
            <w:r w:rsidR="00A76484" w:rsidRPr="00E74090">
              <w:rPr>
                <w:lang w:val="uk-UA"/>
              </w:rPr>
              <w:t xml:space="preserve"> </w:t>
            </w:r>
            <w:r w:rsidR="000B62FB" w:rsidRPr="00E74090">
              <w:rPr>
                <w:lang w:val="uk-UA"/>
              </w:rPr>
              <w:t xml:space="preserve">20.02 </w:t>
            </w:r>
            <w:r w:rsidR="00BD6E95" w:rsidRPr="00E74090">
              <w:rPr>
                <w:lang w:val="uk-UA" w:eastAsia="uk-UA"/>
              </w:rPr>
              <w:t>(202</w:t>
            </w:r>
            <w:r w:rsidR="005469FD" w:rsidRPr="00E74090">
              <w:rPr>
                <w:lang w:val="uk-UA" w:eastAsia="uk-UA"/>
              </w:rPr>
              <w:t>4</w:t>
            </w:r>
            <w:r w:rsidR="00A76484" w:rsidRPr="00E74090">
              <w:rPr>
                <w:lang w:val="uk-UA" w:eastAsia="uk-UA"/>
              </w:rPr>
              <w:t>)</w:t>
            </w:r>
          </w:p>
        </w:tc>
        <w:tc>
          <w:tcPr>
            <w:tcW w:w="1527" w:type="pct"/>
          </w:tcPr>
          <w:p w:rsidR="00A76484" w:rsidRPr="00E74090" w:rsidRDefault="000B62FB" w:rsidP="00A12478">
            <w:pPr>
              <w:widowControl w:val="0"/>
              <w:rPr>
                <w:bCs/>
                <w:lang w:val="uk-UA"/>
              </w:rPr>
            </w:pPr>
            <w:r w:rsidRPr="00E74090">
              <w:rPr>
                <w:b/>
                <w:lang w:val="uk-UA"/>
              </w:rPr>
              <w:t xml:space="preserve">Особисте страхування водіїв від нещасних випадків на транспорті, </w:t>
            </w:r>
            <w:r w:rsidRPr="00E74090">
              <w:rPr>
                <w:lang w:val="uk-UA"/>
              </w:rPr>
              <w:t>код ДК 021:2015 - 66510000-8 - Страхові послуги</w:t>
            </w:r>
            <w:r w:rsidRPr="00E74090">
              <w:rPr>
                <w:b/>
                <w:lang w:val="uk-UA"/>
              </w:rPr>
              <w:t xml:space="preserve"> </w:t>
            </w:r>
          </w:p>
        </w:tc>
        <w:tc>
          <w:tcPr>
            <w:tcW w:w="947" w:type="pct"/>
          </w:tcPr>
          <w:p w:rsidR="00A76484" w:rsidRPr="00E74090" w:rsidRDefault="000B62FB" w:rsidP="002D4D30">
            <w:pPr>
              <w:widowControl w:val="0"/>
              <w:jc w:val="center"/>
              <w:rPr>
                <w:lang w:val="uk-UA"/>
              </w:rPr>
            </w:pPr>
            <w:r w:rsidRPr="00E74090">
              <w:rPr>
                <w:lang w:val="uk-UA"/>
              </w:rPr>
              <w:t>68 382,00</w:t>
            </w:r>
            <w:r w:rsidR="00A76484" w:rsidRPr="00E74090">
              <w:rPr>
                <w:lang w:val="uk-UA"/>
              </w:rPr>
              <w:t xml:space="preserve"> </w:t>
            </w:r>
          </w:p>
          <w:p w:rsidR="00A76484" w:rsidRPr="00E74090" w:rsidRDefault="00A76484" w:rsidP="00D46944">
            <w:pPr>
              <w:widowControl w:val="0"/>
              <w:jc w:val="center"/>
              <w:rPr>
                <w:lang w:val="uk-UA"/>
              </w:rPr>
            </w:pPr>
            <w:r w:rsidRPr="00E74090">
              <w:rPr>
                <w:lang w:val="uk-UA"/>
              </w:rPr>
              <w:t xml:space="preserve">грн. </w:t>
            </w:r>
            <w:r w:rsidR="00D46944" w:rsidRPr="00E74090">
              <w:rPr>
                <w:lang w:val="uk-UA"/>
              </w:rPr>
              <w:t>без</w:t>
            </w:r>
            <w:r w:rsidRPr="00E74090">
              <w:rPr>
                <w:lang w:val="uk-UA"/>
              </w:rPr>
              <w:t xml:space="preserve"> ПДВ</w:t>
            </w:r>
          </w:p>
        </w:tc>
        <w:tc>
          <w:tcPr>
            <w:tcW w:w="1102" w:type="pct"/>
          </w:tcPr>
          <w:p w:rsidR="00A76484" w:rsidRPr="00E74090" w:rsidRDefault="000B62FB" w:rsidP="002D4D30">
            <w:pPr>
              <w:widowControl w:val="0"/>
              <w:jc w:val="center"/>
              <w:rPr>
                <w:lang w:val="uk-UA"/>
              </w:rPr>
            </w:pPr>
            <w:r w:rsidRPr="00E74090">
              <w:rPr>
                <w:lang w:val="uk-UA"/>
              </w:rPr>
              <w:t>68 382,00</w:t>
            </w:r>
          </w:p>
          <w:p w:rsidR="00A76484" w:rsidRPr="00E74090" w:rsidRDefault="00A76484" w:rsidP="002D4D30">
            <w:pPr>
              <w:widowControl w:val="0"/>
              <w:jc w:val="center"/>
              <w:rPr>
                <w:lang w:val="uk-UA"/>
              </w:rPr>
            </w:pPr>
            <w:r w:rsidRPr="00E74090">
              <w:rPr>
                <w:lang w:val="uk-UA"/>
              </w:rPr>
              <w:t xml:space="preserve">грн. без ПДВ </w:t>
            </w:r>
          </w:p>
        </w:tc>
        <w:tc>
          <w:tcPr>
            <w:tcW w:w="936" w:type="pct"/>
          </w:tcPr>
          <w:p w:rsidR="00A76484" w:rsidRPr="00E74090" w:rsidRDefault="00D65BC5" w:rsidP="002D4D30">
            <w:pPr>
              <w:widowControl w:val="0"/>
              <w:jc w:val="center"/>
              <w:rPr>
                <w:color w:val="0000FF"/>
                <w:lang w:val="uk-UA"/>
              </w:rPr>
            </w:pPr>
            <w:r>
              <w:rPr>
                <w:rFonts w:ascii="Arial" w:hAnsi="Arial" w:cs="Arial"/>
                <w:color w:val="454545"/>
                <w:sz w:val="21"/>
                <w:szCs w:val="21"/>
                <w:shd w:val="clear" w:color="auto" w:fill="F0F5F2"/>
              </w:rPr>
              <w:t>UA-2024-12-04-012983-a</w:t>
            </w:r>
            <w:bookmarkStart w:id="0" w:name="_GoBack"/>
            <w:bookmarkEnd w:id="0"/>
          </w:p>
        </w:tc>
      </w:tr>
    </w:tbl>
    <w:p w:rsidR="00A12478" w:rsidRPr="007101A5" w:rsidRDefault="00A12478" w:rsidP="00DB0501">
      <w:pPr>
        <w:pStyle w:val="a3"/>
        <w:widowControl w:val="0"/>
        <w:jc w:val="both"/>
        <w:rPr>
          <w:sz w:val="24"/>
          <w:szCs w:val="24"/>
          <w:lang w:val="uk-UA"/>
        </w:rPr>
      </w:pPr>
    </w:p>
    <w:p w:rsidR="00A355EA" w:rsidRPr="007101A5" w:rsidRDefault="00A355EA" w:rsidP="00DB0501">
      <w:pPr>
        <w:widowControl w:val="0"/>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DB0501" w:rsidRPr="00356A09"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rPr>
                <w:noProof/>
                <w:lang w:val="uk-UA"/>
              </w:rPr>
            </w:pPr>
            <w:r w:rsidRPr="00356A09">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rPr>
                <w:noProof/>
                <w:lang w:val="uk-UA"/>
              </w:rPr>
            </w:pPr>
            <w:r w:rsidRPr="00356A09">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widowControl w:val="0"/>
              <w:ind w:right="162" w:firstLine="368"/>
              <w:jc w:val="both"/>
              <w:rPr>
                <w:noProof/>
                <w:sz w:val="22"/>
                <w:szCs w:val="22"/>
                <w:lang w:val="uk-UA"/>
              </w:rPr>
            </w:pPr>
            <w:r w:rsidRPr="00356A09">
              <w:rPr>
                <w:b/>
                <w:i/>
                <w:noProof/>
                <w:sz w:val="22"/>
                <w:szCs w:val="22"/>
                <w:lang w:val="uk-UA"/>
              </w:rPr>
              <w:t>Обґрунтування очікуваної вартості предмета закупівлі:</w:t>
            </w:r>
            <w:r w:rsidRPr="00356A09">
              <w:rPr>
                <w:noProof/>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DB0501" w:rsidRPr="00356A09" w:rsidRDefault="00DB0501" w:rsidP="00DB0501">
            <w:pPr>
              <w:widowControl w:val="0"/>
              <w:ind w:firstLine="368"/>
              <w:jc w:val="both"/>
              <w:rPr>
                <w:noProof/>
                <w:sz w:val="22"/>
                <w:szCs w:val="22"/>
                <w:lang w:val="uk-UA"/>
              </w:rPr>
            </w:pPr>
            <w:r w:rsidRPr="00356A09">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Pr="00356A09">
              <w:rPr>
                <w:noProof/>
                <w:lang w:val="uk-UA"/>
              </w:rPr>
              <w:t xml:space="preserve"> </w:t>
            </w:r>
            <w:r w:rsidRPr="00356A09">
              <w:rPr>
                <w:noProof/>
                <w:sz w:val="22"/>
                <w:szCs w:val="22"/>
                <w:lang w:val="uk-UA"/>
              </w:rPr>
              <w:t>методом порівняння ринкових цін на підставі отриманих цінових пропозицій.</w:t>
            </w:r>
          </w:p>
          <w:p w:rsidR="00DB0501" w:rsidRPr="00356A09" w:rsidRDefault="00DB0501" w:rsidP="00DB0501">
            <w:pPr>
              <w:widowControl w:val="0"/>
              <w:ind w:left="79" w:right="111" w:firstLine="289"/>
              <w:jc w:val="both"/>
              <w:rPr>
                <w:noProof/>
                <w:sz w:val="22"/>
                <w:szCs w:val="22"/>
                <w:lang w:val="uk-UA"/>
              </w:rPr>
            </w:pPr>
            <w:r w:rsidRPr="00356A09">
              <w:rPr>
                <w:b/>
                <w:i/>
                <w:noProof/>
                <w:sz w:val="22"/>
                <w:szCs w:val="22"/>
                <w:lang w:val="uk-UA"/>
              </w:rPr>
              <w:t>Обґрунтування обсягів закупівлі:</w:t>
            </w:r>
            <w:r w:rsidRPr="00356A09">
              <w:rPr>
                <w:b/>
                <w:noProof/>
                <w:sz w:val="22"/>
                <w:szCs w:val="22"/>
                <w:lang w:val="uk-UA"/>
              </w:rPr>
              <w:t xml:space="preserve"> </w:t>
            </w:r>
            <w:r w:rsidRPr="00356A09">
              <w:rPr>
                <w:noProof/>
                <w:sz w:val="22"/>
                <w:szCs w:val="22"/>
                <w:lang w:val="uk-UA"/>
              </w:rPr>
              <w:t>Обсяги визначено відповідно до очікуваної потреби.</w:t>
            </w:r>
          </w:p>
        </w:tc>
      </w:tr>
      <w:tr w:rsidR="00DB0501" w:rsidRPr="00356A09"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rPr>
                <w:noProof/>
                <w:lang w:val="uk-UA"/>
              </w:rPr>
            </w:pPr>
            <w:r w:rsidRPr="00356A09">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rPr>
                <w:noProof/>
                <w:lang w:val="uk-UA"/>
              </w:rPr>
            </w:pPr>
            <w:r w:rsidRPr="00356A09">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B0501" w:rsidRPr="00356A09" w:rsidRDefault="00DB0501" w:rsidP="00DB0501">
            <w:pPr>
              <w:widowControl w:val="0"/>
              <w:ind w:firstLine="226"/>
              <w:jc w:val="both"/>
              <w:rPr>
                <w:noProof/>
                <w:sz w:val="22"/>
                <w:szCs w:val="22"/>
                <w:lang w:val="uk-UA"/>
              </w:rPr>
            </w:pPr>
            <w:r w:rsidRPr="00356A09">
              <w:rPr>
                <w:b/>
                <w:i/>
                <w:noProof/>
                <w:sz w:val="22"/>
                <w:szCs w:val="22"/>
                <w:lang w:val="uk-UA"/>
              </w:rPr>
              <w:t>Визначення потреби в закупівлі:</w:t>
            </w:r>
            <w:r w:rsidRPr="00356A09">
              <w:rPr>
                <w:noProof/>
                <w:sz w:val="22"/>
                <w:szCs w:val="22"/>
                <w:lang w:val="uk-UA"/>
              </w:rPr>
              <w:t xml:space="preserve"> Закупівля зумовлена необхідністю забезпечення відшкодування шкоди, заподіяної життю, здоров'ю та працездатності застрахованих працівників ДП МА «Бориспіль», внаслідок дорожньо-транспортної пригоди.</w:t>
            </w:r>
          </w:p>
          <w:p w:rsidR="00DB0501" w:rsidRPr="00356A09" w:rsidRDefault="00DB0501" w:rsidP="00DB0501">
            <w:pPr>
              <w:widowControl w:val="0"/>
              <w:ind w:left="79" w:right="111" w:firstLine="289"/>
              <w:jc w:val="both"/>
              <w:rPr>
                <w:i/>
                <w:noProof/>
                <w:lang w:val="uk-UA"/>
              </w:rPr>
            </w:pPr>
            <w:r w:rsidRPr="00356A09">
              <w:rPr>
                <w:noProof/>
                <w:sz w:val="22"/>
                <w:szCs w:val="22"/>
                <w:lang w:val="uk-UA"/>
              </w:rPr>
              <w:t>Технічні та якісні характеристики предмету закупівлі визначені Законом України від 18.11.2021 року № 1909-ІХ «Про страхування» та Наказом Міністерства розвитку громад, територій та інфраструктури України «</w:t>
            </w:r>
            <w:r w:rsidRPr="00356A09">
              <w:rPr>
                <w:bCs/>
                <w:noProof/>
                <w:sz w:val="22"/>
                <w:szCs w:val="22"/>
                <w:lang w:val="uk-UA" w:eastAsia="uk-UA"/>
              </w:rPr>
              <w:t>Про затвердження Порядку та умов страхування на автомобільному та міському електричному транспорті</w:t>
            </w:r>
            <w:r w:rsidRPr="00356A09">
              <w:rPr>
                <w:noProof/>
                <w:sz w:val="22"/>
                <w:szCs w:val="22"/>
                <w:lang w:val="uk-UA"/>
              </w:rPr>
              <w:t xml:space="preserve"> від 22.07.2024 № 671.</w:t>
            </w:r>
          </w:p>
        </w:tc>
      </w:tr>
    </w:tbl>
    <w:p w:rsidR="006F428D" w:rsidRPr="00356A09" w:rsidRDefault="006F428D" w:rsidP="00A12478">
      <w:pPr>
        <w:rPr>
          <w:b/>
          <w:noProof/>
          <w:lang w:val="uk-UA"/>
        </w:rPr>
      </w:pPr>
    </w:p>
    <w:p w:rsidR="006926A0" w:rsidRPr="00D46944" w:rsidRDefault="006926A0" w:rsidP="006926A0">
      <w:pPr>
        <w:ind w:firstLine="567"/>
        <w:jc w:val="both"/>
        <w:rPr>
          <w:lang w:val="uk-UA"/>
        </w:rPr>
      </w:pPr>
      <w:r w:rsidRPr="00D46944">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ED2F83" w:rsidRPr="00ED2F83" w:rsidRDefault="00ED2F83" w:rsidP="00ED2F83">
      <w:pPr>
        <w:widowControl w:val="0"/>
        <w:jc w:val="center"/>
        <w:rPr>
          <w:noProof/>
          <w:lang w:val="uk-UA"/>
        </w:rPr>
      </w:pPr>
      <w:r w:rsidRPr="00ED2F83">
        <w:rPr>
          <w:noProof/>
          <w:lang w:val="uk-UA"/>
        </w:rPr>
        <w:t>Специфікація</w:t>
      </w:r>
    </w:p>
    <w:tbl>
      <w:tblPr>
        <w:tblW w:w="9975" w:type="dxa"/>
        <w:tblInd w:w="-224" w:type="dxa"/>
        <w:tblLayout w:type="fixed"/>
        <w:tblCellMar>
          <w:top w:w="30" w:type="dxa"/>
          <w:left w:w="60" w:type="dxa"/>
          <w:bottom w:w="30" w:type="dxa"/>
          <w:right w:w="30" w:type="dxa"/>
        </w:tblCellMar>
        <w:tblLook w:val="04A0" w:firstRow="1" w:lastRow="0" w:firstColumn="1" w:lastColumn="0" w:noHBand="0" w:noVBand="1"/>
      </w:tblPr>
      <w:tblGrid>
        <w:gridCol w:w="478"/>
        <w:gridCol w:w="2268"/>
        <w:gridCol w:w="992"/>
        <w:gridCol w:w="284"/>
        <w:gridCol w:w="566"/>
        <w:gridCol w:w="5387"/>
      </w:tblGrid>
      <w:tr w:rsidR="00ED2F83" w:rsidRPr="00ED2F83" w:rsidTr="00ED2F83">
        <w:tc>
          <w:tcPr>
            <w:tcW w:w="47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hideMark/>
          </w:tcPr>
          <w:p w:rsidR="00ED2F83" w:rsidRPr="00ED2F83" w:rsidRDefault="00ED2F83">
            <w:pPr>
              <w:widowControl w:val="0"/>
              <w:rPr>
                <w:noProof/>
                <w:lang w:val="uk-UA"/>
              </w:rPr>
            </w:pPr>
            <w:r w:rsidRPr="00ED2F83">
              <w:rPr>
                <w:noProof/>
                <w:lang w:val="uk-UA"/>
              </w:rPr>
              <w:t>№ п/п</w:t>
            </w:r>
          </w:p>
        </w:tc>
        <w:tc>
          <w:tcPr>
            <w:tcW w:w="226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hideMark/>
          </w:tcPr>
          <w:p w:rsidR="00ED2F83" w:rsidRPr="00ED2F83" w:rsidRDefault="00ED2F83">
            <w:pPr>
              <w:widowControl w:val="0"/>
              <w:jc w:val="center"/>
              <w:rPr>
                <w:noProof/>
                <w:lang w:val="uk-UA"/>
              </w:rPr>
            </w:pPr>
            <w:r w:rsidRPr="00ED2F83">
              <w:rPr>
                <w:noProof/>
                <w:lang w:val="uk-UA"/>
              </w:rPr>
              <w:t xml:space="preserve">Найменування </w:t>
            </w:r>
          </w:p>
          <w:p w:rsidR="00ED2F83" w:rsidRPr="00ED2F83" w:rsidRDefault="00ED2F83">
            <w:pPr>
              <w:widowControl w:val="0"/>
              <w:jc w:val="center"/>
              <w:rPr>
                <w:noProof/>
                <w:lang w:val="uk-UA"/>
              </w:rPr>
            </w:pPr>
            <w:r w:rsidRPr="00ED2F83">
              <w:rPr>
                <w:noProof/>
                <w:lang w:val="uk-UA"/>
              </w:rPr>
              <w:t>послуги</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hideMark/>
          </w:tcPr>
          <w:p w:rsidR="00ED2F83" w:rsidRPr="00ED2F83" w:rsidRDefault="00ED2F83">
            <w:pPr>
              <w:widowControl w:val="0"/>
              <w:jc w:val="center"/>
              <w:rPr>
                <w:noProof/>
                <w:lang w:val="uk-UA"/>
              </w:rPr>
            </w:pPr>
            <w:r w:rsidRPr="00ED2F83">
              <w:rPr>
                <w:noProof/>
                <w:lang w:val="uk-UA"/>
              </w:rPr>
              <w:t>Од.</w:t>
            </w:r>
          </w:p>
          <w:p w:rsidR="00ED2F83" w:rsidRPr="00ED2F83" w:rsidRDefault="00ED2F83">
            <w:pPr>
              <w:widowControl w:val="0"/>
              <w:jc w:val="center"/>
              <w:rPr>
                <w:noProof/>
                <w:lang w:val="uk-UA"/>
              </w:rPr>
            </w:pPr>
            <w:r w:rsidRPr="00ED2F83">
              <w:rPr>
                <w:noProof/>
                <w:lang w:val="uk-UA"/>
              </w:rPr>
              <w:t>виміру</w:t>
            </w:r>
          </w:p>
        </w:tc>
        <w:tc>
          <w:tcPr>
            <w:tcW w:w="85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hideMark/>
          </w:tcPr>
          <w:p w:rsidR="00ED2F83" w:rsidRPr="00ED2F83" w:rsidRDefault="00ED2F83">
            <w:pPr>
              <w:widowControl w:val="0"/>
              <w:jc w:val="center"/>
              <w:rPr>
                <w:noProof/>
                <w:lang w:val="uk-UA"/>
              </w:rPr>
            </w:pPr>
            <w:r w:rsidRPr="00ED2F83">
              <w:rPr>
                <w:noProof/>
                <w:lang w:val="uk-UA"/>
              </w:rPr>
              <w:t>Кіль-кість</w:t>
            </w:r>
          </w:p>
        </w:tc>
        <w:tc>
          <w:tcPr>
            <w:tcW w:w="53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hideMark/>
          </w:tcPr>
          <w:p w:rsidR="00ED2F83" w:rsidRPr="00ED2F83" w:rsidRDefault="00ED2F83">
            <w:pPr>
              <w:widowControl w:val="0"/>
              <w:jc w:val="center"/>
              <w:rPr>
                <w:b/>
                <w:noProof/>
                <w:lang w:val="uk-UA"/>
              </w:rPr>
            </w:pPr>
            <w:r w:rsidRPr="00ED2F83">
              <w:rPr>
                <w:b/>
                <w:noProof/>
                <w:lang w:val="uk-UA"/>
              </w:rPr>
              <w:t>Технічні та якісні характеристики</w:t>
            </w:r>
          </w:p>
          <w:p w:rsidR="00ED2F83" w:rsidRPr="00ED2F83" w:rsidRDefault="00ED2F83">
            <w:pPr>
              <w:widowControl w:val="0"/>
              <w:jc w:val="center"/>
              <w:rPr>
                <w:b/>
                <w:noProof/>
                <w:lang w:val="uk-UA"/>
              </w:rPr>
            </w:pPr>
            <w:r w:rsidRPr="00ED2F83">
              <w:rPr>
                <w:b/>
                <w:noProof/>
                <w:lang w:val="uk-UA"/>
              </w:rPr>
              <w:t>(технічна специфікація)</w:t>
            </w:r>
          </w:p>
        </w:tc>
      </w:tr>
      <w:tr w:rsidR="00ED2F83" w:rsidRPr="00ED2F83" w:rsidTr="00ED2F83">
        <w:tc>
          <w:tcPr>
            <w:tcW w:w="478"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suppressAutoHyphens/>
              <w:rPr>
                <w:bCs/>
                <w:noProof/>
                <w:lang w:val="uk-UA"/>
              </w:rPr>
            </w:pPr>
            <w:r w:rsidRPr="00ED2F83">
              <w:rPr>
                <w:noProof/>
                <w:lang w:val="uk-UA"/>
              </w:rPr>
              <w:t>1</w:t>
            </w:r>
          </w:p>
        </w:tc>
        <w:tc>
          <w:tcPr>
            <w:tcW w:w="2268"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jc w:val="center"/>
              <w:rPr>
                <w:noProof/>
                <w:lang w:val="uk-UA"/>
              </w:rPr>
            </w:pPr>
            <w:r w:rsidRPr="00ED2F83">
              <w:rPr>
                <w:noProof/>
                <w:lang w:val="uk-UA"/>
              </w:rPr>
              <w:t>Особисте страхування водіїв від нещасних випадків на транспорті</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jc w:val="center"/>
              <w:rPr>
                <w:noProof/>
                <w:color w:val="0070C0"/>
                <w:lang w:val="uk-UA" w:eastAsia="uk-UA"/>
              </w:rPr>
            </w:pPr>
            <w:r w:rsidRPr="00ED2F83">
              <w:rPr>
                <w:noProof/>
                <w:lang w:val="uk-UA" w:eastAsia="uk-UA"/>
              </w:rPr>
              <w:t>Послуга</w:t>
            </w:r>
          </w:p>
        </w:tc>
        <w:tc>
          <w:tcPr>
            <w:tcW w:w="850"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jc w:val="center"/>
              <w:rPr>
                <w:noProof/>
                <w:lang w:val="uk-UA"/>
              </w:rPr>
            </w:pPr>
            <w:r w:rsidRPr="00ED2F83">
              <w:rPr>
                <w:noProof/>
                <w:lang w:val="uk-UA"/>
              </w:rPr>
              <w:t>1</w:t>
            </w:r>
          </w:p>
        </w:tc>
        <w:tc>
          <w:tcPr>
            <w:tcW w:w="5387" w:type="dxa"/>
            <w:tcBorders>
              <w:top w:val="thickThinLargeGap" w:sz="6" w:space="0" w:color="000000"/>
              <w:left w:val="thickThinLargeGap" w:sz="6" w:space="0" w:color="000000"/>
              <w:bottom w:val="thickThinLargeGap" w:sz="6" w:space="0" w:color="000000"/>
              <w:right w:val="thickThinLargeGap" w:sz="6" w:space="0" w:color="000000"/>
            </w:tcBorders>
          </w:tcPr>
          <w:p w:rsidR="00ED2F83" w:rsidRPr="00ED2F83" w:rsidRDefault="00ED2F83">
            <w:pPr>
              <w:ind w:left="78" w:right="111"/>
              <w:jc w:val="both"/>
              <w:rPr>
                <w:noProof/>
                <w:lang w:val="uk-UA"/>
              </w:rPr>
            </w:pPr>
            <w:r w:rsidRPr="00ED2F83">
              <w:rPr>
                <w:noProof/>
                <w:lang w:val="uk-UA"/>
              </w:rPr>
              <w:t xml:space="preserve">Надання послуги з особистого страхування водіїв від нещасних випадків на транспорті здійснюється згідно вимог Закону України від </w:t>
            </w:r>
            <w:r w:rsidRPr="00ED2F83">
              <w:rPr>
                <w:noProof/>
                <w:lang w:val="uk-UA" w:eastAsia="uk-UA"/>
              </w:rPr>
              <w:t xml:space="preserve">18.11.2021 № 1909-IX </w:t>
            </w:r>
            <w:r w:rsidRPr="00ED2F83">
              <w:rPr>
                <w:noProof/>
                <w:lang w:val="uk-UA"/>
              </w:rPr>
              <w:t>«Про страхування», Наказу Міністерства розвитку громад, територій та інфраструктури України «</w:t>
            </w:r>
            <w:r w:rsidRPr="00ED2F83">
              <w:rPr>
                <w:bCs/>
                <w:noProof/>
                <w:lang w:val="uk-UA" w:eastAsia="uk-UA"/>
              </w:rPr>
              <w:t>Про затвердження Порядку та умов страхування на автомобільному та міському електричному транспорті»</w:t>
            </w:r>
            <w:r w:rsidRPr="00ED2F83">
              <w:rPr>
                <w:noProof/>
                <w:lang w:val="uk-UA"/>
              </w:rPr>
              <w:t xml:space="preserve"> від 22.07.2024 № 671, </w:t>
            </w:r>
            <w:r w:rsidRPr="00ED2F83">
              <w:rPr>
                <w:noProof/>
                <w:lang w:val="uk-UA" w:eastAsia="uk-UA"/>
              </w:rPr>
              <w:t>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 затвердженого постановою Правління Національного банку України від 25.12.2023 № 182</w:t>
            </w:r>
            <w:r w:rsidRPr="00ED2F83">
              <w:rPr>
                <w:noProof/>
                <w:lang w:val="uk-UA"/>
              </w:rPr>
              <w:t>.</w:t>
            </w:r>
          </w:p>
          <w:p w:rsidR="00ED2F83" w:rsidRPr="00ED2F83" w:rsidRDefault="00ED2F83">
            <w:pPr>
              <w:ind w:left="78" w:right="111"/>
              <w:jc w:val="both"/>
              <w:rPr>
                <w:noProof/>
                <w:lang w:val="uk-UA"/>
              </w:rPr>
            </w:pPr>
          </w:p>
          <w:p w:rsidR="00ED2F83" w:rsidRPr="00ED2F83" w:rsidRDefault="00ED2F83">
            <w:pPr>
              <w:widowControl w:val="0"/>
              <w:tabs>
                <w:tab w:val="left" w:pos="1134"/>
              </w:tabs>
              <w:overflowPunct w:val="0"/>
              <w:autoSpaceDE w:val="0"/>
              <w:autoSpaceDN w:val="0"/>
              <w:adjustRightInd w:val="0"/>
              <w:ind w:left="78" w:right="111"/>
              <w:jc w:val="both"/>
              <w:textAlignment w:val="baseline"/>
              <w:rPr>
                <w:b/>
                <w:noProof/>
                <w:lang w:val="uk-UA"/>
              </w:rPr>
            </w:pPr>
            <w:r w:rsidRPr="00ED2F83">
              <w:rPr>
                <w:noProof/>
                <w:lang w:val="uk-UA"/>
              </w:rPr>
              <w:t xml:space="preserve">Кількість працівників ДП МА «Бориспіль», які потребують страхування на 2025 рік – </w:t>
            </w:r>
            <w:r w:rsidRPr="00ED2F83">
              <w:rPr>
                <w:b/>
                <w:noProof/>
                <w:lang w:val="uk-UA"/>
              </w:rPr>
              <w:t>297 осіб.</w:t>
            </w:r>
          </w:p>
        </w:tc>
      </w:tr>
      <w:tr w:rsidR="00ED2F83" w:rsidRPr="00ED2F83" w:rsidTr="00ED2F83">
        <w:tc>
          <w:tcPr>
            <w:tcW w:w="9975" w:type="dxa"/>
            <w:gridSpan w:val="6"/>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hideMark/>
          </w:tcPr>
          <w:p w:rsidR="00ED2F83" w:rsidRPr="00ED2F83" w:rsidRDefault="00ED2F83">
            <w:pPr>
              <w:widowControl w:val="0"/>
              <w:ind w:left="83"/>
              <w:jc w:val="both"/>
              <w:rPr>
                <w:i/>
                <w:noProof/>
                <w:lang w:val="uk-UA"/>
              </w:rPr>
            </w:pPr>
            <w:r w:rsidRPr="00ED2F83">
              <w:rPr>
                <w:b/>
                <w:noProof/>
                <w:lang w:val="uk-UA"/>
              </w:rPr>
              <w:t>Інші вимоги (опис страхового продукту): інформація про необхідні технічні, якісні та кількісні характеристики предмета закупівлі (умови технічної специфікації):</w:t>
            </w:r>
          </w:p>
        </w:tc>
      </w:tr>
      <w:tr w:rsidR="00ED2F83" w:rsidRPr="00ED2F83" w:rsidTr="00ED2F83">
        <w:trPr>
          <w:trHeight w:val="461"/>
        </w:trPr>
        <w:tc>
          <w:tcPr>
            <w:tcW w:w="478"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suppressAutoHyphens/>
              <w:rPr>
                <w:noProof/>
                <w:lang w:val="uk-UA"/>
              </w:rPr>
            </w:pPr>
            <w:r w:rsidRPr="00ED2F83">
              <w:rPr>
                <w:noProof/>
                <w:lang w:val="uk-UA"/>
              </w:rPr>
              <w:t>1</w:t>
            </w:r>
          </w:p>
        </w:tc>
        <w:tc>
          <w:tcPr>
            <w:tcW w:w="3544"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rPr>
                <w:noProof/>
                <w:lang w:val="uk-UA"/>
              </w:rPr>
            </w:pPr>
            <w:r w:rsidRPr="00ED2F83">
              <w:rPr>
                <w:noProof/>
                <w:lang w:val="uk-UA"/>
              </w:rPr>
              <w:t>Клас страхування</w:t>
            </w:r>
          </w:p>
        </w:tc>
        <w:tc>
          <w:tcPr>
            <w:tcW w:w="5953"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ind w:right="111"/>
              <w:jc w:val="both"/>
              <w:rPr>
                <w:noProof/>
                <w:lang w:val="uk-UA"/>
              </w:rPr>
            </w:pPr>
            <w:r w:rsidRPr="00ED2F83">
              <w:rPr>
                <w:noProof/>
                <w:lang w:val="uk-UA"/>
              </w:rPr>
              <w:t xml:space="preserve">1 клас страхування, визначений ч.1 статті 4 Закону України «Про страхування»: </w:t>
            </w:r>
            <w:r w:rsidRPr="00ED2F83">
              <w:rPr>
                <w:b/>
                <w:noProof/>
                <w:lang w:val="uk-UA"/>
              </w:rPr>
              <w:t>страхування від нещасного випадку (у тому числі на випадок виробничої травми та професійного захворювання)</w:t>
            </w:r>
          </w:p>
        </w:tc>
      </w:tr>
      <w:tr w:rsidR="00ED2F83" w:rsidRPr="00ED2F83" w:rsidTr="00ED2F83">
        <w:trPr>
          <w:trHeight w:val="373"/>
        </w:trPr>
        <w:tc>
          <w:tcPr>
            <w:tcW w:w="478"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suppressAutoHyphens/>
              <w:rPr>
                <w:noProof/>
                <w:lang w:val="uk-UA"/>
              </w:rPr>
            </w:pPr>
            <w:r w:rsidRPr="00ED2F83">
              <w:rPr>
                <w:noProof/>
                <w:lang w:val="uk-UA"/>
              </w:rPr>
              <w:t>2</w:t>
            </w:r>
          </w:p>
        </w:tc>
        <w:tc>
          <w:tcPr>
            <w:tcW w:w="3544"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rPr>
                <w:noProof/>
                <w:lang w:val="uk-UA"/>
              </w:rPr>
            </w:pPr>
            <w:r w:rsidRPr="00ED2F83">
              <w:rPr>
                <w:noProof/>
                <w:lang w:val="uk-UA"/>
              </w:rPr>
              <w:t>Страхувальник</w:t>
            </w:r>
          </w:p>
        </w:tc>
        <w:tc>
          <w:tcPr>
            <w:tcW w:w="5953"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ind w:right="111"/>
              <w:jc w:val="both"/>
              <w:rPr>
                <w:b/>
                <w:noProof/>
                <w:lang w:val="uk-UA"/>
              </w:rPr>
            </w:pPr>
            <w:r w:rsidRPr="00ED2F83">
              <w:rPr>
                <w:b/>
                <w:noProof/>
                <w:lang w:val="uk-UA"/>
              </w:rPr>
              <w:t>ДП МА «БОРИСПІЛЬ»</w:t>
            </w:r>
          </w:p>
          <w:p w:rsidR="00ED2F83" w:rsidRPr="00ED2F83" w:rsidRDefault="00ED2F83">
            <w:pPr>
              <w:autoSpaceDE w:val="0"/>
              <w:autoSpaceDN w:val="0"/>
              <w:adjustRightInd w:val="0"/>
              <w:jc w:val="both"/>
              <w:rPr>
                <w:b/>
                <w:noProof/>
                <w:lang w:val="uk-UA"/>
              </w:rPr>
            </w:pPr>
            <w:r w:rsidRPr="00ED2F83">
              <w:rPr>
                <w:bCs/>
                <w:color w:val="000000"/>
                <w:lang w:val="uk-UA"/>
              </w:rPr>
              <w:t xml:space="preserve">Застрахованими особами є водії та/або пасажири транспортного засобу, які знаходяться/ знаходились в транспортному засобі ДП МА «Бориспіль» в момент дорожньо-транспортної пригоди. </w:t>
            </w:r>
          </w:p>
        </w:tc>
      </w:tr>
      <w:tr w:rsidR="00ED2F83" w:rsidRPr="00ED2F83" w:rsidTr="00ED2F83">
        <w:trPr>
          <w:trHeight w:val="373"/>
        </w:trPr>
        <w:tc>
          <w:tcPr>
            <w:tcW w:w="478"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suppressAutoHyphens/>
              <w:rPr>
                <w:noProof/>
                <w:lang w:val="uk-UA"/>
              </w:rPr>
            </w:pPr>
            <w:r w:rsidRPr="00ED2F83">
              <w:rPr>
                <w:noProof/>
                <w:lang w:val="uk-UA"/>
              </w:rPr>
              <w:t>3</w:t>
            </w:r>
          </w:p>
        </w:tc>
        <w:tc>
          <w:tcPr>
            <w:tcW w:w="3544"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rPr>
                <w:noProof/>
                <w:lang w:val="uk-UA"/>
              </w:rPr>
            </w:pPr>
            <w:r w:rsidRPr="00ED2F83">
              <w:rPr>
                <w:noProof/>
                <w:lang w:val="uk-UA"/>
              </w:rPr>
              <w:t>Об’єкт страхування</w:t>
            </w:r>
          </w:p>
        </w:tc>
        <w:tc>
          <w:tcPr>
            <w:tcW w:w="5953"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autoSpaceDE w:val="0"/>
              <w:autoSpaceDN w:val="0"/>
              <w:adjustRightInd w:val="0"/>
              <w:jc w:val="both"/>
              <w:rPr>
                <w:noProof/>
                <w:lang w:val="uk-UA"/>
              </w:rPr>
            </w:pPr>
            <w:r w:rsidRPr="00ED2F83">
              <w:rPr>
                <w:b/>
                <w:bCs/>
                <w:color w:val="000000"/>
                <w:lang w:val="uk-UA"/>
              </w:rPr>
              <w:t>Об’єктом страхування</w:t>
            </w:r>
            <w:r w:rsidRPr="00ED2F83">
              <w:rPr>
                <w:bCs/>
                <w:color w:val="000000"/>
                <w:lang w:val="uk-UA"/>
              </w:rPr>
              <w:t xml:space="preserve"> є життя, здоров’я та працездатність (у тому числі на випадок виробничої травми та професійного захворювання) Застрахованих осіб.</w:t>
            </w:r>
          </w:p>
        </w:tc>
      </w:tr>
      <w:tr w:rsidR="00ED2F83" w:rsidRPr="00ED2F83" w:rsidTr="00ED2F83">
        <w:trPr>
          <w:trHeight w:val="373"/>
        </w:trPr>
        <w:tc>
          <w:tcPr>
            <w:tcW w:w="478"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suppressAutoHyphens/>
              <w:rPr>
                <w:noProof/>
                <w:lang w:val="uk-UA"/>
              </w:rPr>
            </w:pPr>
            <w:r w:rsidRPr="00ED2F83">
              <w:rPr>
                <w:noProof/>
                <w:lang w:val="uk-UA"/>
              </w:rPr>
              <w:t>4</w:t>
            </w:r>
          </w:p>
        </w:tc>
        <w:tc>
          <w:tcPr>
            <w:tcW w:w="3544"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autoSpaceDE w:val="0"/>
              <w:autoSpaceDN w:val="0"/>
              <w:adjustRightInd w:val="0"/>
              <w:rPr>
                <w:noProof/>
                <w:lang w:val="uk-UA"/>
              </w:rPr>
            </w:pPr>
            <w:r w:rsidRPr="00ED2F83">
              <w:rPr>
                <w:rFonts w:eastAsiaTheme="minorHAnsi"/>
                <w:bCs/>
                <w:noProof/>
                <w:color w:val="000000"/>
                <w:lang w:val="uk-UA" w:eastAsia="en-US"/>
              </w:rPr>
              <w:t>Страховий ризик</w:t>
            </w:r>
          </w:p>
        </w:tc>
        <w:tc>
          <w:tcPr>
            <w:tcW w:w="5953"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autoSpaceDE w:val="0"/>
              <w:autoSpaceDN w:val="0"/>
              <w:adjustRightInd w:val="0"/>
              <w:ind w:right="111"/>
              <w:jc w:val="both"/>
              <w:rPr>
                <w:i/>
                <w:noProof/>
                <w:lang w:val="uk-UA"/>
              </w:rPr>
            </w:pPr>
            <w:r w:rsidRPr="00ED2F83">
              <w:rPr>
                <w:rFonts w:eastAsiaTheme="minorHAnsi"/>
                <w:b/>
                <w:bCs/>
                <w:noProof/>
                <w:color w:val="000000"/>
                <w:lang w:val="uk-UA" w:eastAsia="en-US"/>
              </w:rPr>
              <w:t xml:space="preserve">Страховий ризик - </w:t>
            </w:r>
            <w:r w:rsidRPr="00ED2F83">
              <w:rPr>
                <w:rFonts w:eastAsiaTheme="minorHAnsi"/>
                <w:bCs/>
                <w:noProof/>
                <w:color w:val="000000"/>
                <w:lang w:val="uk-UA" w:eastAsia="en-US"/>
              </w:rPr>
              <w:t>нещасний випадок, а саме: раптова, випадкова, короткочасна, незалежна від волі Страхувальника/Застрахованої особи подія, що відбулась під час її перебування в транспортному засобі внаслідок зовнішнього впливу та призвела до заподіяння шкоди життю, здоров’ю та працездатності Застрахованої особи на території дії Договору страхування.</w:t>
            </w:r>
          </w:p>
        </w:tc>
      </w:tr>
      <w:tr w:rsidR="00ED2F83" w:rsidRPr="00ED2F83" w:rsidTr="00ED2F83">
        <w:trPr>
          <w:trHeight w:val="373"/>
        </w:trPr>
        <w:tc>
          <w:tcPr>
            <w:tcW w:w="478"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suppressAutoHyphens/>
              <w:rPr>
                <w:noProof/>
                <w:lang w:val="uk-UA"/>
              </w:rPr>
            </w:pPr>
            <w:r w:rsidRPr="00ED2F83">
              <w:rPr>
                <w:noProof/>
                <w:lang w:val="uk-UA"/>
              </w:rPr>
              <w:lastRenderedPageBreak/>
              <w:t>5</w:t>
            </w:r>
          </w:p>
        </w:tc>
        <w:tc>
          <w:tcPr>
            <w:tcW w:w="3544"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rPr>
                <w:noProof/>
                <w:lang w:val="uk-UA"/>
              </w:rPr>
            </w:pPr>
            <w:r w:rsidRPr="00ED2F83">
              <w:rPr>
                <w:noProof/>
                <w:lang w:val="uk-UA"/>
              </w:rPr>
              <w:t>Страховий випадок</w:t>
            </w:r>
          </w:p>
        </w:tc>
        <w:tc>
          <w:tcPr>
            <w:tcW w:w="5953"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autoSpaceDE w:val="0"/>
              <w:autoSpaceDN w:val="0"/>
              <w:adjustRightInd w:val="0"/>
              <w:jc w:val="both"/>
              <w:rPr>
                <w:b/>
                <w:i/>
                <w:noProof/>
                <w:lang w:val="uk-UA"/>
              </w:rPr>
            </w:pPr>
            <w:r w:rsidRPr="00ED2F83">
              <w:rPr>
                <w:b/>
                <w:bCs/>
                <w:noProof/>
                <w:color w:val="000000"/>
                <w:lang w:val="uk-UA"/>
              </w:rPr>
              <w:t>Страховим випадком</w:t>
            </w:r>
            <w:r w:rsidRPr="00ED2F83">
              <w:rPr>
                <w:bCs/>
                <w:noProof/>
                <w:color w:val="000000"/>
                <w:lang w:val="uk-UA"/>
              </w:rPr>
              <w:t xml:space="preserve"> є подія, яка передбачена цим Договором і сталася протягом строку його дії, ризик виникнення якої застрахований, з настанням якої виникає обов’язок страховика здійснити страхову виплату, а саме смерть, встановлення інвалідності та/або тимчасова втрата працездатності застрахованою особою внаслідок нещасного випадку, який стався із застрахованою особою під час виконання своїх трудових обов’язків.</w:t>
            </w:r>
          </w:p>
        </w:tc>
      </w:tr>
      <w:tr w:rsidR="00ED2F83" w:rsidRPr="00ED2F83" w:rsidTr="00ED2F83">
        <w:trPr>
          <w:trHeight w:val="373"/>
        </w:trPr>
        <w:tc>
          <w:tcPr>
            <w:tcW w:w="478"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suppressAutoHyphens/>
              <w:rPr>
                <w:noProof/>
                <w:lang w:val="uk-UA"/>
              </w:rPr>
            </w:pPr>
            <w:r w:rsidRPr="00ED2F83">
              <w:rPr>
                <w:noProof/>
                <w:lang w:val="uk-UA"/>
              </w:rPr>
              <w:t>6</w:t>
            </w:r>
          </w:p>
        </w:tc>
        <w:tc>
          <w:tcPr>
            <w:tcW w:w="3544"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rPr>
                <w:noProof/>
                <w:lang w:val="uk-UA"/>
              </w:rPr>
            </w:pPr>
            <w:r w:rsidRPr="00ED2F83">
              <w:rPr>
                <w:noProof/>
                <w:lang w:val="uk-UA"/>
              </w:rPr>
              <w:t>Розмір страхової суми (ліміту відповідальності):</w:t>
            </w:r>
          </w:p>
        </w:tc>
        <w:tc>
          <w:tcPr>
            <w:tcW w:w="5953" w:type="dxa"/>
            <w:gridSpan w:val="2"/>
            <w:tcBorders>
              <w:top w:val="thickThinLargeGap" w:sz="6" w:space="0" w:color="000000"/>
              <w:left w:val="thickThinLargeGap" w:sz="6" w:space="0" w:color="000000"/>
              <w:bottom w:val="thickThinLargeGap" w:sz="6" w:space="0" w:color="000000"/>
              <w:right w:val="thickThinLargeGap" w:sz="6" w:space="0" w:color="000000"/>
            </w:tcBorders>
          </w:tcPr>
          <w:p w:rsidR="00ED2F83" w:rsidRPr="00ED2F83" w:rsidRDefault="00ED2F83">
            <w:pPr>
              <w:widowControl w:val="0"/>
              <w:tabs>
                <w:tab w:val="left" w:pos="226"/>
              </w:tabs>
              <w:ind w:right="111"/>
              <w:jc w:val="both"/>
              <w:rPr>
                <w:b/>
                <w:noProof/>
                <w:lang w:val="uk-UA" w:eastAsia="uk-UA"/>
              </w:rPr>
            </w:pPr>
            <w:r w:rsidRPr="00ED2F83">
              <w:rPr>
                <w:noProof/>
                <w:lang w:val="uk-UA" w:eastAsia="uk-UA"/>
              </w:rPr>
              <w:t xml:space="preserve">Розмір страхової суми на одну застраховану особу повинен </w:t>
            </w:r>
            <w:r w:rsidRPr="00ED2F83">
              <w:rPr>
                <w:b/>
                <w:noProof/>
                <w:lang w:val="uk-UA" w:eastAsia="uk-UA"/>
              </w:rPr>
              <w:t>становити 60 мінімальних заробітних плат у місячному розмірі, установленому законом на 1 січня року укладення договору страхування від нещасних випадків</w:t>
            </w:r>
            <w:r w:rsidRPr="00ED2F83">
              <w:rPr>
                <w:noProof/>
                <w:lang w:val="uk-UA" w:eastAsia="uk-UA"/>
              </w:rPr>
              <w:t xml:space="preserve">, </w:t>
            </w:r>
            <w:r w:rsidRPr="00ED2F83">
              <w:rPr>
                <w:b/>
                <w:noProof/>
                <w:lang w:val="uk-UA" w:eastAsia="uk-UA"/>
              </w:rPr>
              <w:t>на кожну застраховану особу.</w:t>
            </w:r>
          </w:p>
          <w:p w:rsidR="00ED2F83" w:rsidRPr="00ED2F83" w:rsidRDefault="00ED2F83">
            <w:pPr>
              <w:widowControl w:val="0"/>
              <w:tabs>
                <w:tab w:val="left" w:pos="226"/>
              </w:tabs>
              <w:ind w:right="111"/>
              <w:jc w:val="both"/>
              <w:rPr>
                <w:noProof/>
                <w:lang w:val="uk-UA" w:eastAsia="uk-UA"/>
              </w:rPr>
            </w:pPr>
          </w:p>
          <w:p w:rsidR="00ED2F83" w:rsidRPr="00ED2F83" w:rsidRDefault="00ED2F83">
            <w:pPr>
              <w:shd w:val="clear" w:color="auto" w:fill="FFFFFF"/>
              <w:tabs>
                <w:tab w:val="left" w:pos="226"/>
              </w:tabs>
              <w:jc w:val="both"/>
              <w:rPr>
                <w:noProof/>
                <w:lang w:val="uk-UA" w:eastAsia="uk-UA"/>
              </w:rPr>
            </w:pPr>
            <w:r w:rsidRPr="00ED2F83">
              <w:rPr>
                <w:noProof/>
                <w:lang w:val="uk-UA" w:eastAsia="uk-UA"/>
              </w:rPr>
              <w:t>Страховик згідно з умовами договору страхування від нещасних випадків одноразово виплачує:</w:t>
            </w:r>
          </w:p>
          <w:p w:rsidR="00ED2F83" w:rsidRPr="00ED2F83" w:rsidRDefault="00ED2F83" w:rsidP="00ED2F83">
            <w:pPr>
              <w:pStyle w:val="af5"/>
              <w:numPr>
                <w:ilvl w:val="0"/>
                <w:numId w:val="26"/>
              </w:numPr>
              <w:shd w:val="clear" w:color="auto" w:fill="FFFFFF"/>
              <w:tabs>
                <w:tab w:val="left" w:pos="226"/>
              </w:tabs>
              <w:spacing w:after="0" w:line="240" w:lineRule="auto"/>
              <w:ind w:left="0" w:firstLine="0"/>
              <w:jc w:val="both"/>
              <w:rPr>
                <w:rFonts w:ascii="Times New Roman" w:hAnsi="Times New Roman"/>
                <w:noProof/>
                <w:sz w:val="24"/>
                <w:szCs w:val="24"/>
                <w:lang w:val="uk-UA" w:eastAsia="uk-UA"/>
              </w:rPr>
            </w:pPr>
            <w:bookmarkStart w:id="1" w:name="n101"/>
            <w:bookmarkEnd w:id="1"/>
            <w:r w:rsidRPr="00ED2F83">
              <w:rPr>
                <w:rFonts w:ascii="Times New Roman" w:hAnsi="Times New Roman"/>
                <w:noProof/>
                <w:sz w:val="24"/>
                <w:szCs w:val="24"/>
                <w:lang w:val="uk-UA" w:eastAsia="uk-UA"/>
              </w:rPr>
              <w:t>у разі смерті застрахованої особи внаслідок настання страхового випадку або встановлення застрахованій особі інвалідності І групи - 100 відсотків розміру страхової суми, для такої застрахованої особи;</w:t>
            </w:r>
          </w:p>
          <w:p w:rsidR="00ED2F83" w:rsidRPr="00ED2F83" w:rsidRDefault="00ED2F83" w:rsidP="00ED2F83">
            <w:pPr>
              <w:pStyle w:val="af5"/>
              <w:numPr>
                <w:ilvl w:val="0"/>
                <w:numId w:val="26"/>
              </w:numPr>
              <w:shd w:val="clear" w:color="auto" w:fill="FFFFFF"/>
              <w:tabs>
                <w:tab w:val="left" w:pos="226"/>
              </w:tabs>
              <w:spacing w:after="0" w:line="240" w:lineRule="auto"/>
              <w:ind w:left="0" w:firstLine="0"/>
              <w:jc w:val="both"/>
              <w:rPr>
                <w:rFonts w:ascii="Times New Roman" w:hAnsi="Times New Roman"/>
                <w:noProof/>
                <w:sz w:val="24"/>
                <w:szCs w:val="24"/>
                <w:lang w:val="uk-UA" w:eastAsia="uk-UA"/>
              </w:rPr>
            </w:pPr>
            <w:bookmarkStart w:id="2" w:name="n102"/>
            <w:bookmarkEnd w:id="2"/>
            <w:r w:rsidRPr="00ED2F83">
              <w:rPr>
                <w:rFonts w:ascii="Times New Roman" w:hAnsi="Times New Roman"/>
                <w:noProof/>
                <w:sz w:val="24"/>
                <w:szCs w:val="24"/>
                <w:lang w:val="uk-UA" w:eastAsia="uk-UA"/>
              </w:rPr>
              <w:t>у разі встановлення застрахованій особі інвалідності II групи - не менше 80 відсотків від розміру страхової суми, для такої застрахованої особи;</w:t>
            </w:r>
          </w:p>
          <w:p w:rsidR="00ED2F83" w:rsidRPr="00ED2F83" w:rsidRDefault="00ED2F83" w:rsidP="00ED2F83">
            <w:pPr>
              <w:pStyle w:val="af5"/>
              <w:numPr>
                <w:ilvl w:val="0"/>
                <w:numId w:val="26"/>
              </w:numPr>
              <w:shd w:val="clear" w:color="auto" w:fill="FFFFFF"/>
              <w:tabs>
                <w:tab w:val="left" w:pos="226"/>
              </w:tabs>
              <w:spacing w:after="0" w:line="240" w:lineRule="auto"/>
              <w:ind w:left="0" w:firstLine="0"/>
              <w:jc w:val="both"/>
              <w:rPr>
                <w:rFonts w:ascii="Times New Roman" w:hAnsi="Times New Roman"/>
                <w:noProof/>
                <w:sz w:val="24"/>
                <w:szCs w:val="24"/>
                <w:lang w:val="uk-UA" w:eastAsia="uk-UA"/>
              </w:rPr>
            </w:pPr>
            <w:bookmarkStart w:id="3" w:name="n103"/>
            <w:bookmarkEnd w:id="3"/>
            <w:r w:rsidRPr="00ED2F83">
              <w:rPr>
                <w:rFonts w:ascii="Times New Roman" w:hAnsi="Times New Roman"/>
                <w:noProof/>
                <w:sz w:val="24"/>
                <w:szCs w:val="24"/>
                <w:lang w:val="uk-UA" w:eastAsia="uk-UA"/>
              </w:rPr>
              <w:t>у разі встановлення застрахованій особі інвалідності III групи - не менше 60 відсотків від розміру страхової суми, для такої застрахованої особи;</w:t>
            </w:r>
          </w:p>
          <w:p w:rsidR="00ED2F83" w:rsidRPr="00ED2F83" w:rsidRDefault="00ED2F83" w:rsidP="00ED2F83">
            <w:pPr>
              <w:pStyle w:val="af5"/>
              <w:widowControl w:val="0"/>
              <w:numPr>
                <w:ilvl w:val="0"/>
                <w:numId w:val="26"/>
              </w:numPr>
              <w:tabs>
                <w:tab w:val="left" w:pos="226"/>
              </w:tabs>
              <w:spacing w:after="0" w:line="240" w:lineRule="auto"/>
              <w:ind w:left="0" w:firstLine="0"/>
              <w:jc w:val="both"/>
              <w:rPr>
                <w:rFonts w:ascii="Times New Roman" w:hAnsi="Times New Roman"/>
                <w:noProof/>
                <w:sz w:val="24"/>
                <w:szCs w:val="24"/>
                <w:lang w:val="uk-UA"/>
              </w:rPr>
            </w:pPr>
            <w:bookmarkStart w:id="4" w:name="n104"/>
            <w:bookmarkEnd w:id="4"/>
            <w:r w:rsidRPr="00ED2F83">
              <w:rPr>
                <w:rFonts w:ascii="Times New Roman" w:hAnsi="Times New Roman"/>
                <w:noProof/>
                <w:sz w:val="24"/>
                <w:szCs w:val="24"/>
                <w:lang w:val="uk-UA" w:eastAsia="uk-UA"/>
              </w:rPr>
              <w:t>у разі тимчасової втрати працездатності застрахованою особою за кожен день - не менше 1/30 розміру мінімальної заробітної плати в місячному розмірі, установленому законом але не більше ніж за 120 днів.</w:t>
            </w:r>
          </w:p>
          <w:p w:rsidR="00ED2F83" w:rsidRPr="00ED2F83" w:rsidRDefault="00ED2F83" w:rsidP="00ED2F83">
            <w:pPr>
              <w:widowControl w:val="0"/>
              <w:jc w:val="both"/>
              <w:rPr>
                <w:noProof/>
                <w:lang w:val="uk-UA"/>
              </w:rPr>
            </w:pPr>
            <w:r w:rsidRPr="00ED2F83">
              <w:rPr>
                <w:noProof/>
                <w:u w:val="single"/>
                <w:lang w:val="uk-UA"/>
              </w:rPr>
              <w:t>Франшиза</w:t>
            </w:r>
            <w:r w:rsidRPr="00ED2F83">
              <w:rPr>
                <w:noProof/>
                <w:lang w:val="uk-UA"/>
              </w:rPr>
              <w:t xml:space="preserve"> – не передбачена.</w:t>
            </w:r>
          </w:p>
        </w:tc>
      </w:tr>
      <w:tr w:rsidR="00ED2F83" w:rsidRPr="00ED2F83" w:rsidTr="00ED2F83">
        <w:trPr>
          <w:trHeight w:val="373"/>
        </w:trPr>
        <w:tc>
          <w:tcPr>
            <w:tcW w:w="478" w:type="dxa"/>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suppressAutoHyphens/>
              <w:rPr>
                <w:noProof/>
                <w:lang w:val="uk-UA"/>
              </w:rPr>
            </w:pPr>
            <w:r w:rsidRPr="00ED2F83">
              <w:rPr>
                <w:noProof/>
                <w:lang w:val="uk-UA"/>
              </w:rPr>
              <w:t>7</w:t>
            </w:r>
          </w:p>
        </w:tc>
        <w:tc>
          <w:tcPr>
            <w:tcW w:w="3544"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rPr>
                <w:noProof/>
                <w:lang w:val="uk-UA"/>
              </w:rPr>
            </w:pPr>
            <w:r w:rsidRPr="00ED2F83">
              <w:rPr>
                <w:noProof/>
                <w:lang w:val="uk-UA"/>
              </w:rPr>
              <w:t>Термін страхування</w:t>
            </w:r>
          </w:p>
        </w:tc>
        <w:tc>
          <w:tcPr>
            <w:tcW w:w="5953"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rsidR="00ED2F83" w:rsidRPr="00ED2F83" w:rsidRDefault="00ED2F83">
            <w:pPr>
              <w:widowControl w:val="0"/>
              <w:tabs>
                <w:tab w:val="left" w:pos="226"/>
              </w:tabs>
              <w:ind w:right="111"/>
              <w:jc w:val="both"/>
              <w:rPr>
                <w:noProof/>
                <w:lang w:val="uk-UA" w:eastAsia="uk-UA"/>
              </w:rPr>
            </w:pPr>
            <w:r w:rsidRPr="00ED2F83">
              <w:rPr>
                <w:noProof/>
                <w:lang w:val="uk-UA" w:eastAsia="uk-UA"/>
              </w:rPr>
              <w:t>365 календарних днів</w:t>
            </w:r>
          </w:p>
        </w:tc>
      </w:tr>
    </w:tbl>
    <w:p w:rsidR="00ED2F83" w:rsidRPr="00ED2F83" w:rsidRDefault="00ED2F83" w:rsidP="00ED2F83">
      <w:pPr>
        <w:autoSpaceDE w:val="0"/>
        <w:autoSpaceDN w:val="0"/>
        <w:adjustRightInd w:val="0"/>
        <w:jc w:val="both"/>
        <w:rPr>
          <w:bCs/>
          <w:noProof/>
          <w:color w:val="000000"/>
          <w:lang w:val="uk-UA"/>
        </w:rPr>
      </w:pPr>
      <w:r w:rsidRPr="00ED2F83">
        <w:rPr>
          <w:b/>
          <w:noProof/>
          <w:color w:val="000000"/>
          <w:lang w:val="uk-UA"/>
        </w:rPr>
        <w:t xml:space="preserve">1. Мета надання Послуг: </w:t>
      </w:r>
      <w:r w:rsidRPr="00ED2F83">
        <w:rPr>
          <w:bCs/>
          <w:noProof/>
          <w:color w:val="000000"/>
          <w:lang w:val="uk-UA"/>
        </w:rPr>
        <w:t xml:space="preserve">забезпечення відшкодування шкоди, заподіяної життю, здоров'ю та працездатності застрахованих працівників ДП МА «Бориспіль», внаслідок </w:t>
      </w:r>
      <w:r w:rsidRPr="00ED2F83">
        <w:rPr>
          <w:bCs/>
          <w:noProof/>
          <w:lang w:val="uk-UA"/>
        </w:rPr>
        <w:t xml:space="preserve">нещасного випадку, зокрема </w:t>
      </w:r>
      <w:r w:rsidRPr="00ED2F83">
        <w:rPr>
          <w:bCs/>
          <w:noProof/>
          <w:color w:val="000000"/>
          <w:lang w:val="uk-UA"/>
        </w:rPr>
        <w:t>дорожньо-транспортної пригоди.</w:t>
      </w:r>
    </w:p>
    <w:p w:rsidR="00ED2F83" w:rsidRPr="00ED2F83" w:rsidRDefault="00ED2F83" w:rsidP="00ED2F83">
      <w:pPr>
        <w:tabs>
          <w:tab w:val="left" w:pos="284"/>
          <w:tab w:val="left" w:pos="567"/>
          <w:tab w:val="left" w:pos="851"/>
        </w:tabs>
        <w:jc w:val="both"/>
        <w:rPr>
          <w:noProof/>
          <w:lang w:val="uk-UA"/>
        </w:rPr>
      </w:pPr>
      <w:r w:rsidRPr="00ED2F83">
        <w:rPr>
          <w:rFonts w:cs="Times New Roman CYR"/>
          <w:b/>
          <w:noProof/>
          <w:lang w:val="uk-UA"/>
        </w:rPr>
        <w:t>2.</w:t>
      </w:r>
      <w:r w:rsidRPr="00ED2F83">
        <w:rPr>
          <w:rFonts w:cs="Times New Roman CYR"/>
          <w:b/>
          <w:bCs/>
          <w:noProof/>
          <w:lang w:val="uk-UA"/>
        </w:rPr>
        <w:t xml:space="preserve"> </w:t>
      </w:r>
      <w:r w:rsidRPr="00ED2F83">
        <w:rPr>
          <w:b/>
          <w:noProof/>
          <w:lang w:val="uk-UA"/>
        </w:rPr>
        <w:t>Місце надання Послуг:</w:t>
      </w:r>
      <w:r w:rsidRPr="00ED2F83">
        <w:rPr>
          <w:rFonts w:eastAsia="Calibri"/>
          <w:noProof/>
          <w:lang w:val="uk-UA" w:eastAsia="en-US"/>
        </w:rPr>
        <w:t xml:space="preserve"> </w:t>
      </w:r>
      <w:r w:rsidRPr="00ED2F83">
        <w:rPr>
          <w:noProof/>
          <w:lang w:val="uk-UA"/>
        </w:rPr>
        <w:t>Україна (за виключенням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розмежування, затверджених розпорядженням Кабінету Міністрів України від 07 листопада 2014 року № 1085-р (із змінами) та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w:t>
      </w:r>
    </w:p>
    <w:p w:rsidR="00ED2F83" w:rsidRPr="00ED2F83" w:rsidRDefault="00ED2F83" w:rsidP="00ED2F83">
      <w:pPr>
        <w:tabs>
          <w:tab w:val="left" w:pos="284"/>
          <w:tab w:val="left" w:pos="567"/>
          <w:tab w:val="left" w:pos="851"/>
        </w:tabs>
        <w:jc w:val="both"/>
        <w:rPr>
          <w:noProof/>
          <w:lang w:val="uk-UA"/>
        </w:rPr>
      </w:pPr>
      <w:r w:rsidRPr="00ED2F83">
        <w:rPr>
          <w:b/>
          <w:noProof/>
          <w:lang w:val="uk-UA"/>
        </w:rPr>
        <w:t>3.</w:t>
      </w:r>
      <w:r w:rsidRPr="00ED2F83">
        <w:rPr>
          <w:lang w:val="uk-UA"/>
        </w:rPr>
        <w:t xml:space="preserve"> </w:t>
      </w:r>
      <w:r w:rsidRPr="00ED2F83">
        <w:rPr>
          <w:b/>
          <w:noProof/>
          <w:lang w:val="uk-UA"/>
        </w:rPr>
        <w:t xml:space="preserve">ДП МА «Бориспіль» </w:t>
      </w:r>
      <w:r w:rsidRPr="00ED2F83">
        <w:rPr>
          <w:noProof/>
          <w:lang w:val="uk-UA"/>
        </w:rPr>
        <w:t>зобов’язується в день укладення Договору Страхувальник надає Страховику Список застрахованих осіб, за формою, що визначена в Договором, шляхом направлення листа на електронну адресу Страховика.</w:t>
      </w:r>
    </w:p>
    <w:p w:rsidR="00ED2F83" w:rsidRPr="00ED2F83" w:rsidRDefault="00ED2F83" w:rsidP="00ED2F83">
      <w:pPr>
        <w:pStyle w:val="Default"/>
        <w:tabs>
          <w:tab w:val="left" w:pos="0"/>
        </w:tabs>
        <w:jc w:val="both"/>
        <w:rPr>
          <w:noProof/>
        </w:rPr>
      </w:pPr>
      <w:r w:rsidRPr="00ED2F83">
        <w:rPr>
          <w:b/>
        </w:rPr>
        <w:t>4.</w:t>
      </w:r>
      <w:r w:rsidRPr="00ED2F83">
        <w:t xml:space="preserve"> </w:t>
      </w:r>
      <w:r w:rsidRPr="00ED2F83">
        <w:rPr>
          <w:b/>
        </w:rPr>
        <w:t xml:space="preserve">Страховик </w:t>
      </w:r>
      <w:r w:rsidRPr="00ED2F83">
        <w:rPr>
          <w:b/>
          <w:noProof/>
        </w:rPr>
        <w:t>зобов’язується</w:t>
      </w:r>
      <w:r w:rsidRPr="00ED2F83">
        <w:rPr>
          <w:noProof/>
        </w:rPr>
        <w:t xml:space="preserve"> видати </w:t>
      </w:r>
      <w:r w:rsidRPr="00ED2F83">
        <w:rPr>
          <w:noProof/>
          <w:color w:val="auto"/>
        </w:rPr>
        <w:t>на</w:t>
      </w:r>
      <w:r w:rsidRPr="00ED2F83">
        <w:rPr>
          <w:noProof/>
        </w:rPr>
        <w:t xml:space="preserve"> кожну Застраховану особу страховий сертифікат у строк протягом 10 робочих днів з дати укладення (набрання чинності) Договору, за умови виконання ДП МА «Бориспіль» вимог п. 3 цього Роздлілу ІІ.</w:t>
      </w:r>
    </w:p>
    <w:p w:rsidR="00ED2F83" w:rsidRPr="00ED2F83" w:rsidRDefault="00ED2F83" w:rsidP="00ED2F83">
      <w:pPr>
        <w:tabs>
          <w:tab w:val="left" w:pos="284"/>
          <w:tab w:val="left" w:pos="567"/>
          <w:tab w:val="left" w:pos="851"/>
        </w:tabs>
        <w:jc w:val="both"/>
        <w:rPr>
          <w:noProof/>
          <w:lang w:val="uk-UA"/>
        </w:rPr>
      </w:pPr>
    </w:p>
    <w:p w:rsidR="00ED2F83" w:rsidRPr="00ED2F83" w:rsidRDefault="00ED2F83" w:rsidP="00ED2F83">
      <w:pPr>
        <w:pStyle w:val="af5"/>
        <w:widowControl w:val="0"/>
        <w:tabs>
          <w:tab w:val="num" w:pos="709"/>
        </w:tabs>
        <w:spacing w:after="0" w:line="240" w:lineRule="auto"/>
        <w:ind w:left="0"/>
        <w:jc w:val="both"/>
        <w:rPr>
          <w:rFonts w:ascii="Times New Roman" w:hAnsi="Times New Roman"/>
          <w:b/>
          <w:noProof/>
          <w:color w:val="000000"/>
          <w:sz w:val="24"/>
          <w:szCs w:val="24"/>
          <w:lang w:val="uk-UA"/>
        </w:rPr>
      </w:pPr>
    </w:p>
    <w:p w:rsidR="006F428D" w:rsidRPr="00ED2F83" w:rsidRDefault="006F428D" w:rsidP="00A12478">
      <w:pPr>
        <w:rPr>
          <w:b/>
          <w:lang w:val="uk-UA"/>
        </w:rPr>
      </w:pPr>
    </w:p>
    <w:p w:rsidR="006F428D" w:rsidRPr="007101A5" w:rsidRDefault="006F428D" w:rsidP="00A12478">
      <w:pPr>
        <w:rPr>
          <w:b/>
          <w:lang w:val="uk-UA"/>
        </w:rPr>
      </w:pPr>
    </w:p>
    <w:p w:rsidR="006F428D" w:rsidRPr="007101A5" w:rsidRDefault="006F428D" w:rsidP="00A12478">
      <w:pPr>
        <w:rPr>
          <w:b/>
          <w:lang w:val="uk-UA"/>
        </w:rPr>
      </w:pPr>
    </w:p>
    <w:sectPr w:rsidR="006F428D"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76B" w:rsidRDefault="00BB276B">
      <w:r>
        <w:separator/>
      </w:r>
    </w:p>
  </w:endnote>
  <w:endnote w:type="continuationSeparator" w:id="0">
    <w:p w:rsidR="00BB276B" w:rsidRDefault="00BB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52FF9"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B01E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0B62FB">
      <w:rPr>
        <w:sz w:val="20"/>
        <w:szCs w:val="20"/>
        <w:lang w:val="uk-UA"/>
      </w:rPr>
      <w:t xml:space="preserve">Особисте страхування водіїв від нещасних випадків на транспорті, код ДК 021:2015 - 66510000-8 - Страхові послуги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D65BC5">
      <w:rPr>
        <w:bCs/>
        <w:noProof/>
        <w:sz w:val="20"/>
        <w:szCs w:val="20"/>
      </w:rPr>
      <w:t>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D65BC5">
      <w:rPr>
        <w:bCs/>
        <w:noProof/>
        <w:sz w:val="20"/>
        <w:szCs w:val="20"/>
      </w:rPr>
      <w:t>4</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76B" w:rsidRDefault="00BB276B">
      <w:r>
        <w:separator/>
      </w:r>
    </w:p>
  </w:footnote>
  <w:footnote w:type="continuationSeparator" w:id="0">
    <w:p w:rsidR="00BB276B" w:rsidRDefault="00BB27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52FF9" w:rsidP="00A3681A">
    <w:pPr>
      <w:pStyle w:val="a9"/>
      <w:jc w:val="both"/>
      <w:rPr>
        <w:sz w:val="20"/>
        <w:szCs w:val="20"/>
        <w:lang w:val="uk-UA"/>
      </w:rPr>
    </w:pPr>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1F46A"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extent cx="1447800" cy="287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9E9509E"/>
    <w:multiLevelType w:val="hybridMultilevel"/>
    <w:tmpl w:val="29E495E6"/>
    <w:lvl w:ilvl="0" w:tplc="165C04AA">
      <w:numFmt w:val="bullet"/>
      <w:lvlText w:val="-"/>
      <w:lvlJc w:val="left"/>
      <w:pPr>
        <w:ind w:left="810" w:hanging="360"/>
      </w:pPr>
      <w:rPr>
        <w:rFonts w:ascii="Times New Roman" w:eastAsia="Times New Roman" w:hAnsi="Times New Roman" w:cs="Times New Roman" w:hint="default"/>
      </w:rPr>
    </w:lvl>
    <w:lvl w:ilvl="1" w:tplc="04220003">
      <w:start w:val="1"/>
      <w:numFmt w:val="bullet"/>
      <w:lvlText w:val="o"/>
      <w:lvlJc w:val="left"/>
      <w:pPr>
        <w:ind w:left="1530" w:hanging="360"/>
      </w:pPr>
      <w:rPr>
        <w:rFonts w:ascii="Courier New" w:hAnsi="Courier New" w:cs="Courier New" w:hint="default"/>
      </w:rPr>
    </w:lvl>
    <w:lvl w:ilvl="2" w:tplc="04220005">
      <w:start w:val="1"/>
      <w:numFmt w:val="bullet"/>
      <w:lvlText w:val=""/>
      <w:lvlJc w:val="left"/>
      <w:pPr>
        <w:ind w:left="2250" w:hanging="360"/>
      </w:pPr>
      <w:rPr>
        <w:rFonts w:ascii="Wingdings" w:hAnsi="Wingdings" w:hint="default"/>
      </w:rPr>
    </w:lvl>
    <w:lvl w:ilvl="3" w:tplc="04220001">
      <w:start w:val="1"/>
      <w:numFmt w:val="bullet"/>
      <w:lvlText w:val=""/>
      <w:lvlJc w:val="left"/>
      <w:pPr>
        <w:ind w:left="2970" w:hanging="360"/>
      </w:pPr>
      <w:rPr>
        <w:rFonts w:ascii="Symbol" w:hAnsi="Symbol" w:hint="default"/>
      </w:rPr>
    </w:lvl>
    <w:lvl w:ilvl="4" w:tplc="04220003">
      <w:start w:val="1"/>
      <w:numFmt w:val="bullet"/>
      <w:lvlText w:val="o"/>
      <w:lvlJc w:val="left"/>
      <w:pPr>
        <w:ind w:left="3690" w:hanging="360"/>
      </w:pPr>
      <w:rPr>
        <w:rFonts w:ascii="Courier New" w:hAnsi="Courier New" w:cs="Courier New" w:hint="default"/>
      </w:rPr>
    </w:lvl>
    <w:lvl w:ilvl="5" w:tplc="04220005">
      <w:start w:val="1"/>
      <w:numFmt w:val="bullet"/>
      <w:lvlText w:val=""/>
      <w:lvlJc w:val="left"/>
      <w:pPr>
        <w:ind w:left="4410" w:hanging="360"/>
      </w:pPr>
      <w:rPr>
        <w:rFonts w:ascii="Wingdings" w:hAnsi="Wingdings" w:hint="default"/>
      </w:rPr>
    </w:lvl>
    <w:lvl w:ilvl="6" w:tplc="04220001">
      <w:start w:val="1"/>
      <w:numFmt w:val="bullet"/>
      <w:lvlText w:val=""/>
      <w:lvlJc w:val="left"/>
      <w:pPr>
        <w:ind w:left="5130" w:hanging="360"/>
      </w:pPr>
      <w:rPr>
        <w:rFonts w:ascii="Symbol" w:hAnsi="Symbol" w:hint="default"/>
      </w:rPr>
    </w:lvl>
    <w:lvl w:ilvl="7" w:tplc="04220003">
      <w:start w:val="1"/>
      <w:numFmt w:val="bullet"/>
      <w:lvlText w:val="o"/>
      <w:lvlJc w:val="left"/>
      <w:pPr>
        <w:ind w:left="5850" w:hanging="360"/>
      </w:pPr>
      <w:rPr>
        <w:rFonts w:ascii="Courier New" w:hAnsi="Courier New" w:cs="Courier New" w:hint="default"/>
      </w:rPr>
    </w:lvl>
    <w:lvl w:ilvl="8" w:tplc="04220005">
      <w:start w:val="1"/>
      <w:numFmt w:val="bullet"/>
      <w:lvlText w:val=""/>
      <w:lvlJc w:val="left"/>
      <w:pPr>
        <w:ind w:left="6570" w:hanging="360"/>
      </w:pPr>
      <w:rPr>
        <w:rFonts w:ascii="Wingdings" w:hAnsi="Wingdings" w:hint="default"/>
      </w:rPr>
    </w:lvl>
  </w:abstractNum>
  <w:abstractNum w:abstractNumId="3"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0"/>
  </w:num>
  <w:num w:numId="4">
    <w:abstractNumId w:val="24"/>
  </w:num>
  <w:num w:numId="5">
    <w:abstractNumId w:val="8"/>
  </w:num>
  <w:num w:numId="6">
    <w:abstractNumId w:val="6"/>
  </w:num>
  <w:num w:numId="7">
    <w:abstractNumId w:val="7"/>
  </w:num>
  <w:num w:numId="8">
    <w:abstractNumId w:val="20"/>
  </w:num>
  <w:num w:numId="9">
    <w:abstractNumId w:val="1"/>
  </w:num>
  <w:num w:numId="10">
    <w:abstractNumId w:val="17"/>
  </w:num>
  <w:num w:numId="11">
    <w:abstractNumId w:val="15"/>
  </w:num>
  <w:num w:numId="12">
    <w:abstractNumId w:val="13"/>
  </w:num>
  <w:num w:numId="13">
    <w:abstractNumId w:val="14"/>
  </w:num>
  <w:num w:numId="14">
    <w:abstractNumId w:val="4"/>
  </w:num>
  <w:num w:numId="15">
    <w:abstractNumId w:val="16"/>
  </w:num>
  <w:num w:numId="16">
    <w:abstractNumId w:val="3"/>
  </w:num>
  <w:num w:numId="17">
    <w:abstractNumId w:val="12"/>
  </w:num>
  <w:num w:numId="18">
    <w:abstractNumId w:val="5"/>
  </w:num>
  <w:num w:numId="19">
    <w:abstractNumId w:val="9"/>
  </w:num>
  <w:num w:numId="20">
    <w:abstractNumId w:val="19"/>
  </w:num>
  <w:num w:numId="21">
    <w:abstractNumId w:val="10"/>
  </w:num>
  <w:num w:numId="22">
    <w:abstractNumId w:val="18"/>
  </w:num>
  <w:num w:numId="23">
    <w:abstractNumId w:val="11"/>
  </w:num>
  <w:num w:numId="24">
    <w:abstractNumId w:val="22"/>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2FB"/>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6A09"/>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2FF9"/>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1C8C"/>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276B"/>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944"/>
    <w:rsid w:val="00D46A87"/>
    <w:rsid w:val="00D50E13"/>
    <w:rsid w:val="00D51C9F"/>
    <w:rsid w:val="00D51D75"/>
    <w:rsid w:val="00D53D37"/>
    <w:rsid w:val="00D577ED"/>
    <w:rsid w:val="00D57FEF"/>
    <w:rsid w:val="00D60195"/>
    <w:rsid w:val="00D61CFC"/>
    <w:rsid w:val="00D620F2"/>
    <w:rsid w:val="00D62C8C"/>
    <w:rsid w:val="00D62DC8"/>
    <w:rsid w:val="00D6434D"/>
    <w:rsid w:val="00D65BC5"/>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0501"/>
    <w:rsid w:val="00DB16C3"/>
    <w:rsid w:val="00DB2D70"/>
    <w:rsid w:val="00DB3C59"/>
    <w:rsid w:val="00DB4033"/>
    <w:rsid w:val="00DB6045"/>
    <w:rsid w:val="00DC0E7D"/>
    <w:rsid w:val="00DC243E"/>
    <w:rsid w:val="00DC40DC"/>
    <w:rsid w:val="00DC6677"/>
    <w:rsid w:val="00DC7BEF"/>
    <w:rsid w:val="00DD07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090"/>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2F83"/>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8B1D0B-2E17-497B-9B6E-4145032D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 w:type="paragraph" w:customStyle="1" w:styleId="Default">
    <w:name w:val="Default"/>
    <w:rsid w:val="00ED2F83"/>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74199043">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6155-1A5F-4FB6-A1E0-B5532B21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1141</Words>
  <Characters>6507</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9</cp:revision>
  <cp:lastPrinted>2021-11-17T09:02:00Z</cp:lastPrinted>
  <dcterms:created xsi:type="dcterms:W3CDTF">2024-12-02T14:42:00Z</dcterms:created>
  <dcterms:modified xsi:type="dcterms:W3CDTF">2024-12-04T12:52:00Z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