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8B2E8E" w:rsidP="006926A0">
            <w:pPr>
              <w:pStyle w:val="a3"/>
              <w:widowControl w:val="0"/>
              <w:rPr>
                <w:szCs w:val="17"/>
                <w:lang w:val="uk-UA"/>
              </w:rPr>
            </w:pPr>
            <w:r>
              <w:rPr>
                <w:noProof/>
                <w:lang w:val="ru-RU"/>
              </w:rPr>
              <w:drawing>
                <wp:inline distT="0" distB="0" distL="0" distR="0">
                  <wp:extent cx="1447165" cy="28765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765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8F7082" w:rsidTr="00C62708">
        <w:tc>
          <w:tcPr>
            <w:tcW w:w="487" w:type="pct"/>
            <w:shd w:val="clear" w:color="auto" w:fill="DEEAF6"/>
          </w:tcPr>
          <w:p w:rsidR="00A76484" w:rsidRPr="008F7082" w:rsidRDefault="00A76484" w:rsidP="002D4D30">
            <w:pPr>
              <w:widowControl w:val="0"/>
              <w:contextualSpacing/>
              <w:jc w:val="center"/>
              <w:rPr>
                <w:b/>
                <w:noProof/>
                <w:sz w:val="22"/>
                <w:szCs w:val="22"/>
                <w:lang w:val="uk-UA"/>
              </w:rPr>
            </w:pPr>
            <w:r w:rsidRPr="008F7082">
              <w:rPr>
                <w:b/>
                <w:noProof/>
                <w:sz w:val="22"/>
                <w:szCs w:val="22"/>
                <w:lang w:val="uk-UA"/>
              </w:rPr>
              <w:t>Пункт Кошторису</w:t>
            </w:r>
          </w:p>
        </w:tc>
        <w:tc>
          <w:tcPr>
            <w:tcW w:w="1527" w:type="pct"/>
            <w:shd w:val="clear" w:color="auto" w:fill="DEEAF6"/>
          </w:tcPr>
          <w:p w:rsidR="00A76484" w:rsidRPr="008F7082" w:rsidRDefault="00A76484" w:rsidP="002D4D30">
            <w:pPr>
              <w:widowControl w:val="0"/>
              <w:contextualSpacing/>
              <w:jc w:val="center"/>
              <w:rPr>
                <w:b/>
                <w:noProof/>
                <w:sz w:val="22"/>
                <w:szCs w:val="22"/>
                <w:lang w:val="uk-UA"/>
              </w:rPr>
            </w:pPr>
            <w:r w:rsidRPr="008F7082">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8F7082" w:rsidRDefault="00A76484" w:rsidP="00DB2D70">
            <w:pPr>
              <w:widowControl w:val="0"/>
              <w:contextualSpacing/>
              <w:jc w:val="center"/>
              <w:rPr>
                <w:b/>
                <w:noProof/>
                <w:sz w:val="22"/>
                <w:szCs w:val="22"/>
                <w:lang w:val="uk-UA"/>
              </w:rPr>
            </w:pPr>
            <w:r w:rsidRPr="008F7082">
              <w:rPr>
                <w:b/>
                <w:noProof/>
                <w:sz w:val="22"/>
                <w:szCs w:val="22"/>
                <w:lang w:val="uk-UA"/>
              </w:rPr>
              <w:t>Очікувана варт</w:t>
            </w:r>
            <w:r w:rsidR="00DB2D70" w:rsidRPr="008F7082">
              <w:rPr>
                <w:b/>
                <w:noProof/>
                <w:sz w:val="22"/>
                <w:szCs w:val="22"/>
                <w:lang w:val="uk-UA"/>
              </w:rPr>
              <w:t>ість предмета закупівлі згідно р</w:t>
            </w:r>
            <w:r w:rsidRPr="008F7082">
              <w:rPr>
                <w:b/>
                <w:noProof/>
                <w:sz w:val="22"/>
                <w:szCs w:val="22"/>
                <w:lang w:val="uk-UA"/>
              </w:rPr>
              <w:t>ічного плану закупівель</w:t>
            </w:r>
          </w:p>
        </w:tc>
        <w:tc>
          <w:tcPr>
            <w:tcW w:w="1102" w:type="pct"/>
            <w:shd w:val="clear" w:color="auto" w:fill="DEEAF6"/>
          </w:tcPr>
          <w:p w:rsidR="00A76484" w:rsidRPr="008F7082" w:rsidRDefault="00A76484" w:rsidP="002D4D30">
            <w:pPr>
              <w:widowControl w:val="0"/>
              <w:contextualSpacing/>
              <w:jc w:val="center"/>
              <w:rPr>
                <w:b/>
                <w:noProof/>
                <w:sz w:val="22"/>
                <w:szCs w:val="22"/>
                <w:lang w:val="uk-UA"/>
              </w:rPr>
            </w:pPr>
            <w:r w:rsidRPr="008F7082">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8F7082" w:rsidRDefault="00A355EA" w:rsidP="002D4D30">
            <w:pPr>
              <w:widowControl w:val="0"/>
              <w:contextualSpacing/>
              <w:jc w:val="center"/>
              <w:rPr>
                <w:b/>
                <w:noProof/>
                <w:sz w:val="22"/>
                <w:szCs w:val="22"/>
                <w:lang w:val="uk-UA"/>
              </w:rPr>
            </w:pPr>
            <w:r w:rsidRPr="008F7082">
              <w:rPr>
                <w:b/>
                <w:noProof/>
                <w:sz w:val="22"/>
                <w:szCs w:val="22"/>
                <w:lang w:val="uk-UA"/>
              </w:rPr>
              <w:t>Ідентифікатор процедури закупівлі</w:t>
            </w:r>
          </w:p>
        </w:tc>
      </w:tr>
      <w:tr w:rsidR="00A76484" w:rsidRPr="008F7082" w:rsidTr="00212515">
        <w:tc>
          <w:tcPr>
            <w:tcW w:w="487" w:type="pct"/>
          </w:tcPr>
          <w:p w:rsidR="004808BC" w:rsidRPr="008F7082" w:rsidRDefault="004072F7" w:rsidP="004808BC">
            <w:pPr>
              <w:widowControl w:val="0"/>
              <w:ind w:right="-11"/>
              <w:jc w:val="center"/>
              <w:rPr>
                <w:noProof/>
                <w:sz w:val="22"/>
                <w:szCs w:val="22"/>
                <w:lang w:val="uk-UA"/>
              </w:rPr>
            </w:pPr>
            <w:r w:rsidRPr="008F7082">
              <w:rPr>
                <w:noProof/>
                <w:sz w:val="22"/>
                <w:szCs w:val="22"/>
                <w:lang w:val="uk-UA"/>
              </w:rPr>
              <w:t>п.</w:t>
            </w:r>
            <w:r w:rsidR="00A76484" w:rsidRPr="008F7082">
              <w:rPr>
                <w:noProof/>
                <w:sz w:val="22"/>
                <w:szCs w:val="22"/>
                <w:lang w:val="uk-UA"/>
              </w:rPr>
              <w:t xml:space="preserve"> </w:t>
            </w:r>
            <w:r w:rsidR="00BD7598" w:rsidRPr="008F7082">
              <w:rPr>
                <w:noProof/>
                <w:sz w:val="22"/>
                <w:szCs w:val="22"/>
                <w:lang w:val="uk-UA"/>
              </w:rPr>
              <w:t>23.0</w:t>
            </w:r>
            <w:r w:rsidR="006A2970" w:rsidRPr="008F7082">
              <w:rPr>
                <w:noProof/>
                <w:sz w:val="22"/>
                <w:szCs w:val="22"/>
                <w:lang w:val="uk-UA"/>
              </w:rPr>
              <w:t>2</w:t>
            </w:r>
          </w:p>
          <w:p w:rsidR="00A76484" w:rsidRPr="008F7082" w:rsidRDefault="00BD6E95" w:rsidP="006A2970">
            <w:pPr>
              <w:widowControl w:val="0"/>
              <w:ind w:right="-11"/>
              <w:jc w:val="center"/>
              <w:rPr>
                <w:noProof/>
                <w:sz w:val="22"/>
                <w:szCs w:val="22"/>
                <w:lang w:val="uk-UA" w:eastAsia="uk-UA"/>
              </w:rPr>
            </w:pPr>
            <w:r w:rsidRPr="008F7082">
              <w:rPr>
                <w:noProof/>
                <w:sz w:val="22"/>
                <w:szCs w:val="22"/>
                <w:lang w:val="uk-UA" w:eastAsia="uk-UA"/>
              </w:rPr>
              <w:t>(202</w:t>
            </w:r>
            <w:r w:rsidR="006A2970" w:rsidRPr="008F7082">
              <w:rPr>
                <w:noProof/>
                <w:sz w:val="22"/>
                <w:szCs w:val="22"/>
                <w:lang w:val="uk-UA" w:eastAsia="uk-UA"/>
              </w:rPr>
              <w:t>4</w:t>
            </w:r>
            <w:r w:rsidR="00A76484" w:rsidRPr="008F7082">
              <w:rPr>
                <w:noProof/>
                <w:sz w:val="22"/>
                <w:szCs w:val="22"/>
                <w:lang w:val="uk-UA" w:eastAsia="uk-UA"/>
              </w:rPr>
              <w:t>)</w:t>
            </w:r>
          </w:p>
        </w:tc>
        <w:tc>
          <w:tcPr>
            <w:tcW w:w="1527" w:type="pct"/>
          </w:tcPr>
          <w:p w:rsidR="00A76484" w:rsidRPr="008F7082" w:rsidRDefault="00BD7598" w:rsidP="006A2970">
            <w:pPr>
              <w:widowControl w:val="0"/>
              <w:rPr>
                <w:bCs/>
                <w:noProof/>
                <w:sz w:val="22"/>
                <w:szCs w:val="22"/>
                <w:lang w:val="uk-UA"/>
              </w:rPr>
            </w:pPr>
            <w:r w:rsidRPr="008F7082">
              <w:rPr>
                <w:b/>
                <w:noProof/>
                <w:sz w:val="22"/>
                <w:szCs w:val="22"/>
                <w:lang w:val="uk-UA"/>
              </w:rPr>
              <w:t xml:space="preserve">Поштові послуги (послуги з пересилання </w:t>
            </w:r>
            <w:r w:rsidR="006A2970" w:rsidRPr="008F7082">
              <w:rPr>
                <w:b/>
                <w:noProof/>
                <w:sz w:val="22"/>
                <w:szCs w:val="22"/>
                <w:lang w:val="uk-UA"/>
              </w:rPr>
              <w:t>відправлень</w:t>
            </w:r>
            <w:r w:rsidRPr="008F7082">
              <w:rPr>
                <w:b/>
                <w:noProof/>
                <w:sz w:val="22"/>
                <w:szCs w:val="22"/>
                <w:lang w:val="uk-UA"/>
              </w:rPr>
              <w:t xml:space="preserve">), </w:t>
            </w:r>
            <w:r w:rsidRPr="008F7082">
              <w:rPr>
                <w:noProof/>
                <w:sz w:val="22"/>
                <w:szCs w:val="22"/>
                <w:lang w:val="uk-UA"/>
              </w:rPr>
              <w:t>код ДК 021:2015 - 64110000-0 - Поштові послуги</w:t>
            </w:r>
            <w:r w:rsidRPr="008F7082">
              <w:rPr>
                <w:b/>
                <w:noProof/>
                <w:sz w:val="22"/>
                <w:szCs w:val="22"/>
                <w:lang w:val="uk-UA"/>
              </w:rPr>
              <w:t xml:space="preserve"> </w:t>
            </w:r>
          </w:p>
        </w:tc>
        <w:tc>
          <w:tcPr>
            <w:tcW w:w="947" w:type="pct"/>
          </w:tcPr>
          <w:p w:rsidR="00A76484" w:rsidRPr="008F7082" w:rsidRDefault="006A2970" w:rsidP="002D4D30">
            <w:pPr>
              <w:widowControl w:val="0"/>
              <w:jc w:val="center"/>
              <w:rPr>
                <w:noProof/>
                <w:sz w:val="22"/>
                <w:szCs w:val="22"/>
                <w:lang w:val="uk-UA"/>
              </w:rPr>
            </w:pPr>
            <w:r w:rsidRPr="008F7082">
              <w:rPr>
                <w:noProof/>
                <w:sz w:val="22"/>
                <w:szCs w:val="22"/>
                <w:lang w:val="uk-UA"/>
              </w:rPr>
              <w:t>1</w:t>
            </w:r>
            <w:r w:rsidR="00BD7598" w:rsidRPr="008F7082">
              <w:rPr>
                <w:noProof/>
                <w:sz w:val="22"/>
                <w:szCs w:val="22"/>
                <w:lang w:val="uk-UA"/>
              </w:rPr>
              <w:t>00 000,00</w:t>
            </w:r>
            <w:r w:rsidR="00A76484" w:rsidRPr="008F7082">
              <w:rPr>
                <w:noProof/>
                <w:sz w:val="22"/>
                <w:szCs w:val="22"/>
                <w:lang w:val="uk-UA"/>
              </w:rPr>
              <w:t xml:space="preserve"> </w:t>
            </w:r>
          </w:p>
          <w:p w:rsidR="00A76484" w:rsidRPr="008F7082" w:rsidRDefault="00A76484" w:rsidP="002D4D30">
            <w:pPr>
              <w:widowControl w:val="0"/>
              <w:jc w:val="center"/>
              <w:rPr>
                <w:noProof/>
                <w:sz w:val="22"/>
                <w:szCs w:val="22"/>
                <w:lang w:val="uk-UA"/>
              </w:rPr>
            </w:pPr>
            <w:r w:rsidRPr="008F7082">
              <w:rPr>
                <w:noProof/>
                <w:sz w:val="22"/>
                <w:szCs w:val="22"/>
                <w:lang w:val="uk-UA"/>
              </w:rPr>
              <w:t>грн. з ПДВ</w:t>
            </w:r>
          </w:p>
        </w:tc>
        <w:tc>
          <w:tcPr>
            <w:tcW w:w="1102" w:type="pct"/>
          </w:tcPr>
          <w:p w:rsidR="00A76484" w:rsidRPr="008F7082" w:rsidRDefault="006A2970" w:rsidP="002D4D30">
            <w:pPr>
              <w:widowControl w:val="0"/>
              <w:jc w:val="center"/>
              <w:rPr>
                <w:noProof/>
                <w:sz w:val="22"/>
                <w:szCs w:val="22"/>
                <w:lang w:val="uk-UA"/>
              </w:rPr>
            </w:pPr>
            <w:r w:rsidRPr="008F7082">
              <w:rPr>
                <w:noProof/>
                <w:sz w:val="22"/>
                <w:szCs w:val="22"/>
                <w:lang w:val="uk-UA"/>
              </w:rPr>
              <w:t>83 333,33</w:t>
            </w:r>
          </w:p>
          <w:p w:rsidR="00A76484" w:rsidRPr="008F7082" w:rsidRDefault="00A76484" w:rsidP="002D4D30">
            <w:pPr>
              <w:widowControl w:val="0"/>
              <w:jc w:val="center"/>
              <w:rPr>
                <w:noProof/>
                <w:sz w:val="22"/>
                <w:szCs w:val="22"/>
                <w:lang w:val="uk-UA"/>
              </w:rPr>
            </w:pPr>
            <w:r w:rsidRPr="008F7082">
              <w:rPr>
                <w:noProof/>
                <w:sz w:val="22"/>
                <w:szCs w:val="22"/>
                <w:lang w:val="uk-UA"/>
              </w:rPr>
              <w:t xml:space="preserve">грн. без ПДВ </w:t>
            </w:r>
          </w:p>
        </w:tc>
        <w:tc>
          <w:tcPr>
            <w:tcW w:w="936" w:type="pct"/>
          </w:tcPr>
          <w:p w:rsidR="00A76484" w:rsidRPr="00160F0A" w:rsidRDefault="00881C0C" w:rsidP="002D4D30">
            <w:pPr>
              <w:widowControl w:val="0"/>
              <w:jc w:val="center"/>
              <w:rPr>
                <w:noProof/>
                <w:color w:val="0000FF"/>
                <w:sz w:val="22"/>
                <w:szCs w:val="22"/>
                <w:lang w:val="en-US"/>
              </w:rPr>
            </w:pPr>
            <w:r>
              <w:rPr>
                <w:rFonts w:ascii="Arial" w:hAnsi="Arial" w:cs="Arial"/>
                <w:color w:val="454545"/>
                <w:sz w:val="21"/>
                <w:szCs w:val="21"/>
                <w:shd w:val="clear" w:color="auto" w:fill="F0F5F2"/>
              </w:rPr>
              <w:t>UA-2025-01-07-005744-a </w:t>
            </w:r>
            <w:bookmarkStart w:id="0" w:name="_GoBack"/>
            <w:bookmarkEnd w:id="0"/>
          </w:p>
        </w:tc>
      </w:tr>
    </w:tbl>
    <w:p w:rsidR="00A12478" w:rsidRPr="008F7082" w:rsidRDefault="00A12478" w:rsidP="0063471D">
      <w:pPr>
        <w:pStyle w:val="a3"/>
        <w:widowControl w:val="0"/>
        <w:jc w:val="both"/>
        <w:rPr>
          <w:noProof/>
          <w:sz w:val="24"/>
          <w:szCs w:val="24"/>
          <w:lang w:val="uk-UA"/>
        </w:rPr>
      </w:pPr>
    </w:p>
    <w:p w:rsidR="00A355EA" w:rsidRPr="008F7082" w:rsidRDefault="00A355EA" w:rsidP="00C62708">
      <w:pPr>
        <w:widowControl w:val="0"/>
        <w:shd w:val="clear" w:color="auto" w:fill="DEEAF6"/>
        <w:jc w:val="center"/>
        <w:rPr>
          <w:noProof/>
          <w:lang w:val="uk-UA"/>
        </w:rPr>
      </w:pPr>
      <w:r w:rsidRPr="008F7082">
        <w:rPr>
          <w:b/>
          <w:noProof/>
          <w:lang w:val="uk-UA"/>
        </w:rPr>
        <w:t>Обґрунтування на виконання вимог Постанови КМУ від 11.10.2016 № 710:</w:t>
      </w:r>
    </w:p>
    <w:p w:rsidR="006F428D" w:rsidRPr="008F7082"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272A0B" w:rsidRPr="008F708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widowControl w:val="0"/>
              <w:jc w:val="both"/>
              <w:rPr>
                <w:noProof/>
                <w:lang w:val="uk-UA"/>
              </w:rPr>
            </w:pPr>
            <w:r w:rsidRPr="008F7082">
              <w:rPr>
                <w:noProof/>
                <w:lang w:val="uk-UA"/>
              </w:rPr>
              <w:t>Очікувана вартість предмета закупівлі (100 000,00 грн.) розрахована відповідно до цін, зазначених на сайті АТ «Укрпошта».</w:t>
            </w:r>
          </w:p>
        </w:tc>
      </w:tr>
      <w:tr w:rsidR="00272A0B" w:rsidRPr="008F708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rPr>
                <w:noProof/>
                <w:lang w:val="uk-UA"/>
              </w:rPr>
            </w:pPr>
            <w:r w:rsidRPr="008F708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272A0B" w:rsidRPr="008F7082" w:rsidRDefault="00272A0B" w:rsidP="00272A0B">
            <w:pPr>
              <w:widowControl w:val="0"/>
              <w:jc w:val="both"/>
              <w:rPr>
                <w:i/>
                <w:noProof/>
                <w:lang w:val="uk-UA"/>
              </w:rPr>
            </w:pPr>
            <w:r w:rsidRPr="008F7082">
              <w:rPr>
                <w:i/>
                <w:noProof/>
                <w:lang w:val="uk-UA"/>
              </w:rPr>
              <w:t xml:space="preserve">Послуга має відповідати ПРАВИЛАМ надання послуг поштового зв’язку, затверджених постановою КМУ від 5 березня 2009 р. № 270 </w:t>
            </w:r>
          </w:p>
          <w:p w:rsidR="00272A0B" w:rsidRPr="008F7082" w:rsidRDefault="00272A0B" w:rsidP="00272A0B">
            <w:pPr>
              <w:widowControl w:val="0"/>
              <w:jc w:val="both"/>
              <w:rPr>
                <w:noProof/>
                <w:lang w:val="uk-UA"/>
              </w:rPr>
            </w:pPr>
            <w:r w:rsidRPr="008F7082">
              <w:rPr>
                <w:i/>
                <w:noProof/>
                <w:lang w:val="uk-UA"/>
              </w:rPr>
              <w:t>Обґрунтування технічних та якісних характеристик предмета закупівлі:</w:t>
            </w:r>
            <w:r w:rsidRPr="008F708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rsidR="00272A0B" w:rsidRPr="008F7082" w:rsidRDefault="00272A0B" w:rsidP="00272A0B">
            <w:pPr>
              <w:widowControl w:val="0"/>
              <w:jc w:val="both"/>
              <w:rPr>
                <w:noProof/>
                <w:lang w:val="uk-UA"/>
              </w:rPr>
            </w:pPr>
            <w:r w:rsidRPr="008F7082">
              <w:rPr>
                <w:i/>
                <w:noProof/>
                <w:lang w:val="uk-UA"/>
              </w:rPr>
              <w:t>Визначення потреби в закупівлі:</w:t>
            </w:r>
            <w:r w:rsidRPr="008F7082">
              <w:rPr>
                <w:noProof/>
                <w:lang w:val="uk-UA"/>
              </w:rPr>
              <w:t xml:space="preserve"> На виконання вимог Інструкції з діловодства в ДП МА "Бориспіль" від 26.09.2018 №01-35-51 (зі змінами та доповненнями), введена в дію наказом генерального директора від 26.09.2018 №01-07.5-47 (відправка вихідних документів та інших поштових відправлень через поштове відділення здійснюється відділом документообігу та контролю за виконанням).</w:t>
            </w:r>
          </w:p>
          <w:p w:rsidR="00272A0B" w:rsidRPr="008F7082" w:rsidRDefault="00272A0B" w:rsidP="00272A0B">
            <w:pPr>
              <w:widowControl w:val="0"/>
              <w:jc w:val="both"/>
              <w:rPr>
                <w:i/>
                <w:noProof/>
                <w:lang w:val="uk-UA"/>
              </w:rPr>
            </w:pPr>
            <w:r w:rsidRPr="008F7082">
              <w:rPr>
                <w:i/>
                <w:noProof/>
                <w:lang w:val="uk-UA"/>
              </w:rPr>
              <w:t>Обґрунтування обсягів закупівлі:</w:t>
            </w:r>
            <w:r w:rsidRPr="008F7082">
              <w:rPr>
                <w:noProof/>
                <w:lang w:val="uk-UA"/>
              </w:rPr>
              <w:t xml:space="preserve"> Обсяги визначено відповідно до очікуваної потреби.</w:t>
            </w:r>
          </w:p>
        </w:tc>
      </w:tr>
    </w:tbl>
    <w:p w:rsidR="00AC6FF8" w:rsidRDefault="00AC6FF8" w:rsidP="006926A0">
      <w:pPr>
        <w:ind w:firstLine="567"/>
        <w:jc w:val="both"/>
        <w:rPr>
          <w:sz w:val="28"/>
          <w:szCs w:val="28"/>
          <w:lang w:val="uk-UA"/>
        </w:rPr>
      </w:pPr>
    </w:p>
    <w:p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BD6A74" w:rsidRPr="00B2516F" w:rsidRDefault="00BD6A74" w:rsidP="00BD6A74">
      <w:pPr>
        <w:widowControl w:val="0"/>
        <w:jc w:val="center"/>
        <w:rPr>
          <w:b/>
          <w:sz w:val="22"/>
          <w:szCs w:val="22"/>
          <w:lang w:val="uk-UA"/>
        </w:rPr>
      </w:pPr>
      <w:r w:rsidRPr="00B2516F">
        <w:rPr>
          <w:b/>
          <w:sz w:val="22"/>
          <w:szCs w:val="22"/>
          <w:lang w:val="uk-UA"/>
        </w:rPr>
        <w:lastRenderedPageBreak/>
        <w:t>РОЗДІЛ І:</w:t>
      </w:r>
    </w:p>
    <w:p w:rsidR="00BD6A74" w:rsidRPr="00397918" w:rsidRDefault="00BD6A74" w:rsidP="00BD6A74">
      <w:pPr>
        <w:widowControl w:val="0"/>
        <w:jc w:val="center"/>
        <w:rPr>
          <w:sz w:val="22"/>
          <w:szCs w:val="22"/>
          <w:lang w:val="uk-UA"/>
        </w:rPr>
      </w:pPr>
      <w:r w:rsidRPr="00B2516F">
        <w:rPr>
          <w:b/>
          <w:sz w:val="22"/>
          <w:szCs w:val="22"/>
          <w:lang w:val="uk-UA"/>
        </w:rPr>
        <w:t xml:space="preserve">1. </w:t>
      </w:r>
      <w:r w:rsidRPr="00397918">
        <w:rPr>
          <w:sz w:val="22"/>
          <w:szCs w:val="22"/>
          <w:lang w:val="uk-UA"/>
        </w:rPr>
        <w:t>Специфікація</w:t>
      </w:r>
    </w:p>
    <w:tbl>
      <w:tblPr>
        <w:tblW w:w="97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4"/>
      </w:tblGrid>
      <w:tr w:rsidR="00BD6A74" w:rsidRPr="00B2516F" w:rsidTr="00F8599A">
        <w:trPr>
          <w:trHeight w:val="267"/>
        </w:trPr>
        <w:tc>
          <w:tcPr>
            <w:tcW w:w="9724" w:type="dxa"/>
            <w:tcBorders>
              <w:top w:val="single" w:sz="4" w:space="0" w:color="auto"/>
              <w:left w:val="single" w:sz="4" w:space="0" w:color="auto"/>
              <w:right w:val="single" w:sz="4" w:space="0" w:color="auto"/>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Технічна специфікація</w:t>
            </w:r>
          </w:p>
          <w:tbl>
            <w:tblPr>
              <w:tblW w:w="9424" w:type="dxa"/>
              <w:tblLayout w:type="fixed"/>
              <w:tblCellMar>
                <w:top w:w="30" w:type="dxa"/>
                <w:left w:w="60" w:type="dxa"/>
                <w:bottom w:w="30" w:type="dxa"/>
                <w:right w:w="30" w:type="dxa"/>
              </w:tblCellMar>
              <w:tblLook w:val="0000" w:firstRow="0" w:lastRow="0" w:firstColumn="0" w:lastColumn="0" w:noHBand="0" w:noVBand="0"/>
            </w:tblPr>
            <w:tblGrid>
              <w:gridCol w:w="567"/>
              <w:gridCol w:w="1895"/>
              <w:gridCol w:w="992"/>
              <w:gridCol w:w="992"/>
              <w:gridCol w:w="4978"/>
            </w:tblGrid>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rPr>
                      <w:noProof/>
                      <w:sz w:val="22"/>
                      <w:szCs w:val="22"/>
                      <w:lang w:val="uk-UA"/>
                    </w:rPr>
                  </w:pPr>
                  <w:r w:rsidRPr="00BC3A1D">
                    <w:rPr>
                      <w:noProof/>
                      <w:sz w:val="22"/>
                      <w:szCs w:val="22"/>
                      <w:lang w:val="uk-UA"/>
                    </w:rPr>
                    <w:t>№ п/п</w:t>
                  </w:r>
                </w:p>
              </w:tc>
              <w:tc>
                <w:tcPr>
                  <w:tcW w:w="18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 xml:space="preserve">Найменування </w:t>
                  </w:r>
                </w:p>
                <w:p w:rsidR="00BD6A74" w:rsidRPr="00BC3A1D" w:rsidRDefault="00BD6A74" w:rsidP="00F8599A">
                  <w:pPr>
                    <w:widowControl w:val="0"/>
                    <w:jc w:val="center"/>
                    <w:rPr>
                      <w:noProof/>
                      <w:sz w:val="22"/>
                      <w:szCs w:val="22"/>
                      <w:lang w:val="uk-UA"/>
                    </w:rPr>
                  </w:pPr>
                  <w:r w:rsidRPr="00BC3A1D">
                    <w:rPr>
                      <w:noProof/>
                      <w:sz w:val="22"/>
                      <w:szCs w:val="22"/>
                      <w:lang w:val="uk-UA"/>
                    </w:rPr>
                    <w:t xml:space="preserve">послуги </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Од.</w:t>
                  </w:r>
                </w:p>
                <w:p w:rsidR="00BD6A74" w:rsidRPr="00BC3A1D" w:rsidRDefault="00BD6A74" w:rsidP="00F8599A">
                  <w:pPr>
                    <w:widowControl w:val="0"/>
                    <w:jc w:val="center"/>
                    <w:rPr>
                      <w:noProof/>
                      <w:sz w:val="22"/>
                      <w:szCs w:val="22"/>
                      <w:lang w:val="uk-UA"/>
                    </w:rPr>
                  </w:pPr>
                  <w:r w:rsidRPr="00BC3A1D">
                    <w:rPr>
                      <w:noProof/>
                      <w:sz w:val="22"/>
                      <w:szCs w:val="22"/>
                      <w:lang w:val="uk-UA"/>
                    </w:rPr>
                    <w:t>виміру</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Кількість</w:t>
                  </w:r>
                </w:p>
              </w:tc>
              <w:tc>
                <w:tcPr>
                  <w:tcW w:w="49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widowControl w:val="0"/>
                    <w:jc w:val="center"/>
                    <w:rPr>
                      <w:noProof/>
                      <w:sz w:val="22"/>
                      <w:szCs w:val="22"/>
                      <w:lang w:val="uk-UA"/>
                    </w:rPr>
                  </w:pPr>
                  <w:r w:rsidRPr="00BC3A1D">
                    <w:rPr>
                      <w:noProof/>
                      <w:sz w:val="22"/>
                      <w:szCs w:val="22"/>
                      <w:lang w:val="uk-UA"/>
                    </w:rPr>
                    <w:t>Технічні та якісні характеристики</w:t>
                  </w:r>
                </w:p>
                <w:p w:rsidR="00BD6A74" w:rsidRPr="00BC3A1D" w:rsidRDefault="00BD6A74" w:rsidP="00F8599A">
                  <w:pPr>
                    <w:widowControl w:val="0"/>
                    <w:jc w:val="center"/>
                    <w:rPr>
                      <w:noProof/>
                      <w:sz w:val="22"/>
                      <w:szCs w:val="22"/>
                      <w:lang w:val="uk-UA"/>
                    </w:rPr>
                  </w:pPr>
                  <w:r w:rsidRPr="00BC3A1D">
                    <w:rPr>
                      <w:noProof/>
                      <w:sz w:val="22"/>
                      <w:szCs w:val="22"/>
                      <w:lang w:val="uk-UA"/>
                    </w:rPr>
                    <w:t>(технічна специфікація)</w:t>
                  </w:r>
                </w:p>
              </w:tc>
            </w:tr>
            <w:tr w:rsidR="004829C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BC3A1D" w:rsidRDefault="004829C4" w:rsidP="004829C4">
                  <w:pPr>
                    <w:suppressAutoHyphens/>
                    <w:rPr>
                      <w:bCs/>
                      <w:noProof/>
                      <w:sz w:val="22"/>
                      <w:szCs w:val="22"/>
                      <w:lang w:val="uk-UA"/>
                    </w:rPr>
                  </w:pPr>
                  <w:r w:rsidRPr="00BC3A1D">
                    <w:rPr>
                      <w:noProof/>
                      <w:sz w:val="22"/>
                      <w:szCs w:val="22"/>
                      <w:lang w:val="uk-UA"/>
                    </w:rPr>
                    <w:t>1</w:t>
                  </w:r>
                </w:p>
              </w:tc>
              <w:tc>
                <w:tcPr>
                  <w:tcW w:w="18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340E9" w:rsidRDefault="004829C4" w:rsidP="004829C4">
                  <w:pPr>
                    <w:rPr>
                      <w:noProof/>
                      <w:sz w:val="22"/>
                      <w:szCs w:val="22"/>
                      <w:lang w:val="uk-UA"/>
                    </w:rPr>
                  </w:pPr>
                  <w:r w:rsidRPr="009340E9">
                    <w:rPr>
                      <w:noProof/>
                      <w:sz w:val="22"/>
                      <w:szCs w:val="22"/>
                      <w:lang w:val="uk-UA"/>
                    </w:rPr>
                    <w:t>Поштові послуги (послуги з пересилання відправлень)</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340E9" w:rsidRDefault="004829C4" w:rsidP="004829C4">
                  <w:pPr>
                    <w:suppressAutoHyphens/>
                    <w:jc w:val="both"/>
                    <w:rPr>
                      <w:noProof/>
                      <w:sz w:val="22"/>
                      <w:szCs w:val="22"/>
                      <w:lang w:val="uk-UA"/>
                    </w:rPr>
                  </w:pPr>
                  <w:r w:rsidRPr="009340E9">
                    <w:rPr>
                      <w:noProof/>
                      <w:sz w:val="22"/>
                      <w:szCs w:val="22"/>
                      <w:lang w:val="uk-UA"/>
                    </w:rPr>
                    <w:t>послуга</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340E9" w:rsidRDefault="004829C4" w:rsidP="004829C4">
                  <w:pPr>
                    <w:suppressAutoHyphens/>
                    <w:jc w:val="both"/>
                    <w:rPr>
                      <w:noProof/>
                      <w:sz w:val="22"/>
                      <w:szCs w:val="22"/>
                      <w:lang w:val="uk-UA"/>
                    </w:rPr>
                  </w:pPr>
                  <w:r w:rsidRPr="009340E9">
                    <w:rPr>
                      <w:noProof/>
                      <w:sz w:val="22"/>
                      <w:szCs w:val="22"/>
                      <w:lang w:val="uk-UA"/>
                    </w:rPr>
                    <w:t>1</w:t>
                  </w:r>
                </w:p>
              </w:tc>
              <w:tc>
                <w:tcPr>
                  <w:tcW w:w="49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4829C4" w:rsidRPr="009C3EFF" w:rsidRDefault="00915C00" w:rsidP="004829C4">
                  <w:pPr>
                    <w:suppressAutoHyphens/>
                    <w:jc w:val="both"/>
                    <w:rPr>
                      <w:rFonts w:ascii="Calibri" w:hAnsi="Calibri" w:cs="Calibri"/>
                      <w:noProof/>
                      <w:sz w:val="22"/>
                      <w:szCs w:val="22"/>
                      <w:highlight w:val="yellow"/>
                      <w:lang w:val="uk-UA"/>
                    </w:rPr>
                  </w:pPr>
                  <w:r w:rsidRPr="00C718B0">
                    <w:rPr>
                      <w:noProof/>
                      <w:sz w:val="22"/>
                      <w:szCs w:val="22"/>
                      <w:lang w:val="uk-UA"/>
                    </w:rPr>
                    <w:t>Послуга включає в себе сукупність прийнятих до пересилання Виконавцем відправлень: «(назва оператору поштового зв’язку) Стандарт», «(назва оператору поштового зв’язку) Експрес»,</w:t>
                  </w:r>
                  <w:r w:rsidRPr="00C718B0">
                    <w:rPr>
                      <w:b/>
                      <w:noProof/>
                      <w:sz w:val="22"/>
                      <w:szCs w:val="22"/>
                      <w:lang w:val="uk-UA"/>
                    </w:rPr>
                    <w:t xml:space="preserve"> </w:t>
                  </w:r>
                  <w:r w:rsidRPr="00C718B0">
                    <w:rPr>
                      <w:noProof/>
                      <w:sz w:val="22"/>
                      <w:szCs w:val="22"/>
                      <w:lang w:val="uk-UA"/>
                    </w:rPr>
                    <w:t>«(назва оператору поштового зв’язку) Документи» за Технічними характеристиками згідно Правил надання послуг поштового зв’язку, затверджені постановою КМУ від 05.03.2009 № 270</w:t>
                  </w:r>
                </w:p>
              </w:tc>
            </w:tr>
          </w:tbl>
          <w:p w:rsidR="00BD6A74" w:rsidRPr="00B2516F" w:rsidRDefault="00BD6A74" w:rsidP="00F8599A">
            <w:pPr>
              <w:widowControl w:val="0"/>
              <w:jc w:val="center"/>
              <w:rPr>
                <w:b/>
                <w:sz w:val="22"/>
                <w:szCs w:val="22"/>
                <w:lang w:val="uk-UA"/>
              </w:rPr>
            </w:pPr>
            <w:r w:rsidRPr="00B2516F">
              <w:rPr>
                <w:b/>
                <w:sz w:val="22"/>
                <w:szCs w:val="22"/>
                <w:lang w:val="uk-UA"/>
              </w:rPr>
              <w:t xml:space="preserve">РОЗДІЛ </w:t>
            </w:r>
            <w:r>
              <w:rPr>
                <w:b/>
                <w:sz w:val="22"/>
                <w:szCs w:val="22"/>
                <w:lang w:val="uk-UA"/>
              </w:rPr>
              <w:t>І</w:t>
            </w:r>
            <w:r w:rsidRPr="00B2516F">
              <w:rPr>
                <w:b/>
                <w:sz w:val="22"/>
                <w:szCs w:val="22"/>
                <w:lang w:val="uk-UA"/>
              </w:rPr>
              <w:t>І:</w:t>
            </w:r>
          </w:p>
          <w:tbl>
            <w:tblPr>
              <w:tblW w:w="9424" w:type="dxa"/>
              <w:tblLayout w:type="fixed"/>
              <w:tblCellMar>
                <w:top w:w="30" w:type="dxa"/>
                <w:left w:w="60" w:type="dxa"/>
                <w:bottom w:w="30" w:type="dxa"/>
                <w:right w:w="30" w:type="dxa"/>
              </w:tblCellMar>
              <w:tblLook w:val="0000" w:firstRow="0" w:lastRow="0" w:firstColumn="0" w:lastColumn="0" w:noHBand="0" w:noVBand="0"/>
            </w:tblPr>
            <w:tblGrid>
              <w:gridCol w:w="567"/>
              <w:gridCol w:w="3328"/>
              <w:gridCol w:w="5529"/>
            </w:tblGrid>
            <w:tr w:rsidR="00BD6A74" w:rsidRPr="00BC3A1D" w:rsidTr="00F8599A">
              <w:trPr>
                <w:trHeight w:val="109"/>
              </w:trPr>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BD6A74" w:rsidRPr="002B459B" w:rsidRDefault="00BD6A74" w:rsidP="00F8599A">
                  <w:pPr>
                    <w:suppressAutoHyphens/>
                    <w:jc w:val="center"/>
                    <w:rPr>
                      <w:bCs/>
                      <w:noProof/>
                      <w:sz w:val="22"/>
                      <w:szCs w:val="22"/>
                      <w:lang w:val="uk-UA"/>
                    </w:rPr>
                  </w:pPr>
                  <w:r w:rsidRPr="002B459B">
                    <w:rPr>
                      <w:noProof/>
                      <w:sz w:val="22"/>
                      <w:szCs w:val="22"/>
                      <w:lang w:val="uk-UA"/>
                    </w:rPr>
                    <w:t>N</w:t>
                  </w:r>
                </w:p>
              </w:tc>
              <w:tc>
                <w:tcPr>
                  <w:tcW w:w="885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BD6A74" w:rsidRPr="002B459B" w:rsidRDefault="00BD6A74" w:rsidP="00F8599A">
                  <w:pPr>
                    <w:suppressAutoHyphens/>
                    <w:rPr>
                      <w:noProof/>
                      <w:sz w:val="22"/>
                      <w:szCs w:val="22"/>
                      <w:lang w:val="uk-UA"/>
                    </w:rPr>
                  </w:pPr>
                  <w:r w:rsidRPr="002B459B">
                    <w:rPr>
                      <w:noProof/>
                      <w:sz w:val="22"/>
                      <w:szCs w:val="22"/>
                      <w:lang w:val="uk-UA"/>
                    </w:rPr>
                    <w:t>ВИМОГИ ДО ПРЕДМЕТА ЗАКУПІВЛІ:</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suppressAutoHyphens/>
                    <w:rPr>
                      <w:bCs/>
                      <w:noProof/>
                      <w:sz w:val="22"/>
                      <w:szCs w:val="22"/>
                      <w:lang w:val="uk-UA"/>
                    </w:rPr>
                  </w:pPr>
                  <w:r w:rsidRPr="002B459B">
                    <w:rPr>
                      <w:noProof/>
                      <w:sz w:val="22"/>
                      <w:szCs w:val="22"/>
                      <w:lang w:val="uk-UA"/>
                    </w:rPr>
                    <w:t>1</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Документ, якому відповідає предмет закупівлі</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Правил надання послуг поштового зв’язку, затверджені постановою КМУ від 05.03.2009 № 270.</w:t>
                  </w:r>
                </w:p>
                <w:p w:rsidR="00BD6A74" w:rsidRPr="002B459B" w:rsidRDefault="00BD6A74" w:rsidP="00F8599A">
                  <w:pPr>
                    <w:widowControl w:val="0"/>
                    <w:rPr>
                      <w:noProof/>
                      <w:sz w:val="22"/>
                      <w:szCs w:val="22"/>
                      <w:lang w:val="uk-UA"/>
                    </w:rPr>
                  </w:pPr>
                  <w:r w:rsidRPr="002B459B">
                    <w:rPr>
                      <w:noProof/>
                      <w:sz w:val="22"/>
                      <w:szCs w:val="22"/>
                      <w:lang w:val="uk-UA"/>
                    </w:rPr>
                    <w:t>Нормативні строки пересилання Поштових відправлень, затверджені наказом Міністерства інфраструктури від 28.11.2013 № 958 «Про затвердження Нормативів і нормативних строків пересилання поштових відправлень», зареєстрованим в Міністерстві юстиції 28.01.2014 р. за № 173/24950</w:t>
                  </w:r>
                </w:p>
              </w:tc>
            </w:tr>
            <w:tr w:rsidR="00BD6A74" w:rsidRPr="00BC3A1D" w:rsidTr="00F8599A">
              <w:tc>
                <w:tcPr>
                  <w:tcW w:w="567" w:type="dxa"/>
                  <w:tcBorders>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suppressAutoHyphens/>
                    <w:rPr>
                      <w:noProof/>
                      <w:sz w:val="22"/>
                      <w:szCs w:val="22"/>
                      <w:lang w:val="uk-UA"/>
                    </w:rPr>
                  </w:pPr>
                  <w:r w:rsidRPr="002B459B">
                    <w:rPr>
                      <w:noProof/>
                      <w:sz w:val="22"/>
                      <w:szCs w:val="22"/>
                      <w:lang w:val="uk-UA"/>
                    </w:rPr>
                    <w:t>2</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bCs/>
                      <w:noProof/>
                      <w:color w:val="000000"/>
                      <w:sz w:val="22"/>
                      <w:szCs w:val="22"/>
                      <w:lang w:val="uk-UA"/>
                    </w:rPr>
                  </w:pPr>
                  <w:r w:rsidRPr="002B459B">
                    <w:rPr>
                      <w:bCs/>
                      <w:noProof/>
                      <w:color w:val="000000"/>
                      <w:sz w:val="22"/>
                      <w:szCs w:val="22"/>
                      <w:lang w:val="uk-UA"/>
                    </w:rPr>
                    <w:t xml:space="preserve">Строк надання послуг </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jc w:val="both"/>
                    <w:rPr>
                      <w:noProof/>
                      <w:sz w:val="22"/>
                      <w:szCs w:val="22"/>
                      <w:lang w:val="uk-UA"/>
                    </w:rPr>
                  </w:pPr>
                  <w:r w:rsidRPr="002B459B">
                    <w:rPr>
                      <w:noProof/>
                      <w:sz w:val="22"/>
                      <w:szCs w:val="22"/>
                      <w:lang w:val="uk-UA"/>
                    </w:rPr>
                    <w:t>До 6 календарних днів</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suppressAutoHyphens/>
                    <w:rPr>
                      <w:noProof/>
                      <w:sz w:val="22"/>
                      <w:szCs w:val="22"/>
                      <w:lang w:val="uk-UA"/>
                    </w:rPr>
                  </w:pPr>
                  <w:r w:rsidRPr="002B459B">
                    <w:rPr>
                      <w:noProof/>
                      <w:sz w:val="22"/>
                      <w:szCs w:val="22"/>
                      <w:lang w:val="uk-UA"/>
                    </w:rPr>
                    <w:t>3</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bCs/>
                      <w:noProof/>
                      <w:color w:val="000000"/>
                      <w:sz w:val="22"/>
                      <w:szCs w:val="22"/>
                      <w:lang w:val="uk-UA"/>
                    </w:rPr>
                    <w:t>Кінцева дата виконання зобов’язань з надання послуг</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jc w:val="both"/>
                    <w:rPr>
                      <w:noProof/>
                      <w:sz w:val="22"/>
                      <w:szCs w:val="22"/>
                      <w:lang w:val="uk-UA"/>
                    </w:rPr>
                  </w:pPr>
                  <w:r w:rsidRPr="002B459B">
                    <w:rPr>
                      <w:noProof/>
                      <w:sz w:val="22"/>
                      <w:szCs w:val="22"/>
                      <w:lang w:val="uk-UA"/>
                    </w:rPr>
                    <w:t>31.12.2026</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suppressAutoHyphens/>
                    <w:rPr>
                      <w:noProof/>
                      <w:sz w:val="22"/>
                      <w:szCs w:val="22"/>
                      <w:lang w:val="uk-UA"/>
                    </w:rPr>
                  </w:pPr>
                  <w:r w:rsidRPr="00BC3A1D">
                    <w:rPr>
                      <w:noProof/>
                      <w:sz w:val="22"/>
                      <w:szCs w:val="22"/>
                      <w:lang w:val="uk-UA"/>
                    </w:rPr>
                    <w:t>4</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Місце, де повинні надані послуги</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sz w:val="22"/>
                      <w:szCs w:val="22"/>
                      <w:lang w:val="uk-UA"/>
                    </w:rPr>
                    <w:t>у об’єкті(ах) поштового зв’язку Виконавця, перелік яких розміщено на Сайті Виконавця</w:t>
                  </w:r>
                </w:p>
              </w:tc>
            </w:tr>
            <w:tr w:rsidR="00BD6A74" w:rsidRPr="00BC3A1D" w:rsidTr="00F8599A">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BC3A1D" w:rsidRDefault="00BD6A74" w:rsidP="00F8599A">
                  <w:pPr>
                    <w:suppressAutoHyphens/>
                    <w:rPr>
                      <w:noProof/>
                      <w:sz w:val="22"/>
                      <w:szCs w:val="22"/>
                      <w:lang w:val="uk-UA"/>
                    </w:rPr>
                  </w:pPr>
                  <w:r>
                    <w:rPr>
                      <w:noProof/>
                      <w:sz w:val="22"/>
                      <w:szCs w:val="22"/>
                      <w:lang w:val="uk-UA"/>
                    </w:rPr>
                    <w:t>5</w:t>
                  </w:r>
                </w:p>
              </w:tc>
              <w:tc>
                <w:tcPr>
                  <w:tcW w:w="332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color w:val="000000"/>
                      <w:sz w:val="22"/>
                      <w:szCs w:val="22"/>
                      <w:lang w:val="uk-UA"/>
                    </w:rPr>
                    <w:t>Мета надання Послуг</w:t>
                  </w:r>
                </w:p>
              </w:tc>
              <w:tc>
                <w:tcPr>
                  <w:tcW w:w="55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D6A74" w:rsidRPr="002B459B" w:rsidRDefault="00BD6A74" w:rsidP="00F8599A">
                  <w:pPr>
                    <w:widowControl w:val="0"/>
                    <w:rPr>
                      <w:noProof/>
                      <w:sz w:val="22"/>
                      <w:szCs w:val="22"/>
                      <w:lang w:val="uk-UA"/>
                    </w:rPr>
                  </w:pPr>
                  <w:r w:rsidRPr="002B459B">
                    <w:rPr>
                      <w:noProof/>
                      <w:lang w:val="uk-UA"/>
                    </w:rPr>
                    <w:t>Забезпечення відправки письмової кореспонденції (документів)</w:t>
                  </w:r>
                </w:p>
              </w:tc>
            </w:tr>
          </w:tbl>
          <w:p w:rsidR="00BD6A74" w:rsidRPr="00397918" w:rsidRDefault="00BD6A74" w:rsidP="00F8599A">
            <w:pPr>
              <w:widowControl w:val="0"/>
              <w:jc w:val="center"/>
              <w:rPr>
                <w:i/>
                <w:sz w:val="22"/>
                <w:szCs w:val="22"/>
                <w:highlight w:val="yellow"/>
                <w:lang w:val="uk-UA"/>
              </w:rPr>
            </w:pPr>
          </w:p>
        </w:tc>
      </w:tr>
    </w:tbl>
    <w:p w:rsidR="006F428D" w:rsidRPr="007101A5" w:rsidRDefault="006F428D" w:rsidP="00A12478">
      <w:pPr>
        <w:rPr>
          <w:b/>
          <w:lang w:val="uk-UA"/>
        </w:rPr>
      </w:pPr>
    </w:p>
    <w:sectPr w:rsidR="006F428D"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20" w:rsidRDefault="00620F20">
      <w:r>
        <w:separator/>
      </w:r>
    </w:p>
  </w:endnote>
  <w:endnote w:type="continuationSeparator" w:id="0">
    <w:p w:rsidR="00620F20" w:rsidRDefault="0062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B2E8E"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BAE3C"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BD7598">
      <w:rPr>
        <w:sz w:val="20"/>
        <w:szCs w:val="20"/>
        <w:lang w:val="uk-UA"/>
      </w:rPr>
      <w:t xml:space="preserve">Поштові послуги (послуги з пересилання внутрішньої письмової кореспонденції), код ДК 021:2015 - 64110000-0 - Поштові послуги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881C0C">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881C0C">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20" w:rsidRDefault="00620F20">
      <w:r>
        <w:separator/>
      </w:r>
    </w:p>
  </w:footnote>
  <w:footnote w:type="continuationSeparator" w:id="0">
    <w:p w:rsidR="00620F20" w:rsidRDefault="00620F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B2E8E"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C864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165" cy="287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765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0F0A"/>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2A0B"/>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0D96"/>
    <w:rsid w:val="00462D5F"/>
    <w:rsid w:val="00463435"/>
    <w:rsid w:val="00465D2F"/>
    <w:rsid w:val="00467668"/>
    <w:rsid w:val="00467E13"/>
    <w:rsid w:val="004742B5"/>
    <w:rsid w:val="00480177"/>
    <w:rsid w:val="004808BC"/>
    <w:rsid w:val="004829C4"/>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6E7"/>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0F20"/>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2970"/>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C7B89"/>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659F3"/>
    <w:rsid w:val="008701D8"/>
    <w:rsid w:val="00870572"/>
    <w:rsid w:val="00870ECF"/>
    <w:rsid w:val="0087220C"/>
    <w:rsid w:val="00876405"/>
    <w:rsid w:val="00877D16"/>
    <w:rsid w:val="00880849"/>
    <w:rsid w:val="00880EFD"/>
    <w:rsid w:val="00881C0C"/>
    <w:rsid w:val="00884B2D"/>
    <w:rsid w:val="008954D3"/>
    <w:rsid w:val="008972E7"/>
    <w:rsid w:val="0089757B"/>
    <w:rsid w:val="0089783C"/>
    <w:rsid w:val="008A2CDA"/>
    <w:rsid w:val="008A3180"/>
    <w:rsid w:val="008B2E8E"/>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8F7082"/>
    <w:rsid w:val="00901F94"/>
    <w:rsid w:val="009029F3"/>
    <w:rsid w:val="0091159A"/>
    <w:rsid w:val="00912A60"/>
    <w:rsid w:val="009133A6"/>
    <w:rsid w:val="00915C00"/>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C6FF8"/>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077CB"/>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74"/>
    <w:rsid w:val="00BD6E95"/>
    <w:rsid w:val="00BD7598"/>
    <w:rsid w:val="00BE49E0"/>
    <w:rsid w:val="00BE62EE"/>
    <w:rsid w:val="00BE7534"/>
    <w:rsid w:val="00BF04B4"/>
    <w:rsid w:val="00BF0AB0"/>
    <w:rsid w:val="00BF1C5F"/>
    <w:rsid w:val="00BF4024"/>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4D2"/>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0F0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1F147E-4757-4F3B-8467-197AED8A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3A38-1950-4C24-A77E-308256C9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545</Words>
  <Characters>3112</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15</cp:revision>
  <cp:lastPrinted>2021-11-17T09:02:00Z</cp:lastPrinted>
  <dcterms:created xsi:type="dcterms:W3CDTF">2024-12-09T12:09:00Z</dcterms:created>
  <dcterms:modified xsi:type="dcterms:W3CDTF">2025-01-07T14:09:00Z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