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734"/>
      </w:tblGrid>
      <w:tr w:rsidR="00825A6B" w:rsidRPr="00CD4174" w14:paraId="31E4BA22" w14:textId="77777777" w:rsidTr="00162C42">
        <w:tc>
          <w:tcPr>
            <w:tcW w:w="4683" w:type="dxa"/>
          </w:tcPr>
          <w:p w14:paraId="5BCDD7DF" w14:textId="77777777" w:rsidR="00825A6B" w:rsidRPr="00CD4174" w:rsidRDefault="00363567" w:rsidP="006926A0">
            <w:pPr>
              <w:pStyle w:val="a3"/>
              <w:widowControl w:val="0"/>
              <w:rPr>
                <w:sz w:val="24"/>
                <w:szCs w:val="24"/>
                <w:lang w:val="uk-UA"/>
              </w:rPr>
            </w:pPr>
            <w:r>
              <w:rPr>
                <w:noProof/>
                <w:sz w:val="24"/>
                <w:szCs w:val="24"/>
                <w:lang w:val="uk-UA"/>
              </w:rPr>
              <w:pict w14:anchorId="4BDAB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tc>
        <w:tc>
          <w:tcPr>
            <w:tcW w:w="10734" w:type="dxa"/>
          </w:tcPr>
          <w:p w14:paraId="02DF6147" w14:textId="77777777" w:rsidR="006926A0" w:rsidRPr="00CD4174" w:rsidRDefault="006926A0" w:rsidP="006926A0">
            <w:pPr>
              <w:widowControl w:val="0"/>
              <w:autoSpaceDE w:val="0"/>
              <w:autoSpaceDN w:val="0"/>
              <w:adjustRightInd w:val="0"/>
              <w:rPr>
                <w:rFonts w:ascii="Times New Roman CYR" w:hAnsi="Times New Roman CYR"/>
                <w:b/>
                <w:lang w:val="uk-UA"/>
              </w:rPr>
            </w:pPr>
            <w:r w:rsidRPr="00CD4174">
              <w:rPr>
                <w:rFonts w:ascii="Times New Roman CYR" w:hAnsi="Times New Roman CYR"/>
                <w:b/>
                <w:lang w:val="uk-UA"/>
              </w:rPr>
              <w:t>ДЕРЖАВНЕ ПІДПРИЄМСТВО</w:t>
            </w:r>
          </w:p>
          <w:p w14:paraId="4EA39D69" w14:textId="77777777" w:rsidR="00DD71E4" w:rsidRPr="00CD4174" w:rsidRDefault="006926A0" w:rsidP="006926A0">
            <w:pPr>
              <w:widowControl w:val="0"/>
              <w:autoSpaceDE w:val="0"/>
              <w:autoSpaceDN w:val="0"/>
              <w:adjustRightInd w:val="0"/>
              <w:rPr>
                <w:lang w:val="uk-UA"/>
              </w:rPr>
            </w:pPr>
            <w:r w:rsidRPr="00CD4174">
              <w:rPr>
                <w:rFonts w:ascii="Times New Roman CYR" w:hAnsi="Times New Roman CYR"/>
                <w:b/>
                <w:lang w:val="uk-UA"/>
              </w:rPr>
              <w:t>«</w:t>
            </w:r>
            <w:r w:rsidRPr="00CD4174">
              <w:rPr>
                <w:b/>
                <w:lang w:val="uk-UA"/>
              </w:rPr>
              <w:t>МІЖНАРОДНИЙ АЕРОПОРТ «БОРИСПІЛЬ»</w:t>
            </w:r>
            <w:r w:rsidRPr="00CD4174">
              <w:rPr>
                <w:lang w:val="uk-UA"/>
              </w:rPr>
              <w:t xml:space="preserve"> </w:t>
            </w:r>
          </w:p>
          <w:p w14:paraId="75DA9CF6" w14:textId="77777777" w:rsidR="006926A0" w:rsidRPr="00CD4174" w:rsidRDefault="006926A0" w:rsidP="006926A0">
            <w:pPr>
              <w:widowControl w:val="0"/>
              <w:autoSpaceDE w:val="0"/>
              <w:autoSpaceDN w:val="0"/>
              <w:adjustRightInd w:val="0"/>
              <w:rPr>
                <w:lang w:val="uk-UA"/>
              </w:rPr>
            </w:pPr>
            <w:r w:rsidRPr="00CD4174">
              <w:rPr>
                <w:lang w:val="uk-UA"/>
              </w:rPr>
              <w:t xml:space="preserve">08300, Україна, Київська обл., Бориспільський район, село Гора, вулиця Бориспіль -7, код 20572069, </w:t>
            </w:r>
          </w:p>
          <w:p w14:paraId="5EC475B6" w14:textId="77777777" w:rsidR="00825A6B" w:rsidRPr="00CD4174" w:rsidRDefault="006926A0" w:rsidP="006926A0">
            <w:pPr>
              <w:pStyle w:val="4"/>
              <w:keepNext w:val="0"/>
              <w:widowControl w:val="0"/>
              <w:ind w:left="0"/>
              <w:jc w:val="left"/>
              <w:rPr>
                <w:szCs w:val="24"/>
              </w:rPr>
            </w:pPr>
            <w:r w:rsidRPr="00CD4174">
              <w:rPr>
                <w:b w:val="0"/>
                <w:color w:val="000000"/>
                <w:szCs w:val="24"/>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CD4174">
              <w:rPr>
                <w:color w:val="000000"/>
                <w:szCs w:val="24"/>
              </w:rPr>
              <w:t>»</w:t>
            </w:r>
          </w:p>
        </w:tc>
      </w:tr>
      <w:tr w:rsidR="001021AF" w:rsidRPr="00CD4174" w14:paraId="677C0C83" w14:textId="77777777" w:rsidTr="00162C42">
        <w:tc>
          <w:tcPr>
            <w:tcW w:w="15417" w:type="dxa"/>
            <w:gridSpan w:val="2"/>
          </w:tcPr>
          <w:p w14:paraId="2EC57D39" w14:textId="77777777" w:rsidR="003C4B6B" w:rsidRPr="00CD4174" w:rsidRDefault="003C4B6B" w:rsidP="007D7B6F">
            <w:pPr>
              <w:pStyle w:val="1"/>
              <w:keepNext w:val="0"/>
              <w:widowControl w:val="0"/>
            </w:pPr>
          </w:p>
          <w:p w14:paraId="6961C97F" w14:textId="77777777" w:rsidR="001021AF" w:rsidRPr="00CD4174" w:rsidRDefault="007D7B6F" w:rsidP="007D7B6F">
            <w:pPr>
              <w:pStyle w:val="1"/>
              <w:keepNext w:val="0"/>
              <w:widowControl w:val="0"/>
            </w:pPr>
            <w:r w:rsidRPr="00CD4174">
              <w:t>Обґрунтування технічних та якісних характеристик предмета закупівлі та очікуваної вартості предмета закупівлі</w:t>
            </w:r>
          </w:p>
        </w:tc>
      </w:tr>
    </w:tbl>
    <w:p w14:paraId="1CF8F5B4" w14:textId="77777777" w:rsidR="009F35DC" w:rsidRPr="00CD4174" w:rsidRDefault="003C4B6B" w:rsidP="00F502C1">
      <w:pPr>
        <w:pStyle w:val="a3"/>
        <w:widowControl w:val="0"/>
        <w:jc w:val="both"/>
        <w:rPr>
          <w:sz w:val="24"/>
          <w:szCs w:val="24"/>
          <w:lang w:val="uk-UA"/>
        </w:rPr>
      </w:pPr>
      <w:r w:rsidRPr="00CD4174">
        <w:rPr>
          <w:sz w:val="24"/>
          <w:szCs w:val="24"/>
          <w:lang w:val="uk-UA"/>
        </w:rPr>
        <w:t xml:space="preserve">Підстава: </w:t>
      </w:r>
      <w:r w:rsidR="007D7B6F" w:rsidRPr="00CD4174">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92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19"/>
        <w:gridCol w:w="5144"/>
        <w:gridCol w:w="2651"/>
        <w:gridCol w:w="3437"/>
        <w:gridCol w:w="2914"/>
      </w:tblGrid>
      <w:tr w:rsidR="00A76484" w:rsidRPr="00CD4174" w14:paraId="000EB065" w14:textId="77777777" w:rsidTr="00CD4174">
        <w:tc>
          <w:tcPr>
            <w:tcW w:w="485" w:type="pct"/>
            <w:shd w:val="clear" w:color="auto" w:fill="DEEAF6"/>
          </w:tcPr>
          <w:p w14:paraId="15F6B463" w14:textId="77777777" w:rsidR="00A76484" w:rsidRPr="00CD4174" w:rsidRDefault="00A76484" w:rsidP="002D4D30">
            <w:pPr>
              <w:widowControl w:val="0"/>
              <w:contextualSpacing/>
              <w:jc w:val="center"/>
              <w:rPr>
                <w:b/>
                <w:lang w:val="uk-UA"/>
              </w:rPr>
            </w:pPr>
            <w:r w:rsidRPr="00CD4174">
              <w:rPr>
                <w:b/>
                <w:lang w:val="uk-UA"/>
              </w:rPr>
              <w:t>Пункт Кошторису</w:t>
            </w:r>
          </w:p>
        </w:tc>
        <w:tc>
          <w:tcPr>
            <w:tcW w:w="1642" w:type="pct"/>
            <w:shd w:val="clear" w:color="auto" w:fill="DEEAF6"/>
          </w:tcPr>
          <w:p w14:paraId="34730412" w14:textId="77777777" w:rsidR="00A76484" w:rsidRPr="00CD4174" w:rsidRDefault="00A76484" w:rsidP="002D4D30">
            <w:pPr>
              <w:widowControl w:val="0"/>
              <w:contextualSpacing/>
              <w:jc w:val="center"/>
              <w:rPr>
                <w:b/>
                <w:lang w:val="uk-UA"/>
              </w:rPr>
            </w:pPr>
            <w:r w:rsidRPr="00CD4174">
              <w:rPr>
                <w:b/>
                <w:lang w:val="uk-UA"/>
              </w:rPr>
              <w:t>Назва предмета закупівлі із зазначенням коду за Єдиним закупівельним словником</w:t>
            </w:r>
          </w:p>
        </w:tc>
        <w:tc>
          <w:tcPr>
            <w:tcW w:w="846" w:type="pct"/>
            <w:shd w:val="clear" w:color="auto" w:fill="DEEAF6"/>
          </w:tcPr>
          <w:p w14:paraId="3B6FF2AB" w14:textId="77777777" w:rsidR="00A76484" w:rsidRPr="00CD4174" w:rsidRDefault="00A76484" w:rsidP="00DB2D70">
            <w:pPr>
              <w:widowControl w:val="0"/>
              <w:contextualSpacing/>
              <w:jc w:val="center"/>
              <w:rPr>
                <w:b/>
                <w:lang w:val="uk-UA"/>
              </w:rPr>
            </w:pPr>
            <w:r w:rsidRPr="00CD4174">
              <w:rPr>
                <w:b/>
                <w:lang w:val="uk-UA"/>
              </w:rPr>
              <w:t>Очікувана варт</w:t>
            </w:r>
            <w:r w:rsidR="00DB2D70" w:rsidRPr="00CD4174">
              <w:rPr>
                <w:b/>
                <w:lang w:val="uk-UA"/>
              </w:rPr>
              <w:t>ість предмета закупівлі згідно р</w:t>
            </w:r>
            <w:r w:rsidRPr="00CD4174">
              <w:rPr>
                <w:b/>
                <w:lang w:val="uk-UA"/>
              </w:rPr>
              <w:t>ічного плану закупівель</w:t>
            </w:r>
          </w:p>
        </w:tc>
        <w:tc>
          <w:tcPr>
            <w:tcW w:w="1097" w:type="pct"/>
            <w:shd w:val="clear" w:color="auto" w:fill="DEEAF6"/>
          </w:tcPr>
          <w:p w14:paraId="50BD5293" w14:textId="77777777" w:rsidR="00A76484" w:rsidRPr="00CD4174" w:rsidRDefault="00A76484" w:rsidP="002D4D30">
            <w:pPr>
              <w:widowControl w:val="0"/>
              <w:contextualSpacing/>
              <w:jc w:val="center"/>
              <w:rPr>
                <w:b/>
                <w:lang w:val="uk-UA"/>
              </w:rPr>
            </w:pPr>
            <w:r w:rsidRPr="00CD4174">
              <w:rPr>
                <w:b/>
                <w:lang w:val="uk-UA"/>
              </w:rPr>
              <w:t>Очікувана вартість предмета закупівлі згідно ОГОЛОШЕННЯ про проведення відкритих торгів</w:t>
            </w:r>
          </w:p>
        </w:tc>
        <w:tc>
          <w:tcPr>
            <w:tcW w:w="931" w:type="pct"/>
            <w:shd w:val="clear" w:color="auto" w:fill="DEEAF6"/>
          </w:tcPr>
          <w:p w14:paraId="0A15C40C" w14:textId="77777777" w:rsidR="00A76484" w:rsidRPr="00CD4174" w:rsidRDefault="00A355EA" w:rsidP="002D4D30">
            <w:pPr>
              <w:widowControl w:val="0"/>
              <w:contextualSpacing/>
              <w:jc w:val="center"/>
              <w:rPr>
                <w:b/>
                <w:lang w:val="uk-UA"/>
              </w:rPr>
            </w:pPr>
            <w:r w:rsidRPr="00CD4174">
              <w:rPr>
                <w:b/>
                <w:lang w:val="uk-UA"/>
              </w:rPr>
              <w:t>Ідентифікатор процедури закупівлі</w:t>
            </w:r>
          </w:p>
        </w:tc>
      </w:tr>
      <w:tr w:rsidR="00A76484" w:rsidRPr="00CD4174" w14:paraId="69BB047C" w14:textId="77777777" w:rsidTr="00CD4174">
        <w:tc>
          <w:tcPr>
            <w:tcW w:w="485" w:type="pct"/>
          </w:tcPr>
          <w:p w14:paraId="4E91B05D" w14:textId="77777777" w:rsidR="00A76484" w:rsidRPr="00CD4174" w:rsidRDefault="004072F7" w:rsidP="00DC054F">
            <w:pPr>
              <w:widowControl w:val="0"/>
              <w:ind w:right="-11"/>
              <w:jc w:val="center"/>
              <w:rPr>
                <w:lang w:val="uk-UA" w:eastAsia="uk-UA"/>
              </w:rPr>
            </w:pPr>
            <w:r w:rsidRPr="00CD4174">
              <w:rPr>
                <w:lang w:val="uk-UA"/>
              </w:rPr>
              <w:t>п.</w:t>
            </w:r>
            <w:r w:rsidR="00A76484" w:rsidRPr="00CD4174">
              <w:rPr>
                <w:lang w:val="uk-UA"/>
              </w:rPr>
              <w:t xml:space="preserve"> </w:t>
            </w:r>
            <w:r w:rsidR="0083798D" w:rsidRPr="00CD4174">
              <w:rPr>
                <w:lang w:val="uk-UA"/>
              </w:rPr>
              <w:t xml:space="preserve">38.01 </w:t>
            </w:r>
            <w:r w:rsidR="00BD6E95" w:rsidRPr="00CD4174">
              <w:rPr>
                <w:lang w:val="uk-UA" w:eastAsia="uk-UA"/>
              </w:rPr>
              <w:t>(202</w:t>
            </w:r>
            <w:r w:rsidR="00DC054F" w:rsidRPr="00CD4174">
              <w:rPr>
                <w:lang w:val="uk-UA" w:eastAsia="uk-UA"/>
              </w:rPr>
              <w:t>5</w:t>
            </w:r>
            <w:r w:rsidR="00A76484" w:rsidRPr="00CD4174">
              <w:rPr>
                <w:lang w:val="uk-UA" w:eastAsia="uk-UA"/>
              </w:rPr>
              <w:t>)</w:t>
            </w:r>
          </w:p>
        </w:tc>
        <w:tc>
          <w:tcPr>
            <w:tcW w:w="1642" w:type="pct"/>
          </w:tcPr>
          <w:p w14:paraId="4627B6EE" w14:textId="77777777" w:rsidR="00A76484" w:rsidRPr="00CD4174" w:rsidRDefault="0083798D" w:rsidP="00A12478">
            <w:pPr>
              <w:widowControl w:val="0"/>
              <w:rPr>
                <w:bCs/>
                <w:lang w:val="uk-UA"/>
              </w:rPr>
            </w:pPr>
            <w:r w:rsidRPr="00CD4174">
              <w:rPr>
                <w:b/>
                <w:lang w:val="uk-UA"/>
              </w:rPr>
              <w:t xml:space="preserve">Послуги з аудиту фінансової звітності ДП МА «Бориспіль», складеної у відповідності до МСФЗ, </w:t>
            </w:r>
            <w:r w:rsidRPr="00CD4174">
              <w:rPr>
                <w:lang w:val="uk-UA"/>
              </w:rPr>
              <w:t>код ДК 021:2015 - 79210000-9 - Бухгалтерські та аудиторські послуги</w:t>
            </w:r>
            <w:r w:rsidRPr="00CD4174">
              <w:rPr>
                <w:b/>
                <w:lang w:val="uk-UA"/>
              </w:rPr>
              <w:t xml:space="preserve"> </w:t>
            </w:r>
          </w:p>
        </w:tc>
        <w:tc>
          <w:tcPr>
            <w:tcW w:w="846" w:type="pct"/>
          </w:tcPr>
          <w:p w14:paraId="7CA19316" w14:textId="77777777" w:rsidR="00A76484" w:rsidRPr="00CD4174" w:rsidRDefault="0083798D" w:rsidP="002D4D30">
            <w:pPr>
              <w:widowControl w:val="0"/>
              <w:jc w:val="center"/>
              <w:rPr>
                <w:lang w:val="uk-UA"/>
              </w:rPr>
            </w:pPr>
            <w:r w:rsidRPr="00CD4174">
              <w:rPr>
                <w:lang w:val="uk-UA"/>
              </w:rPr>
              <w:t>1 200 000,00</w:t>
            </w:r>
            <w:r w:rsidR="00A76484" w:rsidRPr="00CD4174">
              <w:rPr>
                <w:lang w:val="uk-UA"/>
              </w:rPr>
              <w:t xml:space="preserve"> </w:t>
            </w:r>
          </w:p>
          <w:p w14:paraId="5D94AFE5" w14:textId="77777777" w:rsidR="00A76484" w:rsidRPr="00CD4174" w:rsidRDefault="00A76484" w:rsidP="002D4D30">
            <w:pPr>
              <w:widowControl w:val="0"/>
              <w:jc w:val="center"/>
              <w:rPr>
                <w:lang w:val="uk-UA"/>
              </w:rPr>
            </w:pPr>
            <w:r w:rsidRPr="00CD4174">
              <w:rPr>
                <w:lang w:val="uk-UA"/>
              </w:rPr>
              <w:t>грн. з ПДВ</w:t>
            </w:r>
          </w:p>
        </w:tc>
        <w:tc>
          <w:tcPr>
            <w:tcW w:w="1097" w:type="pct"/>
          </w:tcPr>
          <w:p w14:paraId="2C2CDC9A" w14:textId="77777777" w:rsidR="00A76484" w:rsidRPr="00CD4174" w:rsidRDefault="0083798D" w:rsidP="002D4D30">
            <w:pPr>
              <w:widowControl w:val="0"/>
              <w:jc w:val="center"/>
              <w:rPr>
                <w:lang w:val="uk-UA"/>
              </w:rPr>
            </w:pPr>
            <w:r w:rsidRPr="00CD4174">
              <w:rPr>
                <w:lang w:val="uk-UA"/>
              </w:rPr>
              <w:t>1 </w:t>
            </w:r>
            <w:r w:rsidR="00DC054F" w:rsidRPr="00CD4174">
              <w:rPr>
                <w:lang w:val="uk-UA"/>
              </w:rPr>
              <w:t>0</w:t>
            </w:r>
            <w:r w:rsidRPr="00CD4174">
              <w:rPr>
                <w:lang w:val="uk-UA"/>
              </w:rPr>
              <w:t>00 000,00</w:t>
            </w:r>
          </w:p>
          <w:p w14:paraId="5017D5D0" w14:textId="77777777" w:rsidR="00A76484" w:rsidRPr="00CD4174" w:rsidRDefault="00A76484" w:rsidP="002D4D30">
            <w:pPr>
              <w:widowControl w:val="0"/>
              <w:jc w:val="center"/>
              <w:rPr>
                <w:lang w:val="uk-UA"/>
              </w:rPr>
            </w:pPr>
            <w:r w:rsidRPr="00CD4174">
              <w:rPr>
                <w:lang w:val="uk-UA"/>
              </w:rPr>
              <w:t xml:space="preserve">грн. без ПДВ </w:t>
            </w:r>
          </w:p>
        </w:tc>
        <w:tc>
          <w:tcPr>
            <w:tcW w:w="931" w:type="pct"/>
          </w:tcPr>
          <w:p w14:paraId="3D726C8C" w14:textId="18F4B5CF" w:rsidR="00A76484" w:rsidRPr="00CD4174" w:rsidRDefault="00363567" w:rsidP="002D4D30">
            <w:pPr>
              <w:widowControl w:val="0"/>
              <w:jc w:val="center"/>
              <w:rPr>
                <w:color w:val="0000FF"/>
                <w:lang w:val="uk-UA"/>
              </w:rPr>
            </w:pPr>
            <w:r w:rsidRPr="00363567">
              <w:rPr>
                <w:b/>
                <w:lang w:val="uk-UA"/>
              </w:rPr>
              <w:t>UA-2025-02-04-009492-a</w:t>
            </w:r>
          </w:p>
        </w:tc>
      </w:tr>
    </w:tbl>
    <w:p w14:paraId="46A7E9C7" w14:textId="77777777" w:rsidR="00A12478" w:rsidRPr="00CD4174" w:rsidRDefault="00A12478" w:rsidP="0063471D">
      <w:pPr>
        <w:pStyle w:val="a3"/>
        <w:widowControl w:val="0"/>
        <w:jc w:val="both"/>
        <w:rPr>
          <w:sz w:val="24"/>
          <w:szCs w:val="24"/>
          <w:lang w:val="uk-UA"/>
        </w:rPr>
      </w:pPr>
    </w:p>
    <w:p w14:paraId="32C0643D" w14:textId="77777777" w:rsidR="006F428D" w:rsidRPr="00CD4174" w:rsidRDefault="00A355EA" w:rsidP="00F502C1">
      <w:pPr>
        <w:widowControl w:val="0"/>
        <w:shd w:val="clear" w:color="auto" w:fill="DEEAF6"/>
        <w:jc w:val="center"/>
        <w:rPr>
          <w:b/>
          <w:lang w:val="uk-UA"/>
        </w:rPr>
      </w:pPr>
      <w:r w:rsidRPr="00CD4174">
        <w:rPr>
          <w:b/>
          <w:lang w:val="uk-UA"/>
        </w:rPr>
        <w:t>Обґрунтування на виконання вимог Постанови КМУ від 11.10.2016 № 710:</w:t>
      </w:r>
    </w:p>
    <w:tbl>
      <w:tblPr>
        <w:tblW w:w="15593"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474"/>
      </w:tblGrid>
      <w:tr w:rsidR="00631599" w:rsidRPr="00CD4174" w14:paraId="3ADBFC07" w14:textId="77777777" w:rsidTr="0063159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D2560C" w14:textId="77777777" w:rsidR="00631599" w:rsidRPr="00CD4174" w:rsidRDefault="00631599" w:rsidP="00107266">
            <w:pPr>
              <w:rPr>
                <w:lang w:val="uk-UA"/>
              </w:rPr>
            </w:pPr>
            <w:r w:rsidRPr="00CD4174">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3BD4B0" w14:textId="77777777" w:rsidR="00631599" w:rsidRPr="00CD4174" w:rsidRDefault="00631599" w:rsidP="00107266">
            <w:pPr>
              <w:rPr>
                <w:lang w:val="uk-UA"/>
              </w:rPr>
            </w:pPr>
            <w:r w:rsidRPr="00CD4174">
              <w:rPr>
                <w:lang w:val="uk-UA"/>
              </w:rPr>
              <w:t>Обґрунтування очікуваної вартості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35B44F8" w14:textId="77777777" w:rsidR="00631599" w:rsidRPr="00631599" w:rsidRDefault="00631599" w:rsidP="002C102C">
            <w:pPr>
              <w:widowControl w:val="0"/>
              <w:jc w:val="both"/>
              <w:rPr>
                <w:lang w:val="uk-UA"/>
              </w:rPr>
            </w:pPr>
            <w:r w:rsidRPr="00631599">
              <w:rPr>
                <w:lang w:val="uk-UA"/>
              </w:rPr>
              <w:t>На вимогу Законів України «Про аудит фінансової звітності та аудиторську діяльність», «Про бухгалтерський облік та фінансову звітність в Україні», необхідно провести Аудит фінансової звітності ДП МА «Бориспіль» за 2024 рік, складеної відповідно до Міжнародних стандартів фінансової звітності. Аудит проміжної фінансової звітності (І етап) та аудиту річної фінансової звітності (ІІ етап) проводиться відповідно до Міжнародних стандартів аудиту.</w:t>
            </w:r>
          </w:p>
          <w:p w14:paraId="6F71C08C" w14:textId="77777777" w:rsidR="00631599" w:rsidRPr="00C72FAB" w:rsidRDefault="00631599" w:rsidP="002C102C">
            <w:pPr>
              <w:pStyle w:val="af4"/>
              <w:spacing w:before="0" w:beforeAutospacing="0" w:after="0" w:afterAutospacing="0"/>
              <w:jc w:val="both"/>
              <w:rPr>
                <w:lang w:eastAsia="ru-RU"/>
              </w:rPr>
            </w:pPr>
            <w:r w:rsidRPr="00C72FAB">
              <w:rPr>
                <w:lang w:eastAsia="ru-RU"/>
              </w:rPr>
              <w:t>ДК 021:2015 79210000-9 Бухгалтерські та аудиторські послуги.</w:t>
            </w:r>
          </w:p>
          <w:p w14:paraId="79F4AE9F" w14:textId="77777777" w:rsidR="00631599" w:rsidRPr="00275C45" w:rsidRDefault="00631599" w:rsidP="00D6730B">
            <w:pPr>
              <w:pStyle w:val="af4"/>
              <w:spacing w:before="0" w:beforeAutospacing="0" w:after="0" w:afterAutospacing="0"/>
              <w:jc w:val="both"/>
              <w:rPr>
                <w:noProof/>
                <w:lang w:eastAsia="ru-RU"/>
              </w:rPr>
            </w:pPr>
            <w:r w:rsidRPr="00C72FAB">
              <w:rPr>
                <w:lang w:eastAsia="ru-RU"/>
              </w:rPr>
              <w:t xml:space="preserve">Очікувана вартість закупівлі визначена відповідно до положень Закону України «Про публічні закупівлі» методом порівняння ринкових цін та згідно з </w:t>
            </w:r>
            <w:r w:rsidRPr="00631599">
              <w:rPr>
                <w:lang w:eastAsia="ru-RU"/>
              </w:rPr>
              <w:t>Положенням ДП МА «Бориспіль» "Про порядок визначення очікуваної вартості предмета закупівлі" від 17.05.2023 № 50-06-1</w:t>
            </w:r>
            <w:r w:rsidRPr="00C72FAB">
              <w:rPr>
                <w:lang w:eastAsia="ru-RU"/>
              </w:rPr>
              <w:t>.</w:t>
            </w:r>
            <w:r w:rsidR="00D6730B">
              <w:rPr>
                <w:lang w:eastAsia="ru-RU"/>
              </w:rPr>
              <w:t xml:space="preserve"> </w:t>
            </w:r>
            <w:r w:rsidRPr="00275C45">
              <w:rPr>
                <w:noProof/>
                <w:color w:val="000000"/>
              </w:rPr>
              <w:t>При цьому очікувана вартість закупівлі визначена згідно з кошторисом № 50.1-04-1 від 07.01.2025 та на підставі закупівель минулих періодів (Догов</w:t>
            </w:r>
            <w:r w:rsidR="00275C45" w:rsidRPr="00275C45">
              <w:rPr>
                <w:noProof/>
                <w:color w:val="000000"/>
              </w:rPr>
              <w:t>о</w:t>
            </w:r>
            <w:r w:rsidRPr="00275C45">
              <w:rPr>
                <w:noProof/>
                <w:color w:val="000000"/>
              </w:rPr>
              <w:t>ри № 35.1-14/8.3-00054 від 04.02.2022, № 35.1-14/8.4-00053 від  26.05.2023, № 35.1-14.3/8.3-3 від 15.03.2024).</w:t>
            </w:r>
          </w:p>
        </w:tc>
      </w:tr>
      <w:tr w:rsidR="00631599" w:rsidRPr="00CD4174" w14:paraId="1B5BED0D" w14:textId="77777777" w:rsidTr="0063159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607289" w14:textId="77777777" w:rsidR="00631599" w:rsidRPr="00CD4174" w:rsidRDefault="00631599" w:rsidP="00107266">
            <w:pPr>
              <w:rPr>
                <w:lang w:val="uk-UA"/>
              </w:rPr>
            </w:pPr>
            <w:r w:rsidRPr="00CD4174">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16AB04" w14:textId="77777777" w:rsidR="00631599" w:rsidRPr="00CD4174" w:rsidRDefault="00631599" w:rsidP="00107266">
            <w:pPr>
              <w:rPr>
                <w:lang w:val="uk-UA"/>
              </w:rPr>
            </w:pPr>
            <w:r w:rsidRPr="00CD4174">
              <w:rPr>
                <w:lang w:val="uk-UA"/>
              </w:rPr>
              <w:t>Обґрунтування технічних та якісних характеристик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AB899A"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Правові засади аудиту фінансової звітності, провадження аудиторської діяльності в Україні визначає Закон України «Про аудит фінансової звітності та аудиторську діяльність» (далі - Закон), який регулює відносини, що виникають при провадженні аудиторської діяльності, та дія якого поширюється на аудиторів, суб'єктів господарювання незалежно від форми власності та виду діяльності, органи державної влади та органи місцевого самоврядування.</w:t>
            </w:r>
          </w:p>
          <w:p w14:paraId="4ACAA7EB"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Особливості проведення обов'язкового аудиту та аудиту підприємств, що становлять суспільний інтерес, визначено розділом VI Закону.</w:t>
            </w:r>
            <w:r w:rsidR="00D6730B">
              <w:rPr>
                <w:lang w:eastAsia="ru-RU"/>
              </w:rPr>
              <w:t xml:space="preserve"> </w:t>
            </w:r>
            <w:r w:rsidRPr="00C72FAB">
              <w:rPr>
                <w:lang w:eastAsia="ru-RU"/>
              </w:rPr>
              <w:t>Зокрема, статтею 23 Закону встановлено вимоги до внутрішньої організації суб'єктів аудиторської діяльності, які мають право проводити обов'язковий аудит фінансової звітності.</w:t>
            </w:r>
          </w:p>
          <w:p w14:paraId="5B98CD71"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Відповідно до частини першої статті 29 Закону призначеним для надання послуг з обов'язкового аудиту фінансової звітності може бути суб'єкт аудиторської діяльності, який відповідає вимогам, встановленим цим Законом, та включений до відповідного розділу Реєстру.</w:t>
            </w:r>
          </w:p>
          <w:p w14:paraId="100E578C"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lastRenderedPageBreak/>
              <w:t>Враховуючи вимоги статті 34 Закону, та відповідно до частин третьої, четвертої та шостої статті 29 Закону на підприємствах, що становлять суспільний інтерес, проводиться конкурс з відбору суб'єктів аудиторської діяльності, які можуть бути призначені для надання послуг з обов'язкового аудиту фінансової звітності цього підприємства.</w:t>
            </w:r>
          </w:p>
          <w:p w14:paraId="11415421"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Крім того, з метою забезпечення ефективного здійснення закупівель, Законом України «Про публічні закупівлі» встановлено право замовника включити у тендерну документацію кваліфікаційні критерії до учасників відповідно до законодавства, які він визнає необхідними.</w:t>
            </w:r>
          </w:p>
          <w:p w14:paraId="1245274B"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ДП МА «Бориспіль» розробило критерії відбору суб'єктів аудиторської діяльності для надання послуг з обов'язкового аудиту фінансової звітності за 2024 рік. Вказані вимоги містять критерії, які відповідають законодавству та враховують особливості діяльності Підприємства, масштаби проведення аудиту, рівень відповідальності суб’єкта аудиторської діяльності тощо.</w:t>
            </w:r>
          </w:p>
          <w:p w14:paraId="02012FA8" w14:textId="77777777" w:rsidR="00631599" w:rsidRPr="00C72FAB" w:rsidRDefault="00631599" w:rsidP="005D75A9">
            <w:pPr>
              <w:pStyle w:val="af4"/>
              <w:shd w:val="clear" w:color="auto" w:fill="FFFFFF"/>
              <w:spacing w:before="0" w:beforeAutospacing="0" w:after="0" w:afterAutospacing="0"/>
              <w:jc w:val="both"/>
              <w:rPr>
                <w:lang w:eastAsia="ru-RU"/>
              </w:rPr>
            </w:pPr>
            <w:r w:rsidRPr="00C72FAB">
              <w:rPr>
                <w:lang w:eastAsia="ru-RU"/>
              </w:rPr>
              <w:t>Підприємство, що становить суспільний інтерес, зобов’язане вести бухгалтерський облік, складати та подавати фінансову звітність, відповідно до МСФЗ.</w:t>
            </w:r>
          </w:p>
          <w:p w14:paraId="028DF77B" w14:textId="77777777" w:rsidR="00631599" w:rsidRPr="00631599" w:rsidRDefault="00631599" w:rsidP="005D75A9">
            <w:pPr>
              <w:pStyle w:val="af4"/>
              <w:shd w:val="clear" w:color="auto" w:fill="FFFFFF"/>
              <w:spacing w:before="0" w:beforeAutospacing="0" w:after="0" w:afterAutospacing="0"/>
              <w:jc w:val="both"/>
              <w:rPr>
                <w:lang w:eastAsia="ru-RU"/>
              </w:rPr>
            </w:pPr>
            <w:r w:rsidRPr="00C72FAB">
              <w:rPr>
                <w:lang w:eastAsia="ru-RU"/>
              </w:rPr>
              <w:t>Згідно з вимогами пункту 3 статті 14 Закону України від 16.07.1999 №996-XІV «Про бухгалтерський облік та фінансову звітність в Україні», ДП МА «Бориспіль» зобов’язане не пізніше ніж до 01 червня року, що настає за звітним періодом, оприлюднювати річну фінансову звітність разом з аудиторським висновком на своїй веб-сторінці.</w:t>
            </w:r>
          </w:p>
        </w:tc>
      </w:tr>
      <w:tr w:rsidR="00631599" w:rsidRPr="00CD4174" w14:paraId="72C3EBC7" w14:textId="77777777" w:rsidTr="0063159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0A1BB26" w14:textId="77777777" w:rsidR="00631599" w:rsidRPr="00CD4174" w:rsidRDefault="00631599" w:rsidP="00107266">
            <w:pPr>
              <w:rPr>
                <w:bCs/>
                <w:lang w:val="uk-UA"/>
              </w:rPr>
            </w:pPr>
            <w:r w:rsidRPr="00CD4174">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795722D" w14:textId="77777777" w:rsidR="00631599" w:rsidRPr="00CD4174" w:rsidRDefault="00631599" w:rsidP="00107266">
            <w:pPr>
              <w:rPr>
                <w:lang w:val="uk-UA"/>
              </w:rPr>
            </w:pPr>
            <w:r w:rsidRPr="00CD4174">
              <w:rPr>
                <w:lang w:val="uk-UA"/>
              </w:rPr>
              <w:t>Інша інформація</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tcPr>
          <w:p w14:paraId="4B4A0C3A" w14:textId="77777777" w:rsidR="00631599" w:rsidRPr="00C72FAB" w:rsidRDefault="00631599" w:rsidP="00107266">
            <w:pPr>
              <w:widowControl w:val="0"/>
              <w:jc w:val="both"/>
              <w:rPr>
                <w:noProof/>
              </w:rPr>
            </w:pPr>
            <w:r w:rsidRPr="00C72FAB">
              <w:rPr>
                <w:noProof/>
              </w:rPr>
              <w:t xml:space="preserve">Аудиторський звіт – документ, </w:t>
            </w:r>
            <w:r w:rsidRPr="00C72FAB">
              <w:rPr>
                <w:noProof/>
                <w:u w:val="single"/>
              </w:rPr>
              <w:t>підготовлений суб’єктом аудиторської діяльності</w:t>
            </w:r>
            <w:r w:rsidRPr="00C72FAB">
              <w:rPr>
                <w:noProof/>
              </w:rPr>
              <w:t xml:space="preserve"> за результатами аудиту фінансової звітності відповідно до міжнародних стандартів аудиту та вимог Закону України від 21.12.2017 року № 2258-VIII (зі змінами та доповненнями) «Про аудит фінансової звітності та аудиторську діяльність» - послуги можливо виконати тільки визначеним Законом 2258-VIII спеціалістам</w:t>
            </w:r>
          </w:p>
        </w:tc>
      </w:tr>
    </w:tbl>
    <w:p w14:paraId="613921E9" w14:textId="77777777" w:rsidR="006926A0" w:rsidRPr="00CD4174" w:rsidRDefault="006926A0" w:rsidP="006926A0">
      <w:pPr>
        <w:ind w:firstLine="567"/>
        <w:jc w:val="both"/>
        <w:rPr>
          <w:lang w:val="uk-UA"/>
        </w:rPr>
      </w:pPr>
      <w:r w:rsidRPr="00CD417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67D6C1C8" w14:textId="77777777" w:rsidR="00CD4174" w:rsidRPr="00CD4174" w:rsidRDefault="00CD4174" w:rsidP="00CD4174">
      <w:pPr>
        <w:widowControl w:val="0"/>
        <w:jc w:val="center"/>
        <w:rPr>
          <w:b/>
          <w:lang w:val="uk-UA"/>
        </w:rPr>
      </w:pPr>
      <w:r w:rsidRPr="00CD4174">
        <w:rPr>
          <w:b/>
          <w:lang w:val="uk-UA"/>
        </w:rPr>
        <w:t>Технічна специфікація</w:t>
      </w:r>
    </w:p>
    <w:tbl>
      <w:tblPr>
        <w:tblW w:w="159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825"/>
        <w:gridCol w:w="1276"/>
        <w:gridCol w:w="851"/>
        <w:gridCol w:w="10205"/>
      </w:tblGrid>
      <w:tr w:rsidR="00CD4174" w:rsidRPr="00CD4174" w14:paraId="58CB4E08" w14:textId="77777777" w:rsidTr="00D6730B">
        <w:trPr>
          <w:trHeight w:val="512"/>
        </w:trPr>
        <w:tc>
          <w:tcPr>
            <w:tcW w:w="757" w:type="dxa"/>
            <w:tcBorders>
              <w:top w:val="single" w:sz="4" w:space="0" w:color="auto"/>
              <w:left w:val="single" w:sz="4" w:space="0" w:color="auto"/>
              <w:right w:val="single" w:sz="4" w:space="0" w:color="auto"/>
            </w:tcBorders>
            <w:shd w:val="clear" w:color="auto" w:fill="D9E2F3"/>
          </w:tcPr>
          <w:p w14:paraId="34D50334" w14:textId="77777777" w:rsidR="00CD4174" w:rsidRPr="00CD4174" w:rsidRDefault="00CD4174" w:rsidP="00B1214D">
            <w:pPr>
              <w:widowControl w:val="0"/>
              <w:rPr>
                <w:noProof/>
                <w:lang w:val="uk-UA"/>
              </w:rPr>
            </w:pPr>
            <w:r w:rsidRPr="00CD4174">
              <w:rPr>
                <w:noProof/>
                <w:lang w:val="uk-UA"/>
              </w:rPr>
              <w:t>№ п/п</w:t>
            </w:r>
          </w:p>
        </w:tc>
        <w:tc>
          <w:tcPr>
            <w:tcW w:w="2825" w:type="dxa"/>
            <w:tcBorders>
              <w:top w:val="single" w:sz="4" w:space="0" w:color="auto"/>
              <w:left w:val="single" w:sz="4" w:space="0" w:color="auto"/>
              <w:right w:val="single" w:sz="4" w:space="0" w:color="auto"/>
            </w:tcBorders>
            <w:shd w:val="clear" w:color="auto" w:fill="D9E2F3"/>
          </w:tcPr>
          <w:p w14:paraId="6AE8AACB" w14:textId="77777777" w:rsidR="00CD4174" w:rsidRPr="00CD4174" w:rsidRDefault="00CD4174" w:rsidP="00B1214D">
            <w:pPr>
              <w:widowControl w:val="0"/>
              <w:jc w:val="center"/>
              <w:rPr>
                <w:bCs/>
                <w:noProof/>
                <w:snapToGrid w:val="0"/>
                <w:lang w:val="uk-UA"/>
              </w:rPr>
            </w:pPr>
            <w:r w:rsidRPr="00CD4174">
              <w:rPr>
                <w:noProof/>
                <w:lang w:val="uk-UA"/>
              </w:rPr>
              <w:t>Найменування Послуги</w:t>
            </w:r>
          </w:p>
        </w:tc>
        <w:tc>
          <w:tcPr>
            <w:tcW w:w="1276" w:type="dxa"/>
            <w:tcBorders>
              <w:top w:val="single" w:sz="4" w:space="0" w:color="auto"/>
              <w:left w:val="single" w:sz="4" w:space="0" w:color="auto"/>
              <w:right w:val="single" w:sz="4" w:space="0" w:color="auto"/>
            </w:tcBorders>
            <w:shd w:val="clear" w:color="auto" w:fill="D9E2F3"/>
          </w:tcPr>
          <w:p w14:paraId="7AED23D4" w14:textId="77777777" w:rsidR="00CD4174" w:rsidRPr="00CD4174" w:rsidRDefault="00CD4174" w:rsidP="00B1214D">
            <w:pPr>
              <w:widowControl w:val="0"/>
              <w:jc w:val="center"/>
              <w:rPr>
                <w:noProof/>
                <w:lang w:val="uk-UA"/>
              </w:rPr>
            </w:pPr>
            <w:r w:rsidRPr="00CD4174">
              <w:rPr>
                <w:noProof/>
                <w:lang w:val="uk-UA"/>
              </w:rPr>
              <w:t>Одиниця</w:t>
            </w:r>
          </w:p>
          <w:p w14:paraId="76848668" w14:textId="77777777" w:rsidR="00CD4174" w:rsidRPr="00CD4174" w:rsidRDefault="00CD4174" w:rsidP="00B1214D">
            <w:pPr>
              <w:widowControl w:val="0"/>
              <w:jc w:val="center"/>
              <w:rPr>
                <w:noProof/>
                <w:lang w:val="uk-UA"/>
              </w:rPr>
            </w:pPr>
            <w:r w:rsidRPr="00CD4174">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55253080" w14:textId="77777777" w:rsidR="00CD4174" w:rsidRPr="00CD4174" w:rsidRDefault="00CD4174" w:rsidP="00B1214D">
            <w:pPr>
              <w:widowControl w:val="0"/>
              <w:jc w:val="center"/>
              <w:rPr>
                <w:noProof/>
                <w:lang w:val="uk-UA"/>
              </w:rPr>
            </w:pPr>
            <w:r w:rsidRPr="00CD4174">
              <w:rPr>
                <w:noProof/>
                <w:lang w:val="uk-UA"/>
              </w:rPr>
              <w:t>Кількість</w:t>
            </w:r>
          </w:p>
        </w:tc>
        <w:tc>
          <w:tcPr>
            <w:tcW w:w="10205" w:type="dxa"/>
            <w:tcBorders>
              <w:top w:val="single" w:sz="4" w:space="0" w:color="auto"/>
              <w:left w:val="single" w:sz="4" w:space="0" w:color="auto"/>
              <w:right w:val="single" w:sz="4" w:space="0" w:color="auto"/>
            </w:tcBorders>
            <w:shd w:val="clear" w:color="auto" w:fill="D9E2F3"/>
          </w:tcPr>
          <w:p w14:paraId="0EC28DEC" w14:textId="77777777" w:rsidR="00CD4174" w:rsidRPr="00CD4174" w:rsidRDefault="00CD4174" w:rsidP="00B1214D">
            <w:pPr>
              <w:widowControl w:val="0"/>
              <w:jc w:val="center"/>
              <w:rPr>
                <w:i/>
                <w:noProof/>
                <w:lang w:val="uk-UA"/>
              </w:rPr>
            </w:pPr>
            <w:r w:rsidRPr="00CD4174">
              <w:rPr>
                <w:noProof/>
                <w:lang w:val="uk-UA"/>
              </w:rPr>
              <w:t>Технічні та якісні характеристики предмета закупівлі</w:t>
            </w:r>
          </w:p>
        </w:tc>
      </w:tr>
      <w:tr w:rsidR="00CD4174" w:rsidRPr="00CD4174" w14:paraId="43BD7B73" w14:textId="77777777" w:rsidTr="00D6730B">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A7D64B2" w14:textId="77777777" w:rsidR="00CD4174" w:rsidRPr="00CD4174" w:rsidRDefault="00CD4174" w:rsidP="00B1214D">
            <w:pPr>
              <w:widowControl w:val="0"/>
              <w:rPr>
                <w:noProof/>
                <w:lang w:val="uk-UA"/>
              </w:rPr>
            </w:pPr>
            <w:r w:rsidRPr="00CD4174">
              <w:rPr>
                <w:noProof/>
                <w:lang w:val="uk-UA"/>
              </w:rPr>
              <w:t>1</w:t>
            </w: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78CC7B3" w14:textId="77777777" w:rsidR="00CD4174" w:rsidRPr="00CD4174" w:rsidRDefault="00CD4174" w:rsidP="00B1214D">
            <w:pPr>
              <w:suppressAutoHyphens/>
              <w:rPr>
                <w:noProof/>
                <w:lang w:val="uk-UA"/>
              </w:rPr>
            </w:pPr>
            <w:r w:rsidRPr="00CD4174">
              <w:rPr>
                <w:noProof/>
                <w:lang w:val="uk-UA"/>
              </w:rPr>
              <w:t>Огляд проміжної фінансової звітності складеної у відповідності до МСФЗ за 2024 рік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5D8FF" w14:textId="77777777" w:rsidR="00CD4174" w:rsidRPr="00CD4174" w:rsidRDefault="00CD4174" w:rsidP="00B1214D">
            <w:pPr>
              <w:suppressAutoHyphens/>
              <w:jc w:val="both"/>
              <w:rPr>
                <w:noProof/>
                <w:lang w:val="uk-UA"/>
              </w:rPr>
            </w:pPr>
            <w:r w:rsidRPr="00CD4174">
              <w:rPr>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F2869B" w14:textId="77777777" w:rsidR="00CD4174" w:rsidRPr="00CD4174" w:rsidRDefault="00CD4174" w:rsidP="00B1214D">
            <w:pPr>
              <w:suppressAutoHyphens/>
              <w:jc w:val="both"/>
              <w:rPr>
                <w:noProof/>
                <w:lang w:val="uk-UA"/>
              </w:rPr>
            </w:pPr>
            <w:r w:rsidRPr="00CD4174">
              <w:rPr>
                <w:noProof/>
                <w:lang w:val="uk-UA"/>
              </w:rPr>
              <w:t>1</w:t>
            </w:r>
          </w:p>
        </w:tc>
        <w:tc>
          <w:tcPr>
            <w:tcW w:w="10205" w:type="dxa"/>
            <w:tcBorders>
              <w:top w:val="single" w:sz="4" w:space="0" w:color="auto"/>
              <w:left w:val="single" w:sz="4" w:space="0" w:color="auto"/>
              <w:bottom w:val="single" w:sz="4" w:space="0" w:color="auto"/>
              <w:right w:val="single" w:sz="4" w:space="0" w:color="auto"/>
            </w:tcBorders>
            <w:shd w:val="clear" w:color="auto" w:fill="auto"/>
          </w:tcPr>
          <w:p w14:paraId="6F22A539" w14:textId="77777777" w:rsidR="00CD4174" w:rsidRPr="00CD4174" w:rsidRDefault="00CD4174" w:rsidP="00B1214D">
            <w:pPr>
              <w:suppressAutoHyphens/>
              <w:rPr>
                <w:b/>
                <w:noProof/>
                <w:lang w:val="uk-UA"/>
              </w:rPr>
            </w:pPr>
            <w:r w:rsidRPr="00CD4174">
              <w:rPr>
                <w:b/>
                <w:noProof/>
                <w:lang w:val="uk-UA"/>
              </w:rPr>
              <w:t>Основні завдання огляду проміжної фінансової звітності , складеної у відповідності до МСФЗ за наступні періоди:</w:t>
            </w:r>
          </w:p>
          <w:p w14:paraId="1F296F66" w14:textId="77777777" w:rsidR="00CD4174" w:rsidRPr="00CD4174" w:rsidRDefault="00CD4174" w:rsidP="00B1214D">
            <w:pPr>
              <w:suppressAutoHyphens/>
              <w:rPr>
                <w:noProof/>
                <w:lang w:val="uk-UA"/>
              </w:rPr>
            </w:pPr>
            <w:r w:rsidRPr="00CD4174">
              <w:rPr>
                <w:noProof/>
                <w:lang w:val="uk-UA"/>
              </w:rPr>
              <w:t>1.1. 1 квартал, що закінчився 31.03.2024 року</w:t>
            </w:r>
          </w:p>
          <w:p w14:paraId="13A360EB" w14:textId="77777777" w:rsidR="00CD4174" w:rsidRPr="00CD4174" w:rsidRDefault="00CD4174" w:rsidP="00B1214D">
            <w:pPr>
              <w:suppressAutoHyphens/>
              <w:rPr>
                <w:noProof/>
                <w:lang w:val="uk-UA"/>
              </w:rPr>
            </w:pPr>
            <w:r w:rsidRPr="00CD4174">
              <w:rPr>
                <w:noProof/>
                <w:lang w:val="uk-UA"/>
              </w:rPr>
              <w:t>1.2. Півріччя, що закінчилось 30.06.2024 року;</w:t>
            </w:r>
          </w:p>
          <w:p w14:paraId="7DC9C812" w14:textId="77777777" w:rsidR="00CD4174" w:rsidRPr="00CD4174" w:rsidRDefault="00CD4174" w:rsidP="00B1214D">
            <w:pPr>
              <w:suppressAutoHyphens/>
              <w:rPr>
                <w:noProof/>
                <w:lang w:val="uk-UA"/>
              </w:rPr>
            </w:pPr>
            <w:r w:rsidRPr="00CD4174">
              <w:rPr>
                <w:noProof/>
                <w:lang w:val="uk-UA"/>
              </w:rPr>
              <w:t>1.3. 9 місяців, що закінчились 30.09.2024 року</w:t>
            </w:r>
          </w:p>
          <w:p w14:paraId="410D5D4A" w14:textId="77777777" w:rsidR="00CD4174" w:rsidRPr="00CD4174" w:rsidRDefault="00CD4174" w:rsidP="00B1214D">
            <w:pPr>
              <w:suppressAutoHyphens/>
              <w:rPr>
                <w:noProof/>
                <w:lang w:val="uk-UA"/>
              </w:rPr>
            </w:pPr>
            <w:r w:rsidRPr="00CD4174">
              <w:rPr>
                <w:noProof/>
                <w:lang w:val="uk-UA"/>
              </w:rPr>
              <w:t>- попередній збір інформації, аналітичні процедури;</w:t>
            </w:r>
          </w:p>
          <w:p w14:paraId="38C0B860" w14:textId="77777777" w:rsidR="00CD4174" w:rsidRPr="00CD4174" w:rsidRDefault="00CD4174" w:rsidP="00B1214D">
            <w:pPr>
              <w:suppressAutoHyphens/>
              <w:rPr>
                <w:noProof/>
                <w:lang w:val="uk-UA"/>
              </w:rPr>
            </w:pPr>
            <w:r w:rsidRPr="00CD4174">
              <w:rPr>
                <w:noProof/>
                <w:lang w:val="uk-UA"/>
              </w:rPr>
              <w:t>- процедури з аналізу внутрішніх контролів та систем обліку; - аудиторські процедури відносно проміжного звіту про фінансовий стан;</w:t>
            </w:r>
          </w:p>
          <w:p w14:paraId="546E0235" w14:textId="77777777" w:rsidR="00CD4174" w:rsidRPr="00CD4174" w:rsidRDefault="00CD4174" w:rsidP="00B1214D">
            <w:pPr>
              <w:suppressAutoHyphens/>
              <w:rPr>
                <w:noProof/>
                <w:lang w:val="uk-UA"/>
              </w:rPr>
            </w:pPr>
            <w:r w:rsidRPr="00CD4174">
              <w:rPr>
                <w:noProof/>
                <w:lang w:val="uk-UA"/>
              </w:rPr>
              <w:t>- аудиторські процедури відносно проміжного звіту про прибутки та збитки та інші сукупні доходи;</w:t>
            </w:r>
          </w:p>
          <w:p w14:paraId="1B578219" w14:textId="77777777" w:rsidR="00CD4174" w:rsidRPr="00CD4174" w:rsidRDefault="00CD4174" w:rsidP="00B1214D">
            <w:pPr>
              <w:suppressAutoHyphens/>
              <w:rPr>
                <w:noProof/>
                <w:lang w:val="uk-UA"/>
              </w:rPr>
            </w:pPr>
            <w:r w:rsidRPr="00CD4174">
              <w:rPr>
                <w:noProof/>
                <w:lang w:val="uk-UA"/>
              </w:rPr>
              <w:t>- аудиторські процедури відносно проміжного звіту про рух грошових коштів;</w:t>
            </w:r>
          </w:p>
          <w:p w14:paraId="0726C091" w14:textId="77777777" w:rsidR="00CD4174" w:rsidRPr="00CD4174" w:rsidRDefault="00CD4174" w:rsidP="00B1214D">
            <w:pPr>
              <w:suppressAutoHyphens/>
              <w:rPr>
                <w:noProof/>
                <w:lang w:val="uk-UA"/>
              </w:rPr>
            </w:pPr>
            <w:r w:rsidRPr="00CD4174">
              <w:rPr>
                <w:noProof/>
                <w:lang w:val="uk-UA"/>
              </w:rPr>
              <w:lastRenderedPageBreak/>
              <w:t>- аудиторські процедури відносно проміжного звіту про зміни в капіталі;</w:t>
            </w:r>
          </w:p>
          <w:p w14:paraId="74B63917" w14:textId="77777777" w:rsidR="00CD4174" w:rsidRPr="00CD4174" w:rsidRDefault="00CD4174" w:rsidP="00B1214D">
            <w:pPr>
              <w:suppressAutoHyphens/>
              <w:rPr>
                <w:noProof/>
                <w:lang w:val="uk-UA"/>
              </w:rPr>
            </w:pPr>
            <w:r w:rsidRPr="00CD4174">
              <w:rPr>
                <w:noProof/>
                <w:lang w:val="uk-UA"/>
              </w:rPr>
              <w:t>- аудиторські процедури відносно приміток до проміжної фінансової звітності;</w:t>
            </w:r>
          </w:p>
          <w:p w14:paraId="0DB90CF6" w14:textId="77777777" w:rsidR="00CD4174" w:rsidRPr="00CD4174" w:rsidRDefault="00CD4174" w:rsidP="00B1214D">
            <w:pPr>
              <w:suppressAutoHyphens/>
              <w:rPr>
                <w:noProof/>
                <w:lang w:val="uk-UA"/>
              </w:rPr>
            </w:pPr>
            <w:r w:rsidRPr="00CD4174">
              <w:rPr>
                <w:noProof/>
                <w:lang w:val="uk-UA"/>
              </w:rPr>
              <w:t>- складання звіту щодо огляду проміжної фінансової звітності;</w:t>
            </w:r>
          </w:p>
          <w:p w14:paraId="0F32F889" w14:textId="77777777" w:rsidR="00CD4174" w:rsidRPr="00CD4174" w:rsidRDefault="00CD4174" w:rsidP="00B1214D">
            <w:pPr>
              <w:suppressAutoHyphens/>
              <w:rPr>
                <w:noProof/>
                <w:lang w:val="uk-UA"/>
              </w:rPr>
            </w:pPr>
            <w:r w:rsidRPr="00CD4174">
              <w:rPr>
                <w:noProof/>
                <w:lang w:val="uk-UA"/>
              </w:rPr>
              <w:t>- додатковий звіт для аудиторського комітету;</w:t>
            </w:r>
          </w:p>
          <w:p w14:paraId="317557F8" w14:textId="77777777" w:rsidR="00CD4174" w:rsidRPr="00CD4174" w:rsidRDefault="00CD4174" w:rsidP="00B1214D">
            <w:pPr>
              <w:suppressAutoHyphens/>
              <w:rPr>
                <w:noProof/>
                <w:lang w:val="uk-UA"/>
              </w:rPr>
            </w:pPr>
            <w:r w:rsidRPr="00CD4174">
              <w:rPr>
                <w:noProof/>
                <w:lang w:val="uk-UA"/>
              </w:rPr>
              <w:t>- переклад на англійську мову проміжної фінансової звітності складеної у відповідності до МСФЗ, звіту щодо огляду проміжної фінансової звітності, додаткового звіту для аудиторського комітету.</w:t>
            </w:r>
          </w:p>
          <w:p w14:paraId="7DBC8168" w14:textId="77777777" w:rsidR="00CD4174" w:rsidRPr="00CD4174" w:rsidRDefault="00CD4174" w:rsidP="00B1214D">
            <w:pPr>
              <w:suppressAutoHyphens/>
              <w:jc w:val="both"/>
              <w:rPr>
                <w:noProof/>
                <w:lang w:val="uk-UA"/>
              </w:rPr>
            </w:pPr>
            <w:r w:rsidRPr="00CD4174">
              <w:rPr>
                <w:noProof/>
                <w:lang w:val="uk-UA"/>
              </w:rPr>
              <w:t>Період, за який здійснюється огляд проміжної фінансової звітності з 01.01.2024 по 30.09.2024, а саме за 1 квартал 2024, 1 півріччя 2024 та 9 місяців 2024.</w:t>
            </w:r>
          </w:p>
        </w:tc>
      </w:tr>
      <w:tr w:rsidR="00CD4174" w:rsidRPr="00CD4174" w14:paraId="68858AF3" w14:textId="77777777" w:rsidTr="00D6730B">
        <w:trPr>
          <w:trHeight w:val="229"/>
        </w:trPr>
        <w:tc>
          <w:tcPr>
            <w:tcW w:w="757" w:type="dxa"/>
            <w:tcBorders>
              <w:top w:val="single" w:sz="4" w:space="0" w:color="auto"/>
              <w:left w:val="single" w:sz="4" w:space="0" w:color="auto"/>
              <w:right w:val="single" w:sz="4" w:space="0" w:color="auto"/>
            </w:tcBorders>
            <w:shd w:val="clear" w:color="auto" w:fill="auto"/>
          </w:tcPr>
          <w:p w14:paraId="5735D09B" w14:textId="77777777" w:rsidR="00CD4174" w:rsidRPr="00CD4174" w:rsidRDefault="00CD4174" w:rsidP="00B1214D">
            <w:pPr>
              <w:widowControl w:val="0"/>
              <w:rPr>
                <w:noProof/>
                <w:lang w:val="uk-UA"/>
              </w:rPr>
            </w:pPr>
            <w:r w:rsidRPr="00CD4174">
              <w:rPr>
                <w:noProof/>
                <w:lang w:val="uk-UA"/>
              </w:rPr>
              <w:lastRenderedPageBreak/>
              <w:t>2</w:t>
            </w:r>
          </w:p>
        </w:tc>
        <w:tc>
          <w:tcPr>
            <w:tcW w:w="2825" w:type="dxa"/>
            <w:tcBorders>
              <w:top w:val="single" w:sz="4" w:space="0" w:color="auto"/>
              <w:left w:val="single" w:sz="4" w:space="0" w:color="auto"/>
              <w:right w:val="single" w:sz="4" w:space="0" w:color="auto"/>
            </w:tcBorders>
            <w:shd w:val="clear" w:color="auto" w:fill="auto"/>
          </w:tcPr>
          <w:p w14:paraId="46909E61" w14:textId="77777777" w:rsidR="00CD4174" w:rsidRPr="00CD4174" w:rsidRDefault="00CD4174" w:rsidP="00B1214D">
            <w:pPr>
              <w:suppressAutoHyphens/>
              <w:rPr>
                <w:noProof/>
                <w:lang w:val="uk-UA"/>
              </w:rPr>
            </w:pPr>
            <w:r w:rsidRPr="00CD4174">
              <w:rPr>
                <w:noProof/>
                <w:lang w:val="uk-UA"/>
              </w:rPr>
              <w:t>Аудит річної фінансової звітності складеної у відповідності до МСФЗ за 2024 рік, Підписання Звіту аудитора в електронному вигляді в системі фінансової звітності або іншому діючому програмному забезпеченні в складі фінансової звітності на основі таксономії фінансової звітності за міжнародними стандартами в єдиному форматі (XBRL)</w:t>
            </w:r>
          </w:p>
        </w:tc>
        <w:tc>
          <w:tcPr>
            <w:tcW w:w="1276" w:type="dxa"/>
            <w:tcBorders>
              <w:top w:val="single" w:sz="4" w:space="0" w:color="auto"/>
              <w:left w:val="single" w:sz="4" w:space="0" w:color="auto"/>
              <w:right w:val="single" w:sz="4" w:space="0" w:color="auto"/>
            </w:tcBorders>
            <w:shd w:val="clear" w:color="auto" w:fill="auto"/>
          </w:tcPr>
          <w:p w14:paraId="3518C170" w14:textId="77777777" w:rsidR="00CD4174" w:rsidRPr="00CD4174" w:rsidRDefault="00CD4174" w:rsidP="00B1214D">
            <w:pPr>
              <w:suppressAutoHyphens/>
              <w:jc w:val="both"/>
              <w:rPr>
                <w:noProof/>
                <w:lang w:val="uk-UA"/>
              </w:rPr>
            </w:pPr>
            <w:r w:rsidRPr="00CD4174">
              <w:rPr>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1C1A322" w14:textId="77777777" w:rsidR="00CD4174" w:rsidRPr="00CD4174" w:rsidRDefault="00CD4174" w:rsidP="00B1214D">
            <w:pPr>
              <w:suppressAutoHyphens/>
              <w:jc w:val="both"/>
              <w:rPr>
                <w:noProof/>
                <w:lang w:val="uk-UA"/>
              </w:rPr>
            </w:pPr>
            <w:r w:rsidRPr="00CD4174">
              <w:rPr>
                <w:noProof/>
                <w:lang w:val="uk-UA"/>
              </w:rPr>
              <w:t>1</w:t>
            </w:r>
          </w:p>
        </w:tc>
        <w:tc>
          <w:tcPr>
            <w:tcW w:w="10205" w:type="dxa"/>
            <w:tcBorders>
              <w:top w:val="single" w:sz="4" w:space="0" w:color="auto"/>
              <w:left w:val="single" w:sz="4" w:space="0" w:color="auto"/>
              <w:right w:val="single" w:sz="4" w:space="0" w:color="auto"/>
            </w:tcBorders>
            <w:shd w:val="clear" w:color="auto" w:fill="auto"/>
          </w:tcPr>
          <w:p w14:paraId="4C9C00BB" w14:textId="77777777" w:rsidR="00CD4174" w:rsidRPr="00CD4174" w:rsidRDefault="00CD4174" w:rsidP="00B1214D">
            <w:pPr>
              <w:suppressAutoHyphens/>
              <w:rPr>
                <w:noProof/>
                <w:lang w:val="uk-UA"/>
              </w:rPr>
            </w:pPr>
            <w:r w:rsidRPr="00CD4174">
              <w:rPr>
                <w:b/>
                <w:noProof/>
                <w:lang w:val="uk-UA"/>
              </w:rPr>
              <w:t>Основні завдання аудиту фінансової звітності  за рік, що закінчився 31.12.2024 року складеної у відповідності до МСФЗ:</w:t>
            </w:r>
          </w:p>
          <w:p w14:paraId="17D4D450" w14:textId="77777777" w:rsidR="00CD4174" w:rsidRPr="00CD4174" w:rsidRDefault="00CD4174" w:rsidP="00B1214D">
            <w:pPr>
              <w:suppressAutoHyphens/>
              <w:rPr>
                <w:noProof/>
                <w:lang w:val="uk-UA"/>
              </w:rPr>
            </w:pPr>
            <w:r w:rsidRPr="00CD4174">
              <w:rPr>
                <w:noProof/>
                <w:lang w:val="uk-UA"/>
              </w:rPr>
              <w:t>- попередній збір інформації, аналітичні процедури;</w:t>
            </w:r>
          </w:p>
          <w:p w14:paraId="5AE1B463" w14:textId="77777777" w:rsidR="00CD4174" w:rsidRPr="00CD4174" w:rsidRDefault="00CD4174" w:rsidP="00B1214D">
            <w:pPr>
              <w:suppressAutoHyphens/>
              <w:rPr>
                <w:noProof/>
                <w:lang w:val="uk-UA"/>
              </w:rPr>
            </w:pPr>
            <w:r w:rsidRPr="00CD4174">
              <w:rPr>
                <w:noProof/>
                <w:lang w:val="uk-UA"/>
              </w:rPr>
              <w:t>- процедури з аналізу внутрішніх контролів та систем обліку;</w:t>
            </w:r>
          </w:p>
          <w:p w14:paraId="1FD22411" w14:textId="77777777" w:rsidR="00CD4174" w:rsidRPr="00CD4174" w:rsidRDefault="00CD4174" w:rsidP="00B1214D">
            <w:pPr>
              <w:suppressAutoHyphens/>
              <w:rPr>
                <w:noProof/>
                <w:lang w:val="uk-UA"/>
              </w:rPr>
            </w:pPr>
            <w:r w:rsidRPr="00CD4174">
              <w:rPr>
                <w:noProof/>
                <w:lang w:val="uk-UA"/>
              </w:rPr>
              <w:t>- забезпечити присутність своїх працівників для спостереження за проведенням щорічної інвентаризації активів та зобов’язань;</w:t>
            </w:r>
          </w:p>
          <w:p w14:paraId="5BBE5B71" w14:textId="77777777" w:rsidR="00CD4174" w:rsidRPr="00CD4174" w:rsidRDefault="00CD4174" w:rsidP="00B1214D">
            <w:pPr>
              <w:suppressAutoHyphens/>
              <w:rPr>
                <w:noProof/>
                <w:lang w:val="uk-UA"/>
              </w:rPr>
            </w:pPr>
            <w:r w:rsidRPr="00CD4174">
              <w:rPr>
                <w:noProof/>
                <w:lang w:val="uk-UA"/>
              </w:rPr>
              <w:t>- аудиторські процедури відносно річного звіту про фінансовий стан;</w:t>
            </w:r>
          </w:p>
          <w:p w14:paraId="30C6F1E4" w14:textId="77777777" w:rsidR="00CD4174" w:rsidRPr="00CD4174" w:rsidRDefault="00CD4174" w:rsidP="00B1214D">
            <w:pPr>
              <w:suppressAutoHyphens/>
              <w:rPr>
                <w:noProof/>
                <w:lang w:val="uk-UA"/>
              </w:rPr>
            </w:pPr>
            <w:r w:rsidRPr="00CD4174">
              <w:rPr>
                <w:noProof/>
                <w:lang w:val="uk-UA"/>
              </w:rPr>
              <w:t>- аудиторські процедури відносно річного звіту про прибутки та збитки та інші сукупні доходи;</w:t>
            </w:r>
          </w:p>
          <w:p w14:paraId="5B3A8A9F" w14:textId="77777777" w:rsidR="00CD4174" w:rsidRPr="00CD4174" w:rsidRDefault="00CD4174" w:rsidP="00B1214D">
            <w:pPr>
              <w:suppressAutoHyphens/>
              <w:rPr>
                <w:noProof/>
                <w:lang w:val="uk-UA"/>
              </w:rPr>
            </w:pPr>
            <w:r w:rsidRPr="00CD4174">
              <w:rPr>
                <w:noProof/>
                <w:lang w:val="uk-UA"/>
              </w:rPr>
              <w:t>- аудиторські процедури відносно річного звіту про рух грошових коштів;</w:t>
            </w:r>
          </w:p>
          <w:p w14:paraId="6FE4EAF2" w14:textId="77777777" w:rsidR="00CD4174" w:rsidRPr="00CD4174" w:rsidRDefault="00CD4174" w:rsidP="00B1214D">
            <w:pPr>
              <w:suppressAutoHyphens/>
              <w:rPr>
                <w:noProof/>
                <w:lang w:val="uk-UA"/>
              </w:rPr>
            </w:pPr>
            <w:r w:rsidRPr="00CD4174">
              <w:rPr>
                <w:noProof/>
                <w:lang w:val="uk-UA"/>
              </w:rPr>
              <w:t>- аудиторські процедури відносно річного звіту про зміни в капіталі;</w:t>
            </w:r>
          </w:p>
          <w:p w14:paraId="3C16496A" w14:textId="77777777" w:rsidR="00CD4174" w:rsidRPr="00CD4174" w:rsidRDefault="00CD4174" w:rsidP="00B1214D">
            <w:pPr>
              <w:suppressAutoHyphens/>
              <w:rPr>
                <w:noProof/>
                <w:lang w:val="uk-UA"/>
              </w:rPr>
            </w:pPr>
            <w:r w:rsidRPr="00CD4174">
              <w:rPr>
                <w:noProof/>
                <w:lang w:val="uk-UA"/>
              </w:rPr>
              <w:t>- аудиторські процедури відносно приміток до річної фінансової звітності;</w:t>
            </w:r>
          </w:p>
          <w:p w14:paraId="3E0B38F5" w14:textId="77777777" w:rsidR="00CD4174" w:rsidRPr="00CD4174" w:rsidRDefault="00CD4174" w:rsidP="00B1214D">
            <w:pPr>
              <w:suppressAutoHyphens/>
              <w:rPr>
                <w:noProof/>
                <w:lang w:val="uk-UA"/>
              </w:rPr>
            </w:pPr>
            <w:r w:rsidRPr="00CD4174">
              <w:rPr>
                <w:noProof/>
                <w:lang w:val="uk-UA"/>
              </w:rPr>
              <w:t>- складання звіту незалежного аудитора щодо аудиту фінансової звітності;</w:t>
            </w:r>
          </w:p>
          <w:p w14:paraId="4F94D37D" w14:textId="77777777" w:rsidR="00CD4174" w:rsidRPr="00CD4174" w:rsidRDefault="00CD4174" w:rsidP="00B1214D">
            <w:pPr>
              <w:suppressAutoHyphens/>
              <w:rPr>
                <w:noProof/>
                <w:lang w:val="uk-UA"/>
              </w:rPr>
            </w:pPr>
            <w:r w:rsidRPr="00CD4174">
              <w:rPr>
                <w:noProof/>
                <w:lang w:val="uk-UA"/>
              </w:rPr>
              <w:t>- інформування про узгодженість звіту про управління з фінансовою звітністю за звітний період; про наявність суттєвих викривлень у звіті про управління та їх характер;</w:t>
            </w:r>
          </w:p>
          <w:p w14:paraId="1B823D00" w14:textId="77777777" w:rsidR="00CD4174" w:rsidRPr="00CD4174" w:rsidRDefault="00CD4174" w:rsidP="00B1214D">
            <w:pPr>
              <w:suppressAutoHyphens/>
              <w:rPr>
                <w:noProof/>
                <w:lang w:val="uk-UA"/>
              </w:rPr>
            </w:pPr>
            <w:r w:rsidRPr="00CD4174">
              <w:rPr>
                <w:noProof/>
                <w:lang w:val="uk-UA"/>
              </w:rPr>
              <w:t>- додатковий звіт для аудиторського комітету;</w:t>
            </w:r>
          </w:p>
          <w:p w14:paraId="6E6AF3A0" w14:textId="77777777" w:rsidR="00CD4174" w:rsidRPr="00CD4174" w:rsidRDefault="00CD4174" w:rsidP="00B1214D">
            <w:pPr>
              <w:suppressAutoHyphens/>
              <w:rPr>
                <w:noProof/>
                <w:lang w:val="uk-UA"/>
              </w:rPr>
            </w:pPr>
            <w:r w:rsidRPr="00CD4174">
              <w:rPr>
                <w:noProof/>
                <w:lang w:val="uk-UA"/>
              </w:rPr>
              <w:t>- переклад на англійську мову річної фінансової звітності за рік, що закінчився 31.12.2024 року, складеної у відповідності до МСФЗ, аудиторського висновку щодо цієї звітності та додаткового звіту для аудиторського комітету. Період, за який здійснюється аудит фінансової звітності: з 01.01.2024 року по 31.12.2024 року.</w:t>
            </w:r>
          </w:p>
          <w:p w14:paraId="18113E09" w14:textId="77777777" w:rsidR="00CD4174" w:rsidRPr="00CD4174" w:rsidRDefault="00CD4174" w:rsidP="00B1214D">
            <w:pPr>
              <w:suppressAutoHyphens/>
              <w:rPr>
                <w:noProof/>
                <w:lang w:val="uk-UA"/>
              </w:rPr>
            </w:pPr>
            <w:r w:rsidRPr="00CD4174">
              <w:rPr>
                <w:noProof/>
                <w:lang w:val="uk-UA"/>
              </w:rPr>
              <w:t>З метою подачі Державним Підприємством «Міжнародний Аеропорт «Бориспіль» пакету звітності до Системи фінансової звітності в єдиному електронному форматі (XBRL), фінансову звітність на основі таксономії UA XBRL МСФЗ за 2024 рік , в форматі XBRL_файлів необхідно перевірити та накласти на пакет XBRL-файлів електронний підпис представника Виконавця.</w:t>
            </w:r>
          </w:p>
        </w:tc>
      </w:tr>
    </w:tbl>
    <w:p w14:paraId="66308882" w14:textId="77777777" w:rsidR="00CD4174" w:rsidRPr="00CD4174" w:rsidRDefault="00CD4174" w:rsidP="00CD4174">
      <w:pPr>
        <w:jc w:val="center"/>
        <w:rPr>
          <w:rFonts w:eastAsia="Calibri"/>
          <w:b/>
          <w:bCs/>
          <w:highlight w:val="cyan"/>
          <w:lang w:val="uk-UA"/>
        </w:rPr>
      </w:pPr>
    </w:p>
    <w:p w14:paraId="6EF1C335" w14:textId="77777777" w:rsidR="006F428D" w:rsidRPr="00CD4174" w:rsidRDefault="006F428D" w:rsidP="00A12478">
      <w:pPr>
        <w:rPr>
          <w:b/>
          <w:lang w:val="uk-UA"/>
        </w:rPr>
      </w:pPr>
    </w:p>
    <w:sectPr w:rsidR="006F428D" w:rsidRPr="00CD4174" w:rsidSect="00D6730B">
      <w:headerReference w:type="even" r:id="rId9"/>
      <w:headerReference w:type="default" r:id="rId10"/>
      <w:footerReference w:type="default" r:id="rId11"/>
      <w:pgSz w:w="16838" w:h="11906" w:orient="landscape"/>
      <w:pgMar w:top="426" w:right="567" w:bottom="567" w:left="567" w:header="709" w:footer="3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49964" w14:textId="77777777" w:rsidR="00414796" w:rsidRDefault="00414796">
      <w:r>
        <w:separator/>
      </w:r>
    </w:p>
  </w:endnote>
  <w:endnote w:type="continuationSeparator" w:id="0">
    <w:p w14:paraId="25984EC8" w14:textId="77777777" w:rsidR="00414796" w:rsidRDefault="0041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DA5D" w14:textId="77777777" w:rsidR="00A256E7" w:rsidRPr="00A256E7" w:rsidRDefault="00000000" w:rsidP="00A256E7">
    <w:pPr>
      <w:tabs>
        <w:tab w:val="center" w:pos="4819"/>
        <w:tab w:val="right" w:pos="9639"/>
      </w:tabs>
      <w:jc w:val="right"/>
      <w:rPr>
        <w:sz w:val="20"/>
        <w:szCs w:val="20"/>
        <w:u w:val="single"/>
        <w:lang w:val="uk-UA"/>
      </w:rPr>
    </w:pPr>
    <w:r>
      <w:rPr>
        <w:noProof/>
        <w:sz w:val="20"/>
        <w:szCs w:val="20"/>
        <w:u w:val="single"/>
        <w:lang w:eastAsia="uk-UA"/>
      </w:rPr>
      <w:pict w14:anchorId="4EBDFF66">
        <v:shapetype id="_x0000_t32" coordsize="21600,21600" o:spt="32" o:oned="t" path="m,l21600,21600e" filled="f">
          <v:path arrowok="t" fillok="f" o:connecttype="none"/>
          <o:lock v:ext="edit" shapetype="t"/>
        </v:shapetype>
        <v:shape id="_x0000_s1025" type="#_x0000_t32" style="position:absolute;left:0;text-align:left;margin-left:-14.2pt;margin-top:.6pt;width:500.6pt;height:1.15pt;z-index:1" o:connectortype="straight"/>
      </w:pict>
    </w:r>
    <w:r w:rsidR="0083798D">
      <w:rPr>
        <w:sz w:val="20"/>
        <w:szCs w:val="20"/>
        <w:lang w:val="uk-UA"/>
      </w:rPr>
      <w:t xml:space="preserve">Послуги з аудиту фінансової звітності ДП МА «Бориспіль», складеної у відповідності до МСФЗ, код ДК 021:2015 - 79210000-9 - Бухгалтерські та аудиторські послуги </w:t>
    </w:r>
  </w:p>
  <w:p w14:paraId="7D02E691"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D6730B">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D6730B">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37B5" w14:textId="77777777" w:rsidR="00414796" w:rsidRDefault="00414796">
      <w:r>
        <w:separator/>
      </w:r>
    </w:p>
  </w:footnote>
  <w:footnote w:type="continuationSeparator" w:id="0">
    <w:p w14:paraId="4D182A19" w14:textId="77777777" w:rsidR="00414796" w:rsidRDefault="0041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E5D3" w14:textId="77777777"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4B9A48B" w14:textId="77777777"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5A04" w14:textId="77777777" w:rsidR="002D6492" w:rsidRPr="003C4B6B" w:rsidRDefault="00363567" w:rsidP="00631599">
    <w:pPr>
      <w:pStyle w:val="a9"/>
      <w:pBdr>
        <w:bottom w:val="single" w:sz="4" w:space="1" w:color="auto"/>
      </w:pBdr>
      <w:jc w:val="both"/>
      <w:rPr>
        <w:sz w:val="20"/>
        <w:szCs w:val="20"/>
        <w:lang w:val="uk-UA"/>
      </w:rPr>
    </w:pPr>
    <w:r>
      <w:rPr>
        <w:noProof/>
      </w:rPr>
      <w:pict w14:anchorId="61EFF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77490901">
    <w:abstractNumId w:val="20"/>
  </w:num>
  <w:num w:numId="2" w16cid:durableId="1465539149">
    <w:abstractNumId w:val="22"/>
  </w:num>
  <w:num w:numId="3" w16cid:durableId="1805001195">
    <w:abstractNumId w:val="0"/>
  </w:num>
  <w:num w:numId="4" w16cid:durableId="1181971920">
    <w:abstractNumId w:val="23"/>
  </w:num>
  <w:num w:numId="5" w16cid:durableId="1542283901">
    <w:abstractNumId w:val="7"/>
  </w:num>
  <w:num w:numId="6" w16cid:durableId="1063453710">
    <w:abstractNumId w:val="5"/>
  </w:num>
  <w:num w:numId="7" w16cid:durableId="526722608">
    <w:abstractNumId w:val="6"/>
  </w:num>
  <w:num w:numId="8" w16cid:durableId="781221367">
    <w:abstractNumId w:val="19"/>
  </w:num>
  <w:num w:numId="9" w16cid:durableId="1960064758">
    <w:abstractNumId w:val="1"/>
  </w:num>
  <w:num w:numId="10" w16cid:durableId="1402174882">
    <w:abstractNumId w:val="16"/>
  </w:num>
  <w:num w:numId="11" w16cid:durableId="1705860474">
    <w:abstractNumId w:val="14"/>
  </w:num>
  <w:num w:numId="12" w16cid:durableId="955407859">
    <w:abstractNumId w:val="12"/>
  </w:num>
  <w:num w:numId="13" w16cid:durableId="1900170612">
    <w:abstractNumId w:val="13"/>
  </w:num>
  <w:num w:numId="14" w16cid:durableId="2004315982">
    <w:abstractNumId w:val="3"/>
  </w:num>
  <w:num w:numId="15" w16cid:durableId="30695758">
    <w:abstractNumId w:val="15"/>
  </w:num>
  <w:num w:numId="16" w16cid:durableId="1150053781">
    <w:abstractNumId w:val="2"/>
  </w:num>
  <w:num w:numId="17" w16cid:durableId="1246451732">
    <w:abstractNumId w:val="11"/>
  </w:num>
  <w:num w:numId="18" w16cid:durableId="388529361">
    <w:abstractNumId w:val="4"/>
  </w:num>
  <w:num w:numId="19" w16cid:durableId="166360737">
    <w:abstractNumId w:val="8"/>
  </w:num>
  <w:num w:numId="20" w16cid:durableId="2110541535">
    <w:abstractNumId w:val="18"/>
  </w:num>
  <w:num w:numId="21" w16cid:durableId="670645364">
    <w:abstractNumId w:val="9"/>
  </w:num>
  <w:num w:numId="22" w16cid:durableId="40137547">
    <w:abstractNumId w:val="17"/>
  </w:num>
  <w:num w:numId="23" w16cid:durableId="128592940">
    <w:abstractNumId w:val="10"/>
  </w:num>
  <w:num w:numId="24" w16cid:durableId="2087143029">
    <w:abstractNumId w:val="21"/>
  </w:num>
  <w:num w:numId="25" w16cid:durableId="1494490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07266"/>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2C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2F3"/>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C45"/>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02C"/>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3567"/>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4796"/>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75A9"/>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599"/>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490"/>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3798D"/>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43C8"/>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88D"/>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0ACF"/>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4174"/>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6730B"/>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54F"/>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02C1"/>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84F55"/>
  <w15:chartTrackingRefBased/>
  <w15:docId w15:val="{D0E96298-76C9-4613-83E5-1EA6D47D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aliases w:val="Обычный (Web)"/>
    <w:basedOn w:val="a"/>
    <w:link w:val="af5"/>
    <w:uiPriority w:val="99"/>
    <w:qFormat/>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af5">
    <w:name w:val="Звичайний (веб) Знак"/>
    <w:aliases w:val="Обычный (Web) Знак"/>
    <w:link w:val="af4"/>
    <w:uiPriority w:val="99"/>
    <w:qFormat/>
    <w:rsid w:val="00107266"/>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DE80-7C90-4302-BC4F-B1C105FC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1310</Words>
  <Characters>7467</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2025-01-29T15:03:00Z</dcterms:created>
  <dcterms:modified xsi:type="dcterms:W3CDTF">2025-02-04T12:06:00Z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