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EA4277A" w14:textId="77777777" w:rsidTr="001021AF">
        <w:tc>
          <w:tcPr>
            <w:tcW w:w="4683" w:type="dxa"/>
          </w:tcPr>
          <w:p w14:paraId="23C74004" w14:textId="613633F7" w:rsidR="00825A6B" w:rsidRPr="007101A5" w:rsidRDefault="009A1721" w:rsidP="006926A0">
            <w:pPr>
              <w:pStyle w:val="a4"/>
              <w:widowControl w:val="0"/>
              <w:rPr>
                <w:szCs w:val="17"/>
                <w:lang w:val="uk-UA"/>
              </w:rPr>
            </w:pPr>
            <w:r>
              <w:rPr>
                <w:noProof/>
                <w:lang w:val="uk-UA"/>
              </w:rPr>
              <w:drawing>
                <wp:inline distT="0" distB="0" distL="0" distR="0" wp14:anchorId="4351A4C8" wp14:editId="18864D6F">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2DEF938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AFB4CC0"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5BC501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45A7E17"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6D77A029" w14:textId="77777777" w:rsidTr="00C62708">
        <w:tc>
          <w:tcPr>
            <w:tcW w:w="9854" w:type="dxa"/>
            <w:gridSpan w:val="2"/>
          </w:tcPr>
          <w:p w14:paraId="6A8B351B" w14:textId="77777777" w:rsidR="003C4B6B" w:rsidRPr="007101A5" w:rsidRDefault="003C4B6B" w:rsidP="007D7B6F">
            <w:pPr>
              <w:pStyle w:val="1"/>
              <w:keepNext w:val="0"/>
              <w:widowControl w:val="0"/>
              <w:rPr>
                <w:sz w:val="28"/>
                <w:szCs w:val="28"/>
              </w:rPr>
            </w:pPr>
          </w:p>
          <w:p w14:paraId="7981391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1483451" w14:textId="77777777" w:rsidR="005F3529" w:rsidRPr="007101A5" w:rsidRDefault="005F3529" w:rsidP="0063471D">
      <w:pPr>
        <w:pStyle w:val="a4"/>
        <w:widowControl w:val="0"/>
        <w:jc w:val="both"/>
        <w:rPr>
          <w:sz w:val="24"/>
          <w:szCs w:val="24"/>
          <w:lang w:val="uk-UA"/>
        </w:rPr>
      </w:pPr>
    </w:p>
    <w:p w14:paraId="6A0BBECC" w14:textId="77777777" w:rsidR="007D7B6F" w:rsidRPr="00B22493" w:rsidRDefault="003C4B6B" w:rsidP="0063471D">
      <w:pPr>
        <w:pStyle w:val="a4"/>
        <w:widowControl w:val="0"/>
        <w:jc w:val="both"/>
        <w:rPr>
          <w:noProof/>
          <w:sz w:val="24"/>
          <w:szCs w:val="24"/>
          <w:lang w:val="uk-UA"/>
        </w:rPr>
      </w:pPr>
      <w:r w:rsidRPr="00B22493">
        <w:rPr>
          <w:noProof/>
          <w:sz w:val="24"/>
          <w:szCs w:val="24"/>
          <w:lang w:val="uk-UA"/>
        </w:rPr>
        <w:t xml:space="preserve">Підстава: </w:t>
      </w:r>
      <w:r w:rsidR="007D7B6F" w:rsidRPr="00B22493">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FA37ADD" w14:textId="77777777" w:rsidR="009F35DC" w:rsidRPr="00B22493"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B22493" w14:paraId="5D42EB5B" w14:textId="77777777" w:rsidTr="00C62708">
        <w:tc>
          <w:tcPr>
            <w:tcW w:w="487" w:type="pct"/>
            <w:shd w:val="clear" w:color="auto" w:fill="DEEAF6"/>
          </w:tcPr>
          <w:p w14:paraId="1DAD5990" w14:textId="77777777" w:rsidR="00A76484" w:rsidRPr="00B22493" w:rsidRDefault="00A76484" w:rsidP="002D4D30">
            <w:pPr>
              <w:widowControl w:val="0"/>
              <w:contextualSpacing/>
              <w:jc w:val="center"/>
              <w:rPr>
                <w:b/>
                <w:noProof/>
                <w:lang w:val="uk-UA"/>
              </w:rPr>
            </w:pPr>
            <w:r w:rsidRPr="00B22493">
              <w:rPr>
                <w:b/>
                <w:noProof/>
                <w:lang w:val="uk-UA"/>
              </w:rPr>
              <w:t>Пункт Кошторису</w:t>
            </w:r>
          </w:p>
        </w:tc>
        <w:tc>
          <w:tcPr>
            <w:tcW w:w="1527" w:type="pct"/>
            <w:shd w:val="clear" w:color="auto" w:fill="DEEAF6"/>
          </w:tcPr>
          <w:p w14:paraId="1E51A4A8" w14:textId="77777777" w:rsidR="00A76484" w:rsidRPr="00B22493" w:rsidRDefault="00A76484" w:rsidP="002D4D30">
            <w:pPr>
              <w:widowControl w:val="0"/>
              <w:contextualSpacing/>
              <w:jc w:val="center"/>
              <w:rPr>
                <w:b/>
                <w:noProof/>
                <w:lang w:val="uk-UA"/>
              </w:rPr>
            </w:pPr>
            <w:r w:rsidRPr="00B22493">
              <w:rPr>
                <w:b/>
                <w:noProof/>
                <w:lang w:val="uk-UA"/>
              </w:rPr>
              <w:t>Назва предмета закупівлі із зазначенням коду за Єдиним закупівельним словником</w:t>
            </w:r>
          </w:p>
        </w:tc>
        <w:tc>
          <w:tcPr>
            <w:tcW w:w="947" w:type="pct"/>
            <w:shd w:val="clear" w:color="auto" w:fill="DEEAF6"/>
          </w:tcPr>
          <w:p w14:paraId="3D26957A" w14:textId="77777777" w:rsidR="00A76484" w:rsidRPr="00B22493" w:rsidRDefault="00A76484" w:rsidP="00DB2D70">
            <w:pPr>
              <w:widowControl w:val="0"/>
              <w:contextualSpacing/>
              <w:jc w:val="center"/>
              <w:rPr>
                <w:b/>
                <w:noProof/>
                <w:lang w:val="uk-UA"/>
              </w:rPr>
            </w:pPr>
            <w:r w:rsidRPr="00B22493">
              <w:rPr>
                <w:b/>
                <w:noProof/>
                <w:lang w:val="uk-UA"/>
              </w:rPr>
              <w:t>Очікувана варт</w:t>
            </w:r>
            <w:r w:rsidR="00DB2D70" w:rsidRPr="00B22493">
              <w:rPr>
                <w:b/>
                <w:noProof/>
                <w:lang w:val="uk-UA"/>
              </w:rPr>
              <w:t>ість предмета закупівлі згідно р</w:t>
            </w:r>
            <w:r w:rsidRPr="00B22493">
              <w:rPr>
                <w:b/>
                <w:noProof/>
                <w:lang w:val="uk-UA"/>
              </w:rPr>
              <w:t>ічного плану закупівель</w:t>
            </w:r>
          </w:p>
        </w:tc>
        <w:tc>
          <w:tcPr>
            <w:tcW w:w="1102" w:type="pct"/>
            <w:shd w:val="clear" w:color="auto" w:fill="DEEAF6"/>
          </w:tcPr>
          <w:p w14:paraId="0C413800" w14:textId="77777777" w:rsidR="00A76484" w:rsidRPr="00B22493" w:rsidRDefault="00A76484" w:rsidP="002D4D30">
            <w:pPr>
              <w:widowControl w:val="0"/>
              <w:contextualSpacing/>
              <w:jc w:val="center"/>
              <w:rPr>
                <w:b/>
                <w:noProof/>
                <w:lang w:val="uk-UA"/>
              </w:rPr>
            </w:pPr>
            <w:r w:rsidRPr="00B22493">
              <w:rPr>
                <w:b/>
                <w:noProof/>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3D0E00D6" w14:textId="77777777" w:rsidR="00A76484" w:rsidRPr="00B22493" w:rsidRDefault="00A355EA" w:rsidP="002D4D30">
            <w:pPr>
              <w:widowControl w:val="0"/>
              <w:contextualSpacing/>
              <w:jc w:val="center"/>
              <w:rPr>
                <w:b/>
                <w:noProof/>
                <w:lang w:val="uk-UA"/>
              </w:rPr>
            </w:pPr>
            <w:r w:rsidRPr="00B22493">
              <w:rPr>
                <w:b/>
                <w:noProof/>
                <w:lang w:val="uk-UA"/>
              </w:rPr>
              <w:t>Ідентифікатор процедури закупівлі</w:t>
            </w:r>
          </w:p>
        </w:tc>
      </w:tr>
      <w:tr w:rsidR="00A76484" w:rsidRPr="00B22493" w14:paraId="4569798D" w14:textId="77777777" w:rsidTr="00212515">
        <w:tc>
          <w:tcPr>
            <w:tcW w:w="487" w:type="pct"/>
          </w:tcPr>
          <w:p w14:paraId="6B4BE530" w14:textId="513C2D73" w:rsidR="00A76484" w:rsidRPr="00B22493" w:rsidRDefault="004072F7" w:rsidP="005469FD">
            <w:pPr>
              <w:widowControl w:val="0"/>
              <w:ind w:right="-11"/>
              <w:jc w:val="center"/>
              <w:rPr>
                <w:noProof/>
                <w:lang w:val="uk-UA" w:eastAsia="uk-UA"/>
              </w:rPr>
            </w:pPr>
            <w:r w:rsidRPr="00B22493">
              <w:rPr>
                <w:noProof/>
                <w:lang w:val="uk-UA"/>
              </w:rPr>
              <w:t>п.</w:t>
            </w:r>
            <w:r w:rsidR="00A76484" w:rsidRPr="00B22493">
              <w:rPr>
                <w:noProof/>
                <w:lang w:val="uk-UA"/>
              </w:rPr>
              <w:t xml:space="preserve"> </w:t>
            </w:r>
            <w:r w:rsidR="00FA7A66" w:rsidRPr="00B22493">
              <w:rPr>
                <w:noProof/>
                <w:lang w:val="uk-UA"/>
              </w:rPr>
              <w:t xml:space="preserve">1.10 </w:t>
            </w:r>
            <w:r w:rsidR="00BD6E95" w:rsidRPr="00B22493">
              <w:rPr>
                <w:noProof/>
                <w:lang w:val="uk-UA" w:eastAsia="uk-UA"/>
              </w:rPr>
              <w:t>(202</w:t>
            </w:r>
            <w:r w:rsidR="009958B4" w:rsidRPr="00B22493">
              <w:rPr>
                <w:noProof/>
                <w:lang w:val="uk-UA" w:eastAsia="uk-UA"/>
              </w:rPr>
              <w:t>5</w:t>
            </w:r>
            <w:r w:rsidR="00A76484" w:rsidRPr="00B22493">
              <w:rPr>
                <w:noProof/>
                <w:lang w:val="uk-UA" w:eastAsia="uk-UA"/>
              </w:rPr>
              <w:t>)</w:t>
            </w:r>
          </w:p>
        </w:tc>
        <w:tc>
          <w:tcPr>
            <w:tcW w:w="1527" w:type="pct"/>
          </w:tcPr>
          <w:p w14:paraId="59A44830" w14:textId="4ABDFAA9" w:rsidR="00A76484" w:rsidRPr="00B22493" w:rsidRDefault="00FA7A66" w:rsidP="00A12478">
            <w:pPr>
              <w:widowControl w:val="0"/>
              <w:rPr>
                <w:bCs/>
                <w:noProof/>
                <w:lang w:val="uk-UA"/>
              </w:rPr>
            </w:pPr>
            <w:r w:rsidRPr="00B22493">
              <w:rPr>
                <w:b/>
                <w:noProof/>
                <w:lang w:val="uk-UA"/>
              </w:rPr>
              <w:t xml:space="preserve">Лабораторні дослідження питної води (Хімічний аналіз питної води), </w:t>
            </w:r>
            <w:r w:rsidRPr="00B22493">
              <w:rPr>
                <w:bCs/>
                <w:noProof/>
                <w:lang w:val="uk-UA"/>
              </w:rPr>
              <w:t xml:space="preserve">код </w:t>
            </w:r>
            <w:r w:rsidR="00C10171" w:rsidRPr="00B22493">
              <w:rPr>
                <w:bCs/>
                <w:noProof/>
                <w:lang w:val="uk-UA"/>
              </w:rPr>
              <w:t>ДК021-2015: 71610000-7 — Послуги з випробувань та аналізу складу і чистоти</w:t>
            </w:r>
          </w:p>
        </w:tc>
        <w:tc>
          <w:tcPr>
            <w:tcW w:w="947" w:type="pct"/>
          </w:tcPr>
          <w:p w14:paraId="0E724D0E" w14:textId="599A820F" w:rsidR="00A76484" w:rsidRPr="00B22493" w:rsidRDefault="00FA7A66" w:rsidP="002D4D30">
            <w:pPr>
              <w:widowControl w:val="0"/>
              <w:jc w:val="center"/>
              <w:rPr>
                <w:noProof/>
                <w:lang w:val="uk-UA"/>
              </w:rPr>
            </w:pPr>
            <w:r w:rsidRPr="00B22493">
              <w:rPr>
                <w:noProof/>
                <w:lang w:val="uk-UA"/>
              </w:rPr>
              <w:t>155 520,00</w:t>
            </w:r>
            <w:r w:rsidR="00A76484" w:rsidRPr="00B22493">
              <w:rPr>
                <w:noProof/>
                <w:lang w:val="uk-UA"/>
              </w:rPr>
              <w:t xml:space="preserve"> </w:t>
            </w:r>
          </w:p>
          <w:p w14:paraId="5202CFFA" w14:textId="77777777" w:rsidR="00A76484" w:rsidRPr="00B22493" w:rsidRDefault="00A76484" w:rsidP="002D4D30">
            <w:pPr>
              <w:widowControl w:val="0"/>
              <w:jc w:val="center"/>
              <w:rPr>
                <w:noProof/>
                <w:lang w:val="uk-UA"/>
              </w:rPr>
            </w:pPr>
            <w:r w:rsidRPr="00B22493">
              <w:rPr>
                <w:noProof/>
                <w:lang w:val="uk-UA"/>
              </w:rPr>
              <w:t>грн. з ПДВ</w:t>
            </w:r>
          </w:p>
        </w:tc>
        <w:tc>
          <w:tcPr>
            <w:tcW w:w="1102" w:type="pct"/>
          </w:tcPr>
          <w:p w14:paraId="50F18502" w14:textId="5B334C65" w:rsidR="00A76484" w:rsidRPr="00B22493" w:rsidRDefault="009958B4" w:rsidP="002D4D30">
            <w:pPr>
              <w:widowControl w:val="0"/>
              <w:jc w:val="center"/>
              <w:rPr>
                <w:noProof/>
                <w:lang w:val="uk-UA"/>
              </w:rPr>
            </w:pPr>
            <w:r w:rsidRPr="00B22493">
              <w:rPr>
                <w:noProof/>
                <w:lang w:val="uk-UA"/>
              </w:rPr>
              <w:t>129 600,00</w:t>
            </w:r>
          </w:p>
          <w:p w14:paraId="5C8879BD" w14:textId="77777777" w:rsidR="00A76484" w:rsidRPr="00B22493" w:rsidRDefault="00A76484" w:rsidP="002D4D30">
            <w:pPr>
              <w:widowControl w:val="0"/>
              <w:jc w:val="center"/>
              <w:rPr>
                <w:noProof/>
                <w:lang w:val="uk-UA"/>
              </w:rPr>
            </w:pPr>
            <w:r w:rsidRPr="00B22493">
              <w:rPr>
                <w:noProof/>
                <w:lang w:val="uk-UA"/>
              </w:rPr>
              <w:t xml:space="preserve">грн. без ПДВ </w:t>
            </w:r>
          </w:p>
        </w:tc>
        <w:tc>
          <w:tcPr>
            <w:tcW w:w="936" w:type="pct"/>
          </w:tcPr>
          <w:p w14:paraId="7AB32398" w14:textId="0E0775CC" w:rsidR="00A76484" w:rsidRPr="00B22493" w:rsidRDefault="008C4846" w:rsidP="002D4D30">
            <w:pPr>
              <w:widowControl w:val="0"/>
              <w:jc w:val="center"/>
              <w:rPr>
                <w:noProof/>
                <w:color w:val="0000FF"/>
                <w:lang w:val="uk-UA"/>
              </w:rPr>
            </w:pPr>
            <w:r w:rsidRPr="008C4846">
              <w:rPr>
                <w:b/>
                <w:noProof/>
                <w:lang w:val="uk-UA"/>
              </w:rPr>
              <w:t>UA-2025-05-22-006546-a</w:t>
            </w:r>
          </w:p>
        </w:tc>
      </w:tr>
    </w:tbl>
    <w:p w14:paraId="7A68EF76" w14:textId="77777777" w:rsidR="00A12478" w:rsidRPr="00B22493" w:rsidRDefault="00A12478" w:rsidP="0063471D">
      <w:pPr>
        <w:pStyle w:val="a4"/>
        <w:widowControl w:val="0"/>
        <w:jc w:val="both"/>
        <w:rPr>
          <w:noProof/>
          <w:sz w:val="24"/>
          <w:szCs w:val="24"/>
          <w:lang w:val="uk-UA"/>
        </w:rPr>
      </w:pPr>
    </w:p>
    <w:p w14:paraId="26B76885" w14:textId="77777777" w:rsidR="00A355EA" w:rsidRPr="00B22493" w:rsidRDefault="00A355EA" w:rsidP="00C62708">
      <w:pPr>
        <w:widowControl w:val="0"/>
        <w:shd w:val="clear" w:color="auto" w:fill="DEEAF6"/>
        <w:jc w:val="center"/>
        <w:rPr>
          <w:noProof/>
          <w:lang w:val="uk-UA"/>
        </w:rPr>
      </w:pPr>
      <w:r w:rsidRPr="00B22493">
        <w:rPr>
          <w:b/>
          <w:noProof/>
          <w:lang w:val="uk-UA"/>
        </w:rPr>
        <w:t>Обґрунтування на виконання вимог Постанови КМУ від 11.10.2016 № 710:</w:t>
      </w:r>
    </w:p>
    <w:p w14:paraId="65318A75" w14:textId="77777777" w:rsidR="006F428D" w:rsidRPr="00B22493"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0E3F4B" w:rsidRPr="00B22493" w14:paraId="100B2750" w14:textId="77777777" w:rsidTr="000E3F4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899AA08" w14:textId="77777777" w:rsidR="000E3F4B" w:rsidRPr="00B22493" w:rsidRDefault="000E3F4B" w:rsidP="000E3F4B">
            <w:pPr>
              <w:rPr>
                <w:noProof/>
                <w:lang w:val="uk-UA"/>
              </w:rPr>
            </w:pPr>
            <w:r w:rsidRPr="00B22493">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A1CD496" w14:textId="77777777" w:rsidR="000E3F4B" w:rsidRPr="00B22493" w:rsidRDefault="000E3F4B" w:rsidP="000E3F4B">
            <w:pPr>
              <w:rPr>
                <w:noProof/>
                <w:lang w:val="uk-UA"/>
              </w:rPr>
            </w:pPr>
            <w:r w:rsidRPr="00B22493">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AB1D866" w14:textId="77777777" w:rsidR="000E3F4B" w:rsidRPr="00B22493" w:rsidRDefault="000E3F4B" w:rsidP="000E3F4B">
            <w:pPr>
              <w:widowControl w:val="0"/>
              <w:jc w:val="both"/>
              <w:rPr>
                <w:noProof/>
                <w:lang w:val="uk-UA"/>
              </w:rPr>
            </w:pPr>
            <w:r w:rsidRPr="00B22493">
              <w:rPr>
                <w:b/>
                <w:noProof/>
                <w:lang w:val="uk-UA"/>
              </w:rPr>
              <w:t>Обґрунтування очікуваної вартості предмета закупівлі:</w:t>
            </w:r>
            <w:r w:rsidRPr="00B22493">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3C7A7B5" w14:textId="77777777" w:rsidR="000E3F4B" w:rsidRPr="00B22493" w:rsidRDefault="000E3F4B" w:rsidP="000E3F4B">
            <w:pPr>
              <w:widowControl w:val="0"/>
              <w:ind w:firstLine="284"/>
              <w:jc w:val="both"/>
              <w:rPr>
                <w:i/>
                <w:noProof/>
                <w:lang w:val="uk-UA"/>
              </w:rPr>
            </w:pPr>
            <w:r w:rsidRPr="00B22493">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B22493">
              <w:rPr>
                <w:i/>
                <w:noProof/>
                <w:lang w:val="uk-UA"/>
              </w:rPr>
              <w:t xml:space="preserve">  </w:t>
            </w:r>
          </w:p>
          <w:p w14:paraId="178F884C" w14:textId="3D799EC0" w:rsidR="000E3F4B" w:rsidRPr="00B22493" w:rsidRDefault="000E3F4B" w:rsidP="000E3F4B">
            <w:pPr>
              <w:rPr>
                <w:i/>
                <w:noProof/>
                <w:lang w:val="uk-UA"/>
              </w:rPr>
            </w:pPr>
            <w:r w:rsidRPr="00B22493">
              <w:rPr>
                <w:b/>
                <w:noProof/>
                <w:lang w:val="uk-UA"/>
              </w:rPr>
              <w:t>Обґрунтування обсягів закупівлі:</w:t>
            </w:r>
            <w:r w:rsidRPr="00B22493">
              <w:rPr>
                <w:noProof/>
                <w:lang w:val="uk-UA"/>
              </w:rPr>
              <w:t xml:space="preserve"> Обсяги визначено відповідно до очікуваної потреби.</w:t>
            </w:r>
          </w:p>
        </w:tc>
      </w:tr>
      <w:tr w:rsidR="000E3F4B" w:rsidRPr="00B22493" w14:paraId="1E2BF4F3" w14:textId="77777777" w:rsidTr="000E3F4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6EFED26" w14:textId="77777777" w:rsidR="000E3F4B" w:rsidRPr="00B22493" w:rsidRDefault="000E3F4B" w:rsidP="000E3F4B">
            <w:pPr>
              <w:rPr>
                <w:noProof/>
                <w:lang w:val="uk-UA"/>
              </w:rPr>
            </w:pPr>
            <w:r w:rsidRPr="00B22493">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69906B" w14:textId="77777777" w:rsidR="000E3F4B" w:rsidRPr="00B22493" w:rsidRDefault="000E3F4B" w:rsidP="000E3F4B">
            <w:pPr>
              <w:rPr>
                <w:noProof/>
                <w:lang w:val="uk-UA"/>
              </w:rPr>
            </w:pPr>
            <w:r w:rsidRPr="00B22493">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7DCBF6F9" w14:textId="77777777" w:rsidR="000E3F4B" w:rsidRPr="00B22493" w:rsidRDefault="000E3F4B" w:rsidP="000E3F4B">
            <w:pPr>
              <w:widowControl w:val="0"/>
              <w:tabs>
                <w:tab w:val="left" w:pos="1134"/>
              </w:tabs>
              <w:overflowPunct w:val="0"/>
              <w:autoSpaceDE w:val="0"/>
              <w:autoSpaceDN w:val="0"/>
              <w:adjustRightInd w:val="0"/>
              <w:textAlignment w:val="baseline"/>
              <w:rPr>
                <w:noProof/>
                <w:lang w:val="uk-UA"/>
              </w:rPr>
            </w:pPr>
            <w:r w:rsidRPr="00B22493">
              <w:rPr>
                <w:noProof/>
                <w:lang w:val="uk-UA"/>
              </w:rPr>
              <w:t>ДержСанПіН 2.2.4-171- 10 «Гігієнічні вимоги до води питної, призначеної для споживання людиною».</w:t>
            </w:r>
          </w:p>
          <w:p w14:paraId="14CEBCC0" w14:textId="77777777" w:rsidR="000E3F4B" w:rsidRPr="00B22493" w:rsidRDefault="000E3F4B" w:rsidP="000E3F4B">
            <w:pPr>
              <w:ind w:right="-1"/>
              <w:jc w:val="both"/>
              <w:rPr>
                <w:noProof/>
                <w:lang w:val="uk-UA"/>
              </w:rPr>
            </w:pPr>
            <w:r w:rsidRPr="00B22493">
              <w:rPr>
                <w:noProof/>
                <w:lang w:val="uk-UA"/>
              </w:rPr>
              <w:t>Лабораторні дослідження питної води (Хімічний аналіз питної води): Перелік показників скороченого контролю безпечності та якості питної води для централізованого водопостачання (водопровідна вода) (список 1):</w:t>
            </w:r>
          </w:p>
          <w:p w14:paraId="5A2BC2D4" w14:textId="77777777" w:rsidR="000E3F4B" w:rsidRPr="00B22493" w:rsidRDefault="000E3F4B" w:rsidP="000E3F4B">
            <w:pPr>
              <w:widowControl w:val="0"/>
              <w:tabs>
                <w:tab w:val="left" w:pos="1134"/>
              </w:tabs>
              <w:overflowPunct w:val="0"/>
              <w:autoSpaceDE w:val="0"/>
              <w:autoSpaceDN w:val="0"/>
              <w:adjustRightInd w:val="0"/>
              <w:textAlignment w:val="baseline"/>
              <w:rPr>
                <w:noProof/>
                <w:lang w:val="uk-UA"/>
              </w:rPr>
            </w:pPr>
            <w:r w:rsidRPr="00B22493">
              <w:rPr>
                <w:bCs/>
                <w:iCs/>
                <w:noProof/>
                <w:lang w:val="uk-UA"/>
              </w:rPr>
              <w:t xml:space="preserve">- </w:t>
            </w:r>
            <w:r w:rsidRPr="00B22493">
              <w:rPr>
                <w:noProof/>
                <w:lang w:val="uk-UA"/>
              </w:rPr>
              <w:t>запах; забарвленість; каламутність; смак та присмак; водневий показник; залізо загальне; загальна жорсткість; маргагець; хлориди; сульфати; сухий залишок; перманганатна окиснюваність; амоній; нітрити; нітрати; хлор залишковий загальний.</w:t>
            </w:r>
          </w:p>
          <w:p w14:paraId="5BDE17E1" w14:textId="77777777" w:rsidR="000E3F4B" w:rsidRPr="00B22493" w:rsidRDefault="000E3F4B" w:rsidP="000E3F4B">
            <w:pPr>
              <w:pStyle w:val="af9"/>
              <w:widowControl w:val="0"/>
              <w:spacing w:after="0"/>
              <w:jc w:val="both"/>
              <w:rPr>
                <w:noProof/>
                <w:lang w:val="uk-UA"/>
              </w:rPr>
            </w:pPr>
            <w:r w:rsidRPr="00B22493">
              <w:rPr>
                <w:noProof/>
                <w:lang w:val="uk-UA"/>
              </w:rPr>
              <w:lastRenderedPageBreak/>
              <w:t xml:space="preserve">Лабораторні дослідження питної води (Хімічний аналіз питної води): Перелік показників повного контролю безпечності та якості питної води: для централізованого водопостачання (водопровідна вода) (список 2):  </w:t>
            </w:r>
          </w:p>
          <w:p w14:paraId="7246FCE9" w14:textId="77777777" w:rsidR="000E3F4B" w:rsidRPr="00B22493" w:rsidRDefault="000E3F4B" w:rsidP="000E3F4B">
            <w:pPr>
              <w:widowControl w:val="0"/>
              <w:tabs>
                <w:tab w:val="left" w:pos="1134"/>
              </w:tabs>
              <w:overflowPunct w:val="0"/>
              <w:autoSpaceDE w:val="0"/>
              <w:autoSpaceDN w:val="0"/>
              <w:adjustRightInd w:val="0"/>
              <w:textAlignment w:val="baseline"/>
              <w:rPr>
                <w:noProof/>
                <w:lang w:val="uk-UA"/>
              </w:rPr>
            </w:pPr>
            <w:r w:rsidRPr="00B22493">
              <w:rPr>
                <w:noProof/>
                <w:lang w:val="uk-UA"/>
              </w:rPr>
              <w:t>- запах; забарвленість; каламутність; смак та присмак; водневий показник; залізо загальне; загальна жорсткість; загальна лужність; кальцій; магній; маргагець; мідь; поліфосфати; сульфати;</w:t>
            </w:r>
            <w:r w:rsidRPr="00B22493">
              <w:rPr>
                <w:b/>
                <w:noProof/>
                <w:lang w:val="uk-UA"/>
              </w:rPr>
              <w:t xml:space="preserve"> </w:t>
            </w:r>
            <w:r w:rsidRPr="00B22493">
              <w:rPr>
                <w:noProof/>
                <w:lang w:val="uk-UA"/>
              </w:rPr>
              <w:t>сухий залишок;  хлориди; цинк; алюміній; амоній; кадмій; кремній; миш՚як; молібден; нітрати; нітрити; свинець; фториди; перманганатна окиснюваність;</w:t>
            </w:r>
            <w:r w:rsidRPr="00B22493">
              <w:rPr>
                <w:b/>
                <w:noProof/>
                <w:lang w:val="uk-UA"/>
              </w:rPr>
              <w:t xml:space="preserve"> </w:t>
            </w:r>
            <w:r w:rsidRPr="00B22493">
              <w:rPr>
                <w:noProof/>
                <w:lang w:val="uk-UA"/>
              </w:rPr>
              <w:t xml:space="preserve">залишковий хлор загальний; нафтопродукти; поверхнево активні речовини аніонні; кобальт; нікель; хром загальний.  </w:t>
            </w:r>
          </w:p>
          <w:p w14:paraId="28615F3F" w14:textId="77777777" w:rsidR="000E3F4B" w:rsidRPr="00B22493" w:rsidRDefault="000E3F4B" w:rsidP="000E3F4B">
            <w:pPr>
              <w:pStyle w:val="af9"/>
              <w:widowControl w:val="0"/>
              <w:spacing w:after="0"/>
              <w:jc w:val="both"/>
              <w:rPr>
                <w:noProof/>
                <w:lang w:val="uk-UA"/>
              </w:rPr>
            </w:pPr>
            <w:r w:rsidRPr="00B22493">
              <w:rPr>
                <w:noProof/>
                <w:lang w:val="uk-UA"/>
              </w:rPr>
              <w:t xml:space="preserve">Лабораторні дослідження питної води (Хімічний  аналіз питної води):  Перелік показників повного контролю безпечності та якості питної води для централізованого водопостачання без попередньої підготовки (артезіанські свердловини) (список 3): </w:t>
            </w:r>
          </w:p>
          <w:p w14:paraId="785F3D9D" w14:textId="3A8FBD3E" w:rsidR="000E3F4B" w:rsidRPr="00B22493" w:rsidRDefault="000E3F4B" w:rsidP="000E3F4B">
            <w:pPr>
              <w:rPr>
                <w:i/>
                <w:noProof/>
                <w:lang w:val="uk-UA"/>
              </w:rPr>
            </w:pPr>
            <w:r w:rsidRPr="00B22493">
              <w:rPr>
                <w:noProof/>
                <w:lang w:val="uk-UA"/>
              </w:rPr>
              <w:t>- запах; забарвленість; каламутність; смак та присмак; водневий показник; залізо загальне; загальна жорсткість; загальна лужність; кальцій; магній; маргагець; мідь; поліфосфати; сульфати;</w:t>
            </w:r>
            <w:r w:rsidRPr="00B22493">
              <w:rPr>
                <w:b/>
                <w:noProof/>
                <w:lang w:val="uk-UA"/>
              </w:rPr>
              <w:t xml:space="preserve"> </w:t>
            </w:r>
            <w:r w:rsidRPr="00B22493">
              <w:rPr>
                <w:noProof/>
                <w:lang w:val="uk-UA"/>
              </w:rPr>
              <w:t>сухий залишок; хлориди; цинк; алюміній; амоній; кадмій; кремній; миш՚як; молібден; натрій та калій (сума); нітрати; нітрити; свинець; срібло; фториди; перманганатна окиснюваність;</w:t>
            </w:r>
            <w:r w:rsidRPr="00B22493">
              <w:rPr>
                <w:b/>
                <w:noProof/>
                <w:lang w:val="uk-UA"/>
              </w:rPr>
              <w:t xml:space="preserve"> </w:t>
            </w:r>
            <w:r w:rsidRPr="00B22493">
              <w:rPr>
                <w:noProof/>
                <w:lang w:val="uk-UA"/>
              </w:rPr>
              <w:t>нафтопродукти; поверхнево активні речевини аніонні; кобальт; нікель; хром загальний; берилій; сурма; селен; стронцій; феноли.</w:t>
            </w:r>
          </w:p>
        </w:tc>
      </w:tr>
      <w:tr w:rsidR="000E3F4B" w:rsidRPr="00B22493" w14:paraId="06C082A9" w14:textId="77777777" w:rsidTr="000E3F4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760C414" w14:textId="77777777" w:rsidR="000E3F4B" w:rsidRPr="00B22493" w:rsidRDefault="000E3F4B" w:rsidP="000E3F4B">
            <w:pPr>
              <w:rPr>
                <w:bCs/>
                <w:noProof/>
                <w:lang w:val="uk-UA"/>
              </w:rPr>
            </w:pPr>
            <w:r w:rsidRPr="00B22493">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4EF6C6" w14:textId="77777777" w:rsidR="000E3F4B" w:rsidRPr="00B22493" w:rsidRDefault="000E3F4B" w:rsidP="000E3F4B">
            <w:pPr>
              <w:rPr>
                <w:noProof/>
                <w:lang w:val="uk-UA"/>
              </w:rPr>
            </w:pPr>
            <w:r w:rsidRPr="00B22493">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375BC6B2" w14:textId="77777777" w:rsidR="000E3F4B" w:rsidRPr="00B22493" w:rsidRDefault="000E3F4B" w:rsidP="000E3F4B">
            <w:pPr>
              <w:widowControl w:val="0"/>
              <w:rPr>
                <w:noProof/>
                <w:lang w:val="uk-UA"/>
              </w:rPr>
            </w:pPr>
            <w:r w:rsidRPr="00B22493">
              <w:rPr>
                <w:b/>
                <w:noProof/>
                <w:lang w:val="uk-UA"/>
              </w:rPr>
              <w:t>Спосіб проведення моніторингу ринку</w:t>
            </w:r>
            <w:r w:rsidRPr="00B22493">
              <w:rPr>
                <w:noProof/>
                <w:lang w:val="uk-UA"/>
              </w:rPr>
              <w:t xml:space="preserve"> </w:t>
            </w:r>
          </w:p>
          <w:p w14:paraId="56E265F7" w14:textId="77777777" w:rsidR="000E3F4B" w:rsidRPr="00B22493" w:rsidRDefault="000E3F4B" w:rsidP="000E3F4B">
            <w:pPr>
              <w:widowControl w:val="0"/>
              <w:rPr>
                <w:noProof/>
                <w:lang w:val="uk-UA"/>
              </w:rPr>
            </w:pPr>
            <w:r w:rsidRPr="00B22493">
              <w:rPr>
                <w:noProof/>
                <w:lang w:val="uk-UA"/>
              </w:rPr>
              <w:t xml:space="preserve">Було проведено моніторинг ринку, направлено низку запитів підприємствам, що виконують відповідну послугу на наступні електронні пошти:  </w:t>
            </w:r>
          </w:p>
          <w:p w14:paraId="466EA3A0" w14:textId="77777777" w:rsidR="000E3F4B" w:rsidRPr="00B22493" w:rsidRDefault="000E3F4B" w:rsidP="000E3F4B">
            <w:pPr>
              <w:widowControl w:val="0"/>
              <w:rPr>
                <w:noProof/>
                <w:lang w:val="uk-UA"/>
              </w:rPr>
            </w:pPr>
            <w:r w:rsidRPr="00B22493">
              <w:rPr>
                <w:noProof/>
                <w:lang w:val="uk-UA"/>
              </w:rPr>
              <w:t xml:space="preserve">- Державна установа «Київський обласний центр контролю та профілактики хвороб Міністерства охорони здоров'я України» - </w:t>
            </w:r>
            <w:hyperlink r:id="rId9" w:history="1">
              <w:r w:rsidRPr="00B22493">
                <w:rPr>
                  <w:rStyle w:val="af"/>
                  <w:noProof/>
                  <w:lang w:val="uk-UA"/>
                </w:rPr>
                <w:t>ses@viaduk.net</w:t>
              </w:r>
            </w:hyperlink>
            <w:r w:rsidRPr="00B22493">
              <w:rPr>
                <w:noProof/>
                <w:lang w:val="uk-UA"/>
              </w:rPr>
              <w:t>;</w:t>
            </w:r>
          </w:p>
          <w:p w14:paraId="1D88045F" w14:textId="77777777" w:rsidR="000E3F4B" w:rsidRPr="00B22493" w:rsidRDefault="000E3F4B" w:rsidP="000E3F4B">
            <w:pPr>
              <w:widowControl w:val="0"/>
              <w:rPr>
                <w:noProof/>
                <w:lang w:val="uk-UA"/>
              </w:rPr>
            </w:pPr>
            <w:r w:rsidRPr="00B22493">
              <w:rPr>
                <w:noProof/>
                <w:lang w:val="uk-UA"/>
              </w:rPr>
              <w:t>- ТОВ «БІЛОЦЕРКІВВОДА» - office@bcvoda.com.ua;</w:t>
            </w:r>
          </w:p>
          <w:p w14:paraId="061C82C9" w14:textId="77777777" w:rsidR="000E3F4B" w:rsidRPr="00B22493" w:rsidRDefault="000E3F4B" w:rsidP="000E3F4B">
            <w:pPr>
              <w:widowControl w:val="0"/>
              <w:rPr>
                <w:b/>
                <w:noProof/>
                <w:u w:val="single"/>
                <w:lang w:val="uk-UA"/>
              </w:rPr>
            </w:pPr>
            <w:r w:rsidRPr="00B22493">
              <w:rPr>
                <w:noProof/>
                <w:lang w:val="uk-UA"/>
              </w:rPr>
              <w:t>- ТОВ «УКРХІМАНАЛІЗ» - info@himanaliz.ua</w:t>
            </w:r>
          </w:p>
          <w:p w14:paraId="0ED21D6F" w14:textId="77777777" w:rsidR="000E3F4B" w:rsidRPr="00B22493" w:rsidRDefault="000E3F4B" w:rsidP="000E3F4B">
            <w:pPr>
              <w:widowControl w:val="0"/>
              <w:rPr>
                <w:noProof/>
                <w:lang w:val="uk-UA"/>
              </w:rPr>
            </w:pPr>
            <w:r w:rsidRPr="00B22493">
              <w:rPr>
                <w:noProof/>
                <w:lang w:val="uk-UA"/>
              </w:rPr>
              <w:t xml:space="preserve">- </w:t>
            </w:r>
            <w:r w:rsidRPr="00B22493">
              <w:rPr>
                <w:rFonts w:eastAsiaTheme="minorHAnsi"/>
                <w:bCs/>
                <w:noProof/>
                <w:lang w:val="uk-UA" w:eastAsia="en-US"/>
              </w:rPr>
              <w:t>Корпорація «Науково-виробниче об’єднання «Технології захисту довкілля»</w:t>
            </w:r>
            <w:r w:rsidRPr="00B22493">
              <w:rPr>
                <w:noProof/>
                <w:lang w:val="uk-UA"/>
              </w:rPr>
              <w:t xml:space="preserve"> - </w:t>
            </w:r>
            <w:r w:rsidRPr="00B22493">
              <w:rPr>
                <w:noProof/>
                <w:bdr w:val="none" w:sz="0" w:space="0" w:color="auto" w:frame="1"/>
                <w:lang w:val="uk-UA"/>
              </w:rPr>
              <w:t>environmentalscienceinukraine@gmail.com</w:t>
            </w:r>
            <w:r w:rsidRPr="00B22493">
              <w:rPr>
                <w:noProof/>
                <w:lang w:val="uk-UA"/>
              </w:rPr>
              <w:t>.</w:t>
            </w:r>
          </w:p>
          <w:p w14:paraId="2DBFD895" w14:textId="77777777" w:rsidR="000E3F4B" w:rsidRPr="00B22493" w:rsidRDefault="000E3F4B" w:rsidP="000E3F4B">
            <w:pPr>
              <w:widowControl w:val="0"/>
              <w:rPr>
                <w:noProof/>
                <w:lang w:val="uk-UA"/>
              </w:rPr>
            </w:pPr>
            <w:r w:rsidRPr="00B22493">
              <w:rPr>
                <w:noProof/>
                <w:lang w:val="uk-UA"/>
              </w:rPr>
              <w:t xml:space="preserve">-ТОВ «МОНОЛІТ-ЕКО» - </w:t>
            </w:r>
            <w:hyperlink r:id="rId10" w:history="1">
              <w:r w:rsidRPr="00B22493">
                <w:rPr>
                  <w:rStyle w:val="af"/>
                  <w:noProof/>
                  <w:lang w:val="uk-UA"/>
                </w:rPr>
                <w:t>office@monolit-eko.com.ua</w:t>
              </w:r>
            </w:hyperlink>
          </w:p>
          <w:p w14:paraId="33E49AE1" w14:textId="77777777" w:rsidR="000E3F4B" w:rsidRPr="00B22493" w:rsidRDefault="000E3F4B" w:rsidP="000E3F4B">
            <w:pPr>
              <w:widowControl w:val="0"/>
              <w:rPr>
                <w:noProof/>
                <w:lang w:val="uk-UA"/>
              </w:rPr>
            </w:pPr>
            <w:r w:rsidRPr="00B22493">
              <w:rPr>
                <w:noProof/>
                <w:lang w:val="uk-UA"/>
              </w:rPr>
              <w:t>- Державна установа «Інститут громадського здоровя ім. О.М.Марзєєва Національної Академії Медичних Наук України» - 5131528@ukr.net;</w:t>
            </w:r>
          </w:p>
          <w:p w14:paraId="3882ADED" w14:textId="64167FE7" w:rsidR="000E3F4B" w:rsidRPr="00B22493" w:rsidRDefault="000E3F4B" w:rsidP="000E3F4B">
            <w:pPr>
              <w:rPr>
                <w:i/>
                <w:noProof/>
                <w:lang w:val="uk-UA"/>
              </w:rPr>
            </w:pPr>
            <w:r w:rsidRPr="00B22493">
              <w:rPr>
                <w:noProof/>
                <w:lang w:val="uk-UA"/>
              </w:rPr>
              <w:t>Отримані пропозиції використані для проведення аналізу ринку. Також було враховано досвід попередніх закупівель ДП МА «Бориспіль» (договір № 35.1-14/8.3-00075 від 17.05.2023)</w:t>
            </w:r>
          </w:p>
        </w:tc>
      </w:tr>
    </w:tbl>
    <w:p w14:paraId="226138B5" w14:textId="11DC9375" w:rsidR="00255DAC" w:rsidRDefault="00255DAC" w:rsidP="00A12478">
      <w:pPr>
        <w:rPr>
          <w:b/>
          <w:noProof/>
          <w:lang w:val="uk-UA"/>
        </w:rPr>
      </w:pPr>
    </w:p>
    <w:p w14:paraId="5611BCFB" w14:textId="77777777" w:rsidR="00255DAC" w:rsidRDefault="00255DAC">
      <w:pPr>
        <w:rPr>
          <w:b/>
          <w:noProof/>
          <w:lang w:val="uk-UA"/>
        </w:rPr>
      </w:pPr>
      <w:r>
        <w:rPr>
          <w:b/>
          <w:noProof/>
          <w:lang w:val="uk-UA"/>
        </w:rPr>
        <w:br w:type="page"/>
      </w:r>
    </w:p>
    <w:p w14:paraId="34BB55EF" w14:textId="77777777" w:rsidR="006F428D" w:rsidRPr="00B22493" w:rsidRDefault="006F428D" w:rsidP="00A12478">
      <w:pPr>
        <w:rPr>
          <w:b/>
          <w:noProof/>
          <w:lang w:val="uk-UA"/>
        </w:rPr>
      </w:pPr>
    </w:p>
    <w:p w14:paraId="06C92AC9" w14:textId="77777777" w:rsidR="006926A0" w:rsidRPr="00B22493" w:rsidRDefault="006926A0" w:rsidP="006926A0">
      <w:pPr>
        <w:ind w:firstLine="567"/>
        <w:jc w:val="both"/>
        <w:rPr>
          <w:noProof/>
          <w:lang w:val="uk-UA"/>
        </w:rPr>
      </w:pPr>
      <w:r w:rsidRPr="00B22493">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6E7B08E1" w14:textId="77777777" w:rsidR="006F428D" w:rsidRPr="00B22493" w:rsidRDefault="006F428D" w:rsidP="00A12478">
      <w:pPr>
        <w:rPr>
          <w:b/>
          <w:noProof/>
          <w:lang w:val="uk-UA"/>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371"/>
        <w:gridCol w:w="1134"/>
        <w:gridCol w:w="993"/>
      </w:tblGrid>
      <w:tr w:rsidR="00782B31" w:rsidRPr="00B22493" w14:paraId="764383FF" w14:textId="77777777" w:rsidTr="001F5748">
        <w:trPr>
          <w:trHeight w:val="533"/>
        </w:trPr>
        <w:tc>
          <w:tcPr>
            <w:tcW w:w="634" w:type="dxa"/>
            <w:tcBorders>
              <w:top w:val="single" w:sz="4" w:space="0" w:color="auto"/>
              <w:left w:val="single" w:sz="4" w:space="0" w:color="auto"/>
              <w:right w:val="single" w:sz="4" w:space="0" w:color="auto"/>
            </w:tcBorders>
            <w:shd w:val="clear" w:color="auto" w:fill="D9E2F3"/>
          </w:tcPr>
          <w:p w14:paraId="0864AD1D" w14:textId="77777777" w:rsidR="00782B31" w:rsidRPr="00B22493" w:rsidRDefault="00782B31" w:rsidP="001F5748">
            <w:pPr>
              <w:widowControl w:val="0"/>
              <w:jc w:val="center"/>
              <w:rPr>
                <w:noProof/>
                <w:lang w:val="uk-UA"/>
              </w:rPr>
            </w:pPr>
            <w:r w:rsidRPr="00B22493">
              <w:rPr>
                <w:noProof/>
                <w:lang w:val="uk-UA"/>
              </w:rPr>
              <w:t>№ п/п</w:t>
            </w:r>
          </w:p>
        </w:tc>
        <w:tc>
          <w:tcPr>
            <w:tcW w:w="7371" w:type="dxa"/>
            <w:tcBorders>
              <w:top w:val="single" w:sz="4" w:space="0" w:color="auto"/>
              <w:left w:val="single" w:sz="4" w:space="0" w:color="auto"/>
              <w:right w:val="single" w:sz="4" w:space="0" w:color="auto"/>
            </w:tcBorders>
            <w:shd w:val="clear" w:color="auto" w:fill="D9E2F3"/>
          </w:tcPr>
          <w:p w14:paraId="1951E2FE" w14:textId="77777777" w:rsidR="00782B31" w:rsidRPr="00B22493" w:rsidRDefault="00782B31" w:rsidP="001F5748">
            <w:pPr>
              <w:widowControl w:val="0"/>
              <w:jc w:val="center"/>
              <w:rPr>
                <w:noProof/>
                <w:lang w:val="uk-UA"/>
              </w:rPr>
            </w:pPr>
            <w:r w:rsidRPr="00B22493">
              <w:rPr>
                <w:noProof/>
                <w:lang w:val="uk-UA"/>
              </w:rPr>
              <w:t>Найменування послуги та технічні та якісні характеристики предмета закупівлі</w:t>
            </w:r>
          </w:p>
        </w:tc>
        <w:tc>
          <w:tcPr>
            <w:tcW w:w="1134" w:type="dxa"/>
            <w:tcBorders>
              <w:top w:val="single" w:sz="4" w:space="0" w:color="auto"/>
              <w:left w:val="single" w:sz="4" w:space="0" w:color="auto"/>
              <w:right w:val="single" w:sz="4" w:space="0" w:color="auto"/>
            </w:tcBorders>
            <w:shd w:val="clear" w:color="auto" w:fill="D9E2F3"/>
          </w:tcPr>
          <w:p w14:paraId="757DD940" w14:textId="77777777" w:rsidR="00782B31" w:rsidRPr="00B22493" w:rsidRDefault="00782B31" w:rsidP="001F5748">
            <w:pPr>
              <w:widowControl w:val="0"/>
              <w:jc w:val="center"/>
              <w:rPr>
                <w:noProof/>
                <w:lang w:val="uk-UA"/>
              </w:rPr>
            </w:pPr>
            <w:r w:rsidRPr="00B22493">
              <w:rPr>
                <w:noProof/>
                <w:lang w:val="uk-UA"/>
              </w:rPr>
              <w:t>Одиниця</w:t>
            </w:r>
          </w:p>
          <w:p w14:paraId="7804682E" w14:textId="77777777" w:rsidR="00782B31" w:rsidRPr="00B22493" w:rsidRDefault="00782B31" w:rsidP="001F5748">
            <w:pPr>
              <w:widowControl w:val="0"/>
              <w:jc w:val="center"/>
              <w:rPr>
                <w:noProof/>
                <w:lang w:val="uk-UA"/>
              </w:rPr>
            </w:pPr>
            <w:r w:rsidRPr="00B22493">
              <w:rPr>
                <w:noProof/>
                <w:lang w:val="uk-UA"/>
              </w:rPr>
              <w:t>виміру</w:t>
            </w:r>
          </w:p>
        </w:tc>
        <w:tc>
          <w:tcPr>
            <w:tcW w:w="993" w:type="dxa"/>
            <w:tcBorders>
              <w:top w:val="single" w:sz="4" w:space="0" w:color="auto"/>
              <w:left w:val="single" w:sz="4" w:space="0" w:color="auto"/>
              <w:right w:val="single" w:sz="4" w:space="0" w:color="auto"/>
            </w:tcBorders>
            <w:shd w:val="clear" w:color="auto" w:fill="D9E2F3"/>
          </w:tcPr>
          <w:p w14:paraId="5C1D9755" w14:textId="77777777" w:rsidR="00782B31" w:rsidRPr="00B22493" w:rsidRDefault="00782B31" w:rsidP="001F5748">
            <w:pPr>
              <w:widowControl w:val="0"/>
              <w:jc w:val="center"/>
              <w:rPr>
                <w:noProof/>
                <w:lang w:val="uk-UA"/>
              </w:rPr>
            </w:pPr>
            <w:r w:rsidRPr="00B22493">
              <w:rPr>
                <w:noProof/>
                <w:lang w:val="uk-UA"/>
              </w:rPr>
              <w:t>Кількість</w:t>
            </w:r>
          </w:p>
        </w:tc>
      </w:tr>
      <w:tr w:rsidR="00782B31" w:rsidRPr="00B22493" w14:paraId="166F77A5" w14:textId="77777777" w:rsidTr="001F5748">
        <w:trPr>
          <w:trHeight w:val="229"/>
        </w:trPr>
        <w:tc>
          <w:tcPr>
            <w:tcW w:w="634" w:type="dxa"/>
            <w:tcBorders>
              <w:top w:val="single" w:sz="4" w:space="0" w:color="auto"/>
              <w:left w:val="single" w:sz="4" w:space="0" w:color="auto"/>
              <w:right w:val="single" w:sz="4" w:space="0" w:color="auto"/>
            </w:tcBorders>
            <w:shd w:val="clear" w:color="auto" w:fill="auto"/>
          </w:tcPr>
          <w:p w14:paraId="172BD1F7" w14:textId="77777777" w:rsidR="00782B31" w:rsidRPr="00B22493" w:rsidRDefault="00782B31" w:rsidP="001F5748">
            <w:pPr>
              <w:widowControl w:val="0"/>
              <w:rPr>
                <w:noProof/>
                <w:lang w:val="uk-UA"/>
              </w:rPr>
            </w:pPr>
            <w:r w:rsidRPr="00B22493">
              <w:rPr>
                <w:noProof/>
                <w:lang w:val="uk-UA"/>
              </w:rPr>
              <w:t>1</w:t>
            </w:r>
          </w:p>
        </w:tc>
        <w:tc>
          <w:tcPr>
            <w:tcW w:w="7371" w:type="dxa"/>
            <w:tcBorders>
              <w:top w:val="single" w:sz="4" w:space="0" w:color="auto"/>
              <w:left w:val="single" w:sz="4" w:space="0" w:color="auto"/>
              <w:right w:val="single" w:sz="4" w:space="0" w:color="auto"/>
            </w:tcBorders>
            <w:shd w:val="clear" w:color="auto" w:fill="auto"/>
          </w:tcPr>
          <w:p w14:paraId="07229BD1" w14:textId="77777777" w:rsidR="00782B31" w:rsidRPr="00B22493" w:rsidRDefault="00782B31" w:rsidP="001F5748">
            <w:pPr>
              <w:ind w:right="-1"/>
              <w:rPr>
                <w:noProof/>
                <w:lang w:val="uk-UA"/>
              </w:rPr>
            </w:pPr>
            <w:r w:rsidRPr="00B22493">
              <w:rPr>
                <w:noProof/>
                <w:lang w:val="uk-UA"/>
              </w:rPr>
              <w:t>Лабораторні дослідження питної води (Хімічний аналіз питної води): Перелік показників скороченого контролю безпечності та якості питної води для централізованого водопостачання (водопровідна вода) (список 1):</w:t>
            </w:r>
          </w:p>
          <w:p w14:paraId="55C06569" w14:textId="77777777" w:rsidR="00782B31" w:rsidRPr="00B22493" w:rsidRDefault="00782B31" w:rsidP="001F5748">
            <w:pPr>
              <w:widowControl w:val="0"/>
              <w:rPr>
                <w:b/>
                <w:noProof/>
                <w:lang w:val="uk-UA"/>
              </w:rPr>
            </w:pPr>
            <w:r w:rsidRPr="00B22493">
              <w:rPr>
                <w:bCs/>
                <w:iCs/>
                <w:noProof/>
                <w:lang w:val="uk-UA"/>
              </w:rPr>
              <w:t xml:space="preserve">- </w:t>
            </w:r>
            <w:r w:rsidRPr="00B22493">
              <w:rPr>
                <w:noProof/>
                <w:lang w:val="uk-UA"/>
              </w:rPr>
              <w:t>запах; забарвленість; каламутність; смак та присмак; водневий показник; залізо загальне; загальна жорсткість; маргагець; хлориди; сульфати; сухий залишок; перманганатна окиснюваність; амоній; нітрити; нітрати; хлор залишковий загальний.</w:t>
            </w:r>
          </w:p>
        </w:tc>
        <w:tc>
          <w:tcPr>
            <w:tcW w:w="1134" w:type="dxa"/>
            <w:tcBorders>
              <w:top w:val="single" w:sz="4" w:space="0" w:color="auto"/>
              <w:left w:val="single" w:sz="4" w:space="0" w:color="auto"/>
              <w:right w:val="single" w:sz="4" w:space="0" w:color="auto"/>
            </w:tcBorders>
            <w:shd w:val="clear" w:color="auto" w:fill="auto"/>
            <w:vAlign w:val="center"/>
          </w:tcPr>
          <w:p w14:paraId="50FF47BB" w14:textId="77777777" w:rsidR="00782B31" w:rsidRPr="00B22493" w:rsidRDefault="00782B31" w:rsidP="001F5748">
            <w:pPr>
              <w:widowControl w:val="0"/>
              <w:rPr>
                <w:b/>
                <w:noProof/>
                <w:lang w:val="uk-UA"/>
              </w:rPr>
            </w:pPr>
            <w:r w:rsidRPr="00B22493">
              <w:rPr>
                <w:noProof/>
                <w:lang w:val="uk-UA"/>
              </w:rPr>
              <w:t>Послуга</w:t>
            </w:r>
          </w:p>
        </w:tc>
        <w:tc>
          <w:tcPr>
            <w:tcW w:w="993" w:type="dxa"/>
            <w:tcBorders>
              <w:top w:val="single" w:sz="4" w:space="0" w:color="auto"/>
              <w:left w:val="single" w:sz="4" w:space="0" w:color="auto"/>
              <w:right w:val="single" w:sz="4" w:space="0" w:color="auto"/>
            </w:tcBorders>
            <w:shd w:val="clear" w:color="auto" w:fill="auto"/>
            <w:vAlign w:val="center"/>
          </w:tcPr>
          <w:p w14:paraId="6C6FC1EC" w14:textId="77777777" w:rsidR="00782B31" w:rsidRPr="00B22493" w:rsidRDefault="00782B31" w:rsidP="001F5748">
            <w:pPr>
              <w:widowControl w:val="0"/>
              <w:rPr>
                <w:b/>
                <w:noProof/>
                <w:lang w:val="uk-UA"/>
              </w:rPr>
            </w:pPr>
            <w:r w:rsidRPr="00B22493">
              <w:rPr>
                <w:noProof/>
                <w:lang w:val="uk-UA"/>
              </w:rPr>
              <w:t>40</w:t>
            </w:r>
          </w:p>
        </w:tc>
      </w:tr>
      <w:tr w:rsidR="00782B31" w:rsidRPr="00B22493" w14:paraId="301E45CC" w14:textId="77777777" w:rsidTr="001F5748">
        <w:trPr>
          <w:trHeight w:val="229"/>
        </w:trPr>
        <w:tc>
          <w:tcPr>
            <w:tcW w:w="634" w:type="dxa"/>
            <w:tcBorders>
              <w:top w:val="single" w:sz="4" w:space="0" w:color="auto"/>
              <w:left w:val="single" w:sz="4" w:space="0" w:color="auto"/>
              <w:right w:val="single" w:sz="4" w:space="0" w:color="auto"/>
            </w:tcBorders>
            <w:shd w:val="clear" w:color="auto" w:fill="auto"/>
          </w:tcPr>
          <w:p w14:paraId="4D4DA0A0" w14:textId="77777777" w:rsidR="00782B31" w:rsidRPr="00B22493" w:rsidRDefault="00782B31" w:rsidP="001F5748">
            <w:pPr>
              <w:widowControl w:val="0"/>
              <w:rPr>
                <w:noProof/>
                <w:lang w:val="uk-UA"/>
              </w:rPr>
            </w:pPr>
            <w:r w:rsidRPr="00B22493">
              <w:rPr>
                <w:noProof/>
                <w:lang w:val="uk-UA"/>
              </w:rPr>
              <w:t>2</w:t>
            </w:r>
          </w:p>
        </w:tc>
        <w:tc>
          <w:tcPr>
            <w:tcW w:w="7371" w:type="dxa"/>
            <w:tcBorders>
              <w:top w:val="single" w:sz="4" w:space="0" w:color="auto"/>
              <w:left w:val="single" w:sz="4" w:space="0" w:color="auto"/>
              <w:right w:val="single" w:sz="4" w:space="0" w:color="auto"/>
            </w:tcBorders>
            <w:shd w:val="clear" w:color="auto" w:fill="auto"/>
          </w:tcPr>
          <w:p w14:paraId="3617EFFE" w14:textId="77777777" w:rsidR="00782B31" w:rsidRPr="00B22493" w:rsidRDefault="00782B31" w:rsidP="001F5748">
            <w:pPr>
              <w:pStyle w:val="af9"/>
              <w:widowControl w:val="0"/>
              <w:spacing w:after="0"/>
              <w:rPr>
                <w:noProof/>
                <w:lang w:val="uk-UA"/>
              </w:rPr>
            </w:pPr>
            <w:r w:rsidRPr="00B22493">
              <w:rPr>
                <w:noProof/>
                <w:lang w:val="uk-UA"/>
              </w:rPr>
              <w:t xml:space="preserve">Лабораторні дослідження питної води (Хімічний аналіз питної води): Перелік показників повного контролю безпечності та якості питної води: для централізованого водопостачання (водопровідна вода) (список 2):  </w:t>
            </w:r>
          </w:p>
          <w:p w14:paraId="4F5EC342" w14:textId="77777777" w:rsidR="00782B31" w:rsidRPr="00B22493" w:rsidRDefault="00782B31" w:rsidP="001F5748">
            <w:pPr>
              <w:widowControl w:val="0"/>
              <w:rPr>
                <w:b/>
                <w:noProof/>
                <w:lang w:val="uk-UA"/>
              </w:rPr>
            </w:pPr>
            <w:r w:rsidRPr="00B22493">
              <w:rPr>
                <w:noProof/>
                <w:lang w:val="uk-UA"/>
              </w:rPr>
              <w:t>- запах; забарвленість; каламутність; смак та присмак; водневий показник; залізо загальне; загальна жорсткість; загальна лужність; кальцій; магній; маргагець; мідь; поліфосфати; сульфати;</w:t>
            </w:r>
            <w:r w:rsidRPr="00B22493">
              <w:rPr>
                <w:b/>
                <w:noProof/>
                <w:lang w:val="uk-UA"/>
              </w:rPr>
              <w:t xml:space="preserve"> </w:t>
            </w:r>
            <w:r w:rsidRPr="00B22493">
              <w:rPr>
                <w:noProof/>
                <w:lang w:val="uk-UA"/>
              </w:rPr>
              <w:t>сухий залишок;  хлориди; цинк; алюміній; амоній; кадмій; кремній; миш՚як; молібден; нітрати; нітрити; свинець; фториди; перманганатна окиснюваність;</w:t>
            </w:r>
            <w:r w:rsidRPr="00B22493">
              <w:rPr>
                <w:b/>
                <w:noProof/>
                <w:lang w:val="uk-UA"/>
              </w:rPr>
              <w:t xml:space="preserve"> </w:t>
            </w:r>
            <w:r w:rsidRPr="00B22493">
              <w:rPr>
                <w:noProof/>
                <w:lang w:val="uk-UA"/>
              </w:rPr>
              <w:t xml:space="preserve">залишковий хлор загальний; нафтопродукти; поверхнево активні речовини аніонні; кобальт; нікель; хром загальний.  </w:t>
            </w:r>
          </w:p>
        </w:tc>
        <w:tc>
          <w:tcPr>
            <w:tcW w:w="1134" w:type="dxa"/>
            <w:tcBorders>
              <w:top w:val="single" w:sz="4" w:space="0" w:color="auto"/>
              <w:left w:val="single" w:sz="4" w:space="0" w:color="auto"/>
              <w:right w:val="single" w:sz="4" w:space="0" w:color="auto"/>
            </w:tcBorders>
            <w:shd w:val="clear" w:color="auto" w:fill="auto"/>
            <w:vAlign w:val="center"/>
          </w:tcPr>
          <w:p w14:paraId="0175889B" w14:textId="77777777" w:rsidR="00782B31" w:rsidRPr="00B22493" w:rsidRDefault="00782B31" w:rsidP="001F5748">
            <w:pPr>
              <w:widowControl w:val="0"/>
              <w:rPr>
                <w:b/>
                <w:noProof/>
                <w:lang w:val="uk-UA"/>
              </w:rPr>
            </w:pPr>
            <w:r w:rsidRPr="00B22493">
              <w:rPr>
                <w:noProof/>
                <w:lang w:val="uk-UA"/>
              </w:rPr>
              <w:t>Послуга</w:t>
            </w:r>
          </w:p>
        </w:tc>
        <w:tc>
          <w:tcPr>
            <w:tcW w:w="993" w:type="dxa"/>
            <w:tcBorders>
              <w:top w:val="single" w:sz="4" w:space="0" w:color="auto"/>
              <w:left w:val="single" w:sz="4" w:space="0" w:color="auto"/>
              <w:right w:val="single" w:sz="4" w:space="0" w:color="auto"/>
            </w:tcBorders>
            <w:shd w:val="clear" w:color="auto" w:fill="auto"/>
            <w:vAlign w:val="center"/>
          </w:tcPr>
          <w:p w14:paraId="15065CAE" w14:textId="77777777" w:rsidR="00782B31" w:rsidRPr="00B22493" w:rsidRDefault="00782B31" w:rsidP="001F5748">
            <w:pPr>
              <w:widowControl w:val="0"/>
              <w:rPr>
                <w:b/>
                <w:noProof/>
                <w:lang w:val="uk-UA"/>
              </w:rPr>
            </w:pPr>
            <w:r w:rsidRPr="00B22493">
              <w:rPr>
                <w:noProof/>
                <w:lang w:val="uk-UA"/>
              </w:rPr>
              <w:t>6</w:t>
            </w:r>
          </w:p>
        </w:tc>
      </w:tr>
      <w:tr w:rsidR="00782B31" w:rsidRPr="00B22493" w14:paraId="00601107" w14:textId="77777777" w:rsidTr="001F5748">
        <w:trPr>
          <w:trHeight w:val="229"/>
        </w:trPr>
        <w:tc>
          <w:tcPr>
            <w:tcW w:w="634" w:type="dxa"/>
            <w:tcBorders>
              <w:top w:val="single" w:sz="4" w:space="0" w:color="auto"/>
              <w:left w:val="single" w:sz="4" w:space="0" w:color="auto"/>
              <w:right w:val="single" w:sz="4" w:space="0" w:color="auto"/>
            </w:tcBorders>
            <w:shd w:val="clear" w:color="auto" w:fill="auto"/>
          </w:tcPr>
          <w:p w14:paraId="14686623" w14:textId="77777777" w:rsidR="00782B31" w:rsidRPr="00B22493" w:rsidRDefault="00782B31" w:rsidP="001F5748">
            <w:pPr>
              <w:widowControl w:val="0"/>
              <w:rPr>
                <w:bCs/>
                <w:noProof/>
                <w:lang w:val="uk-UA"/>
              </w:rPr>
            </w:pPr>
            <w:r w:rsidRPr="00B22493">
              <w:rPr>
                <w:bCs/>
                <w:noProof/>
                <w:lang w:val="uk-UA"/>
              </w:rPr>
              <w:t>3</w:t>
            </w:r>
          </w:p>
        </w:tc>
        <w:tc>
          <w:tcPr>
            <w:tcW w:w="7371" w:type="dxa"/>
            <w:tcBorders>
              <w:top w:val="single" w:sz="4" w:space="0" w:color="auto"/>
              <w:left w:val="single" w:sz="4" w:space="0" w:color="auto"/>
              <w:right w:val="single" w:sz="4" w:space="0" w:color="auto"/>
            </w:tcBorders>
            <w:shd w:val="clear" w:color="auto" w:fill="auto"/>
          </w:tcPr>
          <w:p w14:paraId="0422FF55" w14:textId="77777777" w:rsidR="00782B31" w:rsidRPr="00B22493" w:rsidRDefault="00782B31" w:rsidP="001F5748">
            <w:pPr>
              <w:pStyle w:val="af9"/>
              <w:widowControl w:val="0"/>
              <w:spacing w:after="0"/>
              <w:rPr>
                <w:noProof/>
                <w:lang w:val="uk-UA"/>
              </w:rPr>
            </w:pPr>
            <w:r w:rsidRPr="00B22493">
              <w:rPr>
                <w:noProof/>
                <w:lang w:val="uk-UA"/>
              </w:rPr>
              <w:t xml:space="preserve">Лабораторні дослідження питної води (Хімічний  аналіз питної води): Перелік показників повного контролю безпечності та якості питної води для централізованого водопостачання без попередньої підготовки (артезіанські свердловини) (список 3): </w:t>
            </w:r>
          </w:p>
          <w:p w14:paraId="4DAA1AF6" w14:textId="77777777" w:rsidR="00782B31" w:rsidRPr="00B22493" w:rsidRDefault="00782B31" w:rsidP="001F5748">
            <w:pPr>
              <w:widowControl w:val="0"/>
              <w:rPr>
                <w:b/>
                <w:noProof/>
                <w:lang w:val="uk-UA"/>
              </w:rPr>
            </w:pPr>
            <w:r w:rsidRPr="00B22493">
              <w:rPr>
                <w:noProof/>
                <w:lang w:val="uk-UA"/>
              </w:rPr>
              <w:t>- запах; забарвленість; каламутність; смак та присмак; водневий показник; залізо загальне; загальна жорсткість; загальна лужність; кальцій; магній; маргагець; мідь; поліфосфати; сульфати;</w:t>
            </w:r>
            <w:r w:rsidRPr="00B22493">
              <w:rPr>
                <w:b/>
                <w:noProof/>
                <w:lang w:val="uk-UA"/>
              </w:rPr>
              <w:t xml:space="preserve"> </w:t>
            </w:r>
            <w:r w:rsidRPr="00B22493">
              <w:rPr>
                <w:noProof/>
                <w:lang w:val="uk-UA"/>
              </w:rPr>
              <w:t>сухий залишок; хлориди; цинк; алюміній; амоній; кадмій; кремній; миш՚як; молібден; натрій та калій (сума); нітрати; нітрити; свинець; срібло; фториди; перманганатна окиснюваність;</w:t>
            </w:r>
            <w:r w:rsidRPr="00B22493">
              <w:rPr>
                <w:b/>
                <w:noProof/>
                <w:lang w:val="uk-UA"/>
              </w:rPr>
              <w:t xml:space="preserve"> </w:t>
            </w:r>
            <w:r w:rsidRPr="00B22493">
              <w:rPr>
                <w:noProof/>
                <w:lang w:val="uk-UA"/>
              </w:rPr>
              <w:t>нафтопродукти; поверхнево активні речевини аніонні; кобальт; нікель; хром загальний; берилій; сурма; селен; стронцій; феноли.</w:t>
            </w:r>
          </w:p>
        </w:tc>
        <w:tc>
          <w:tcPr>
            <w:tcW w:w="1134" w:type="dxa"/>
            <w:tcBorders>
              <w:top w:val="single" w:sz="4" w:space="0" w:color="auto"/>
              <w:left w:val="single" w:sz="4" w:space="0" w:color="auto"/>
              <w:right w:val="single" w:sz="4" w:space="0" w:color="auto"/>
            </w:tcBorders>
            <w:shd w:val="clear" w:color="auto" w:fill="auto"/>
            <w:vAlign w:val="center"/>
          </w:tcPr>
          <w:p w14:paraId="11D91E9B" w14:textId="77777777" w:rsidR="00782B31" w:rsidRPr="00B22493" w:rsidRDefault="00782B31" w:rsidP="001F5748">
            <w:pPr>
              <w:widowControl w:val="0"/>
              <w:rPr>
                <w:b/>
                <w:noProof/>
                <w:lang w:val="uk-UA"/>
              </w:rPr>
            </w:pPr>
            <w:r w:rsidRPr="00B22493">
              <w:rPr>
                <w:noProof/>
                <w:lang w:val="uk-UA"/>
              </w:rPr>
              <w:t>Послуга</w:t>
            </w:r>
          </w:p>
        </w:tc>
        <w:tc>
          <w:tcPr>
            <w:tcW w:w="993" w:type="dxa"/>
            <w:tcBorders>
              <w:top w:val="single" w:sz="4" w:space="0" w:color="auto"/>
              <w:left w:val="single" w:sz="4" w:space="0" w:color="auto"/>
              <w:right w:val="single" w:sz="4" w:space="0" w:color="auto"/>
            </w:tcBorders>
            <w:shd w:val="clear" w:color="auto" w:fill="auto"/>
            <w:vAlign w:val="center"/>
          </w:tcPr>
          <w:p w14:paraId="5177EA30" w14:textId="77777777" w:rsidR="00782B31" w:rsidRPr="00B22493" w:rsidRDefault="00782B31" w:rsidP="001F5748">
            <w:pPr>
              <w:widowControl w:val="0"/>
              <w:rPr>
                <w:b/>
                <w:noProof/>
                <w:lang w:val="uk-UA"/>
              </w:rPr>
            </w:pPr>
            <w:r w:rsidRPr="00B22493">
              <w:rPr>
                <w:noProof/>
                <w:lang w:val="uk-UA"/>
              </w:rPr>
              <w:t>16</w:t>
            </w:r>
          </w:p>
        </w:tc>
      </w:tr>
    </w:tbl>
    <w:p w14:paraId="73B84A9C" w14:textId="77777777" w:rsidR="006F428D" w:rsidRPr="00B22493" w:rsidRDefault="006F428D" w:rsidP="00A12478">
      <w:pPr>
        <w:rPr>
          <w:b/>
          <w:noProof/>
          <w:lang w:val="uk-UA"/>
        </w:rPr>
      </w:pPr>
    </w:p>
    <w:sectPr w:rsidR="006F428D" w:rsidRPr="00B22493" w:rsidSect="00F318CA">
      <w:headerReference w:type="even" r:id="rId11"/>
      <w:headerReference w:type="default" r:id="rId12"/>
      <w:footerReference w:type="default" r:id="rId13"/>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82DE2" w14:textId="77777777" w:rsidR="002864D0" w:rsidRDefault="002864D0">
      <w:r>
        <w:separator/>
      </w:r>
    </w:p>
  </w:endnote>
  <w:endnote w:type="continuationSeparator" w:id="0">
    <w:p w14:paraId="11B793B7" w14:textId="77777777" w:rsidR="002864D0" w:rsidRDefault="0028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w:altName w:val="Calibri"/>
    <w:charset w:val="00"/>
    <w:family w:val="roman"/>
    <w:pitch w:val="default"/>
  </w:font>
  <w:font w:name="Aptos Displa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5B5A" w14:textId="623764F2" w:rsidR="00A256E7" w:rsidRPr="00A256E7" w:rsidRDefault="009A172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C0ECEE4" wp14:editId="0DA3E76B">
              <wp:simplePos x="0" y="0"/>
              <wp:positionH relativeFrom="column">
                <wp:posOffset>-180340</wp:posOffset>
              </wp:positionH>
              <wp:positionV relativeFrom="paragraph">
                <wp:posOffset>7620</wp:posOffset>
              </wp:positionV>
              <wp:extent cx="6357620" cy="14605"/>
              <wp:effectExtent l="10160" t="7620" r="13970" b="6350"/>
              <wp:wrapNone/>
              <wp:docPr id="144558449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BB92C"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FA7A66">
      <w:rPr>
        <w:sz w:val="20"/>
        <w:szCs w:val="20"/>
        <w:lang w:val="uk-UA"/>
      </w:rPr>
      <w:t xml:space="preserve">Лабораторні дослідження питної води (Хімічний аналіз питної води), код </w:t>
    </w:r>
    <w:r w:rsidR="00546C6D" w:rsidRPr="00546C6D">
      <w:rPr>
        <w:sz w:val="20"/>
        <w:szCs w:val="20"/>
        <w:lang w:val="uk-UA"/>
      </w:rPr>
      <w:t>ДК021-2015: 71610000-7 — Послуги з випробувань та аналізу складу і чистоти</w:t>
    </w:r>
  </w:p>
  <w:p w14:paraId="5F20331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5D72" w14:textId="77777777" w:rsidR="002864D0" w:rsidRDefault="002864D0">
      <w:r>
        <w:separator/>
      </w:r>
    </w:p>
  </w:footnote>
  <w:footnote w:type="continuationSeparator" w:id="0">
    <w:p w14:paraId="29ABC6A4" w14:textId="77777777" w:rsidR="002864D0" w:rsidRDefault="0028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4806"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D04E997"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1994" w14:textId="72194D1B" w:rsidR="002D6492" w:rsidRPr="003C4B6B" w:rsidRDefault="009A1721"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9CAE97C" wp14:editId="4E3F6BD9">
              <wp:simplePos x="0" y="0"/>
              <wp:positionH relativeFrom="column">
                <wp:posOffset>-17145</wp:posOffset>
              </wp:positionH>
              <wp:positionV relativeFrom="paragraph">
                <wp:posOffset>476885</wp:posOffset>
              </wp:positionV>
              <wp:extent cx="6329045" cy="13970"/>
              <wp:effectExtent l="11430" t="10160" r="12700" b="13970"/>
              <wp:wrapNone/>
              <wp:docPr id="10234442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F117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86C4137" wp14:editId="05911C28">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88816450">
    <w:abstractNumId w:val="20"/>
  </w:num>
  <w:num w:numId="2" w16cid:durableId="656421026">
    <w:abstractNumId w:val="22"/>
  </w:num>
  <w:num w:numId="3" w16cid:durableId="1991133310">
    <w:abstractNumId w:val="0"/>
  </w:num>
  <w:num w:numId="4" w16cid:durableId="1201549865">
    <w:abstractNumId w:val="23"/>
  </w:num>
  <w:num w:numId="5" w16cid:durableId="138957045">
    <w:abstractNumId w:val="7"/>
  </w:num>
  <w:num w:numId="6" w16cid:durableId="214850064">
    <w:abstractNumId w:val="5"/>
  </w:num>
  <w:num w:numId="7" w16cid:durableId="1903641488">
    <w:abstractNumId w:val="6"/>
  </w:num>
  <w:num w:numId="8" w16cid:durableId="685865604">
    <w:abstractNumId w:val="19"/>
  </w:num>
  <w:num w:numId="9" w16cid:durableId="1719862086">
    <w:abstractNumId w:val="1"/>
  </w:num>
  <w:num w:numId="10" w16cid:durableId="1150831930">
    <w:abstractNumId w:val="16"/>
  </w:num>
  <w:num w:numId="11" w16cid:durableId="1810004953">
    <w:abstractNumId w:val="14"/>
  </w:num>
  <w:num w:numId="12" w16cid:durableId="2099055877">
    <w:abstractNumId w:val="12"/>
  </w:num>
  <w:num w:numId="13" w16cid:durableId="513155705">
    <w:abstractNumId w:val="13"/>
  </w:num>
  <w:num w:numId="14" w16cid:durableId="855922349">
    <w:abstractNumId w:val="3"/>
  </w:num>
  <w:num w:numId="15" w16cid:durableId="1657806956">
    <w:abstractNumId w:val="15"/>
  </w:num>
  <w:num w:numId="16" w16cid:durableId="2056394209">
    <w:abstractNumId w:val="2"/>
  </w:num>
  <w:num w:numId="17" w16cid:durableId="411970944">
    <w:abstractNumId w:val="11"/>
  </w:num>
  <w:num w:numId="18" w16cid:durableId="1027682275">
    <w:abstractNumId w:val="4"/>
  </w:num>
  <w:num w:numId="19" w16cid:durableId="1091581454">
    <w:abstractNumId w:val="8"/>
  </w:num>
  <w:num w:numId="20" w16cid:durableId="143007610">
    <w:abstractNumId w:val="18"/>
  </w:num>
  <w:num w:numId="21" w16cid:durableId="953635283">
    <w:abstractNumId w:val="9"/>
  </w:num>
  <w:num w:numId="22" w16cid:durableId="1529177463">
    <w:abstractNumId w:val="17"/>
  </w:num>
  <w:num w:numId="23" w16cid:durableId="1663505275">
    <w:abstractNumId w:val="10"/>
  </w:num>
  <w:num w:numId="24" w16cid:durableId="257061289">
    <w:abstractNumId w:val="21"/>
  </w:num>
  <w:num w:numId="25" w16cid:durableId="668676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3BC8"/>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D68"/>
    <w:rsid w:val="000C2F14"/>
    <w:rsid w:val="000C3178"/>
    <w:rsid w:val="000C56F1"/>
    <w:rsid w:val="000D3C06"/>
    <w:rsid w:val="000D44DA"/>
    <w:rsid w:val="000D6028"/>
    <w:rsid w:val="000D70B0"/>
    <w:rsid w:val="000D75BD"/>
    <w:rsid w:val="000E2913"/>
    <w:rsid w:val="000E2BFF"/>
    <w:rsid w:val="000E3F4B"/>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55DAC"/>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4D0"/>
    <w:rsid w:val="0028695D"/>
    <w:rsid w:val="00287504"/>
    <w:rsid w:val="0029087B"/>
    <w:rsid w:val="00291EC5"/>
    <w:rsid w:val="00293A34"/>
    <w:rsid w:val="00293C3F"/>
    <w:rsid w:val="00294DFE"/>
    <w:rsid w:val="00296EA2"/>
    <w:rsid w:val="00297835"/>
    <w:rsid w:val="00297FA9"/>
    <w:rsid w:val="002A135F"/>
    <w:rsid w:val="002A256A"/>
    <w:rsid w:val="002A6F16"/>
    <w:rsid w:val="002A7A88"/>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6C6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2B31"/>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4715"/>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4846"/>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58B4"/>
    <w:rsid w:val="00997E8A"/>
    <w:rsid w:val="009A005F"/>
    <w:rsid w:val="009A0825"/>
    <w:rsid w:val="009A112C"/>
    <w:rsid w:val="009A1721"/>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2493"/>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19B4"/>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71"/>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17B"/>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A7A66"/>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861A6"/>
  <w15:chartTrackingRefBased/>
  <w15:docId w15:val="{452F987B-D9B2-4747-88E9-26E8581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Body Text"/>
    <w:basedOn w:val="a"/>
    <w:link w:val="afa"/>
    <w:rsid w:val="00782B31"/>
    <w:pPr>
      <w:spacing w:after="120"/>
    </w:pPr>
  </w:style>
  <w:style w:type="character" w:customStyle="1" w:styleId="afa">
    <w:name w:val="Основний текст Знак"/>
    <w:basedOn w:val="a0"/>
    <w:link w:val="af9"/>
    <w:rsid w:val="00782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monolit-eko.com.ua" TargetMode="External"/><Relationship Id="rId4" Type="http://schemas.openxmlformats.org/officeDocument/2006/relationships/settings" Target="settings.xml"/><Relationship Id="rId9" Type="http://schemas.openxmlformats.org/officeDocument/2006/relationships/hyperlink" Target="mailto:ses@viaduk.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6314</Characters>
  <Application>Microsoft Office Word</Application>
  <DocSecurity>0</DocSecurity>
  <Lines>52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12</cp:revision>
  <cp:lastPrinted>2021-11-17T09:02:00Z</cp:lastPrinted>
  <dcterms:created xsi:type="dcterms:W3CDTF">2025-05-21T08:19:00Z</dcterms:created>
  <dcterms:modified xsi:type="dcterms:W3CDTF">2025-05-22T12:45:00Z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