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397666DF" w14:textId="77777777" w:rsidTr="001021AF">
        <w:tc>
          <w:tcPr>
            <w:tcW w:w="4683" w:type="dxa"/>
          </w:tcPr>
          <w:p w14:paraId="094D4816" w14:textId="12BABD9F" w:rsidR="00825A6B" w:rsidRPr="007101A5" w:rsidRDefault="0096563F" w:rsidP="006926A0">
            <w:pPr>
              <w:pStyle w:val="a4"/>
              <w:widowControl w:val="0"/>
              <w:rPr>
                <w:szCs w:val="17"/>
                <w:lang w:val="uk-UA"/>
              </w:rPr>
            </w:pPr>
            <w:r>
              <w:rPr>
                <w:noProof/>
                <w:lang w:val="uk-UA"/>
              </w:rPr>
              <w:drawing>
                <wp:inline distT="0" distB="0" distL="0" distR="0" wp14:anchorId="79A2C422" wp14:editId="17C8C695">
                  <wp:extent cx="1446530" cy="28829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6530" cy="288290"/>
                          </a:xfrm>
                          <a:prstGeom prst="rect">
                            <a:avLst/>
                          </a:prstGeom>
                          <a:noFill/>
                          <a:ln>
                            <a:noFill/>
                          </a:ln>
                        </pic:spPr>
                      </pic:pic>
                    </a:graphicData>
                  </a:graphic>
                </wp:inline>
              </w:drawing>
            </w:r>
          </w:p>
        </w:tc>
        <w:tc>
          <w:tcPr>
            <w:tcW w:w="5171" w:type="dxa"/>
          </w:tcPr>
          <w:p w14:paraId="74D32EA8"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64B1EBD9"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18B1D7C0"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79AE9426"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31643A93" w14:textId="77777777" w:rsidTr="00C62708">
        <w:tc>
          <w:tcPr>
            <w:tcW w:w="9854" w:type="dxa"/>
            <w:gridSpan w:val="2"/>
          </w:tcPr>
          <w:p w14:paraId="0E55569A" w14:textId="77777777" w:rsidR="003C4B6B" w:rsidRPr="007101A5" w:rsidRDefault="003C4B6B" w:rsidP="007D7B6F">
            <w:pPr>
              <w:pStyle w:val="1"/>
              <w:keepNext w:val="0"/>
              <w:widowControl w:val="0"/>
              <w:rPr>
                <w:sz w:val="28"/>
                <w:szCs w:val="28"/>
              </w:rPr>
            </w:pPr>
          </w:p>
          <w:p w14:paraId="7AE80066"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6D27D412" w14:textId="77777777" w:rsidR="005F3529" w:rsidRPr="007101A5" w:rsidRDefault="005F3529" w:rsidP="0063471D">
      <w:pPr>
        <w:pStyle w:val="a4"/>
        <w:widowControl w:val="0"/>
        <w:jc w:val="both"/>
        <w:rPr>
          <w:sz w:val="24"/>
          <w:szCs w:val="24"/>
          <w:lang w:val="uk-UA"/>
        </w:rPr>
      </w:pPr>
    </w:p>
    <w:p w14:paraId="2BFF98FF"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079D3C31" w14:textId="77777777"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7101A5" w14:paraId="3B2922D4" w14:textId="77777777" w:rsidTr="00C62708">
        <w:tc>
          <w:tcPr>
            <w:tcW w:w="487" w:type="pct"/>
            <w:shd w:val="clear" w:color="auto" w:fill="DEEAF6"/>
          </w:tcPr>
          <w:p w14:paraId="361AD734"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14:paraId="3EBEB098"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348994BB"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ічного плану закупівель</w:t>
            </w:r>
          </w:p>
        </w:tc>
        <w:tc>
          <w:tcPr>
            <w:tcW w:w="1102" w:type="pct"/>
            <w:shd w:val="clear" w:color="auto" w:fill="DEEAF6"/>
          </w:tcPr>
          <w:p w14:paraId="1D1B97C9"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469AC94B"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14:paraId="54331844" w14:textId="77777777" w:rsidTr="00212515">
        <w:tc>
          <w:tcPr>
            <w:tcW w:w="487" w:type="pct"/>
          </w:tcPr>
          <w:p w14:paraId="3429FE07" w14:textId="571DF43B" w:rsidR="00A76484" w:rsidRPr="007101A5" w:rsidRDefault="00A76484" w:rsidP="005469FD">
            <w:pPr>
              <w:widowControl w:val="0"/>
              <w:ind w:right="-11"/>
              <w:jc w:val="center"/>
              <w:rPr>
                <w:sz w:val="22"/>
                <w:szCs w:val="22"/>
                <w:lang w:val="uk-UA" w:eastAsia="uk-UA"/>
              </w:rPr>
            </w:pPr>
            <w:r w:rsidRPr="007101A5">
              <w:rPr>
                <w:sz w:val="22"/>
                <w:szCs w:val="22"/>
                <w:lang w:val="uk-UA"/>
              </w:rPr>
              <w:t xml:space="preserve"> </w:t>
            </w:r>
            <w:r w:rsidR="00E438AC" w:rsidRPr="006B2506">
              <w:rPr>
                <w:sz w:val="22"/>
                <w:szCs w:val="22"/>
                <w:lang w:val="uk-UA"/>
              </w:rPr>
              <w:t xml:space="preserve">9.01 </w:t>
            </w:r>
            <w:r w:rsidR="00BD6E95" w:rsidRPr="006B2506">
              <w:rPr>
                <w:sz w:val="22"/>
                <w:szCs w:val="22"/>
                <w:lang w:val="uk-UA" w:eastAsia="uk-UA"/>
              </w:rPr>
              <w:t>(202</w:t>
            </w:r>
            <w:r w:rsidR="006B2506" w:rsidRPr="006B2506">
              <w:rPr>
                <w:sz w:val="22"/>
                <w:szCs w:val="22"/>
                <w:lang w:val="uk-UA" w:eastAsia="uk-UA"/>
              </w:rPr>
              <w:t>5</w:t>
            </w:r>
            <w:r w:rsidRPr="006B2506">
              <w:rPr>
                <w:sz w:val="22"/>
                <w:szCs w:val="22"/>
                <w:lang w:val="uk-UA" w:eastAsia="uk-UA"/>
              </w:rPr>
              <w:t>)</w:t>
            </w:r>
          </w:p>
        </w:tc>
        <w:tc>
          <w:tcPr>
            <w:tcW w:w="1527" w:type="pct"/>
          </w:tcPr>
          <w:p w14:paraId="4A03124F" w14:textId="655DF14B" w:rsidR="00A76484" w:rsidRPr="007101A5" w:rsidRDefault="00E438AC" w:rsidP="00A12478">
            <w:pPr>
              <w:widowControl w:val="0"/>
              <w:rPr>
                <w:bCs/>
                <w:sz w:val="22"/>
                <w:szCs w:val="22"/>
                <w:lang w:val="uk-UA"/>
              </w:rPr>
            </w:pPr>
            <w:r>
              <w:rPr>
                <w:b/>
                <w:sz w:val="22"/>
                <w:szCs w:val="22"/>
                <w:lang w:val="uk-UA"/>
              </w:rPr>
              <w:t xml:space="preserve">Струна косильна, </w:t>
            </w:r>
            <w:r w:rsidRPr="006B2506">
              <w:rPr>
                <w:bCs/>
                <w:sz w:val="22"/>
                <w:szCs w:val="22"/>
                <w:lang w:val="uk-UA"/>
              </w:rPr>
              <w:t>код ДК 021:2015 - 16810000-6 - Частини для сільськогосподарської техніки</w:t>
            </w:r>
            <w:r>
              <w:rPr>
                <w:b/>
                <w:sz w:val="22"/>
                <w:szCs w:val="22"/>
                <w:lang w:val="uk-UA"/>
              </w:rPr>
              <w:t xml:space="preserve"> </w:t>
            </w:r>
          </w:p>
        </w:tc>
        <w:tc>
          <w:tcPr>
            <w:tcW w:w="947" w:type="pct"/>
          </w:tcPr>
          <w:p w14:paraId="72E22A47" w14:textId="3C7537FA" w:rsidR="00A76484" w:rsidRPr="006B2506" w:rsidRDefault="00E438AC" w:rsidP="002D4D30">
            <w:pPr>
              <w:widowControl w:val="0"/>
              <w:jc w:val="center"/>
              <w:rPr>
                <w:sz w:val="22"/>
                <w:szCs w:val="22"/>
                <w:lang w:val="uk-UA"/>
              </w:rPr>
            </w:pPr>
            <w:r w:rsidRPr="006B2506">
              <w:rPr>
                <w:sz w:val="22"/>
                <w:szCs w:val="22"/>
                <w:lang w:val="uk-UA"/>
              </w:rPr>
              <w:t>74 713,00</w:t>
            </w:r>
            <w:r w:rsidR="00A76484" w:rsidRPr="006B2506">
              <w:rPr>
                <w:sz w:val="22"/>
                <w:szCs w:val="22"/>
                <w:lang w:val="uk-UA"/>
              </w:rPr>
              <w:t xml:space="preserve"> </w:t>
            </w:r>
          </w:p>
          <w:p w14:paraId="697CCDDE" w14:textId="77777777" w:rsidR="00A76484" w:rsidRPr="006B2506" w:rsidRDefault="00A76484" w:rsidP="002D4D30">
            <w:pPr>
              <w:widowControl w:val="0"/>
              <w:jc w:val="center"/>
              <w:rPr>
                <w:sz w:val="22"/>
                <w:szCs w:val="22"/>
                <w:lang w:val="uk-UA"/>
              </w:rPr>
            </w:pPr>
            <w:r w:rsidRPr="006B2506">
              <w:rPr>
                <w:sz w:val="22"/>
                <w:szCs w:val="22"/>
                <w:lang w:val="uk-UA"/>
              </w:rPr>
              <w:t>грн. з ПДВ</w:t>
            </w:r>
          </w:p>
        </w:tc>
        <w:tc>
          <w:tcPr>
            <w:tcW w:w="1102" w:type="pct"/>
          </w:tcPr>
          <w:p w14:paraId="73F2A306" w14:textId="4223C284" w:rsidR="00A76484" w:rsidRPr="006B2506" w:rsidRDefault="006B2506" w:rsidP="002D4D30">
            <w:pPr>
              <w:widowControl w:val="0"/>
              <w:jc w:val="center"/>
              <w:rPr>
                <w:sz w:val="22"/>
                <w:szCs w:val="22"/>
                <w:lang w:val="uk-UA"/>
              </w:rPr>
            </w:pPr>
            <w:r w:rsidRPr="006B2506">
              <w:rPr>
                <w:sz w:val="22"/>
                <w:szCs w:val="22"/>
                <w:lang w:val="uk-UA"/>
              </w:rPr>
              <w:t>62 260,83</w:t>
            </w:r>
          </w:p>
          <w:p w14:paraId="3E65142B" w14:textId="77777777" w:rsidR="00A76484" w:rsidRPr="006B2506" w:rsidRDefault="00A76484" w:rsidP="002D4D30">
            <w:pPr>
              <w:widowControl w:val="0"/>
              <w:jc w:val="center"/>
              <w:rPr>
                <w:sz w:val="22"/>
                <w:szCs w:val="22"/>
                <w:lang w:val="uk-UA"/>
              </w:rPr>
            </w:pPr>
            <w:r w:rsidRPr="006B2506">
              <w:rPr>
                <w:sz w:val="22"/>
                <w:szCs w:val="22"/>
                <w:lang w:val="uk-UA"/>
              </w:rPr>
              <w:t xml:space="preserve">грн. без ПДВ </w:t>
            </w:r>
          </w:p>
        </w:tc>
        <w:tc>
          <w:tcPr>
            <w:tcW w:w="936" w:type="pct"/>
          </w:tcPr>
          <w:p w14:paraId="46C37A2E" w14:textId="532E1F9E" w:rsidR="00A76484" w:rsidRPr="006B2506" w:rsidRDefault="000F33FC" w:rsidP="002D4D30">
            <w:pPr>
              <w:widowControl w:val="0"/>
              <w:jc w:val="center"/>
              <w:rPr>
                <w:bCs/>
                <w:color w:val="0000FF"/>
                <w:sz w:val="22"/>
                <w:szCs w:val="22"/>
                <w:lang w:val="uk-UA"/>
              </w:rPr>
            </w:pPr>
            <w:r w:rsidRPr="000F33FC">
              <w:rPr>
                <w:bCs/>
                <w:sz w:val="22"/>
                <w:szCs w:val="22"/>
                <w:lang w:val="uk-UA"/>
              </w:rPr>
              <w:t>UA-2025-05-20-001324-a</w:t>
            </w:r>
          </w:p>
        </w:tc>
      </w:tr>
    </w:tbl>
    <w:p w14:paraId="4736D593" w14:textId="77777777" w:rsidR="00A12478" w:rsidRPr="007101A5" w:rsidRDefault="00A12478" w:rsidP="0063471D">
      <w:pPr>
        <w:pStyle w:val="a4"/>
        <w:widowControl w:val="0"/>
        <w:jc w:val="both"/>
        <w:rPr>
          <w:sz w:val="24"/>
          <w:szCs w:val="24"/>
          <w:lang w:val="uk-UA"/>
        </w:rPr>
      </w:pPr>
    </w:p>
    <w:p w14:paraId="1DAC3F52"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8335E7" w:rsidRPr="00CF2AB9" w14:paraId="6F9772FB"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48433D2" w14:textId="77777777" w:rsidR="008335E7" w:rsidRPr="00CF2AB9" w:rsidRDefault="008335E7" w:rsidP="00C62708">
            <w:pPr>
              <w:rPr>
                <w:sz w:val="22"/>
                <w:szCs w:val="22"/>
                <w:lang w:val="uk-UA"/>
              </w:rPr>
            </w:pPr>
            <w:r w:rsidRPr="00CF2AB9">
              <w:rPr>
                <w:sz w:val="22"/>
                <w:szCs w:val="22"/>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EC4BF0D" w14:textId="77777777" w:rsidR="008335E7" w:rsidRPr="00CF2AB9" w:rsidRDefault="008335E7" w:rsidP="00C62708">
            <w:pPr>
              <w:rPr>
                <w:sz w:val="22"/>
                <w:szCs w:val="22"/>
                <w:lang w:val="uk-UA"/>
              </w:rPr>
            </w:pPr>
            <w:r w:rsidRPr="00CF2AB9">
              <w:rPr>
                <w:sz w:val="22"/>
                <w:szCs w:val="22"/>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37AF8DE" w14:textId="77777777" w:rsidR="006B2506" w:rsidRPr="00CF2AB9" w:rsidRDefault="006B2506" w:rsidP="006B2506">
            <w:pPr>
              <w:widowControl w:val="0"/>
              <w:ind w:right="162" w:firstLine="368"/>
              <w:jc w:val="both"/>
              <w:rPr>
                <w:sz w:val="22"/>
                <w:szCs w:val="22"/>
                <w:lang w:val="uk-UA"/>
              </w:rPr>
            </w:pPr>
            <w:r w:rsidRPr="00CF2AB9">
              <w:rPr>
                <w:b/>
                <w:i/>
                <w:sz w:val="22"/>
                <w:szCs w:val="22"/>
                <w:lang w:val="uk-UA"/>
              </w:rPr>
              <w:t>Обґрунтування очікуваної вартості предмета закупівлі:</w:t>
            </w:r>
            <w:r w:rsidRPr="00CF2AB9">
              <w:rPr>
                <w:sz w:val="22"/>
                <w:szCs w:val="22"/>
                <w:lang w:val="uk-UA"/>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14:paraId="4FAA5EF3" w14:textId="77777777" w:rsidR="006B2506" w:rsidRPr="00CF2AB9" w:rsidRDefault="006B2506" w:rsidP="006B2506">
            <w:pPr>
              <w:widowControl w:val="0"/>
              <w:ind w:firstLine="368"/>
              <w:jc w:val="both"/>
              <w:rPr>
                <w:sz w:val="22"/>
                <w:szCs w:val="22"/>
                <w:lang w:val="uk-UA"/>
              </w:rPr>
            </w:pPr>
            <w:r w:rsidRPr="00CF2AB9">
              <w:rPr>
                <w:sz w:val="22"/>
                <w:szCs w:val="22"/>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w:t>
            </w:r>
          </w:p>
          <w:p w14:paraId="5CE245AA" w14:textId="56096552" w:rsidR="008335E7" w:rsidRPr="00CF2AB9" w:rsidRDefault="006B2506" w:rsidP="006B2506">
            <w:pPr>
              <w:rPr>
                <w:i/>
                <w:sz w:val="22"/>
                <w:szCs w:val="22"/>
                <w:lang w:val="uk-UA"/>
              </w:rPr>
            </w:pPr>
            <w:r w:rsidRPr="00CF2AB9">
              <w:rPr>
                <w:b/>
                <w:i/>
                <w:sz w:val="22"/>
                <w:szCs w:val="22"/>
                <w:lang w:val="uk-UA"/>
              </w:rPr>
              <w:t>Обґрунтування обсягів закупівлі:</w:t>
            </w:r>
            <w:r w:rsidRPr="00CF2AB9">
              <w:rPr>
                <w:b/>
                <w:sz w:val="22"/>
                <w:szCs w:val="22"/>
                <w:lang w:val="uk-UA"/>
              </w:rPr>
              <w:t xml:space="preserve"> </w:t>
            </w:r>
            <w:r w:rsidRPr="00CF2AB9">
              <w:rPr>
                <w:sz w:val="22"/>
                <w:szCs w:val="22"/>
                <w:lang w:val="uk-UA"/>
              </w:rPr>
              <w:t>Обсяги визначено відповідно до очікуваної потреби.</w:t>
            </w:r>
          </w:p>
        </w:tc>
      </w:tr>
      <w:tr w:rsidR="006F428D" w:rsidRPr="00CF2AB9" w14:paraId="31355963"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022FA6D" w14:textId="77777777" w:rsidR="006F428D" w:rsidRPr="00CF2AB9" w:rsidRDefault="008335E7" w:rsidP="00C62708">
            <w:pPr>
              <w:rPr>
                <w:sz w:val="22"/>
                <w:szCs w:val="22"/>
                <w:lang w:val="uk-UA"/>
              </w:rPr>
            </w:pPr>
            <w:r w:rsidRPr="00CF2AB9">
              <w:rPr>
                <w:sz w:val="22"/>
                <w:szCs w:val="22"/>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8EDE928" w14:textId="77777777" w:rsidR="006F428D" w:rsidRPr="00CF2AB9" w:rsidRDefault="006F428D" w:rsidP="00C62708">
            <w:pPr>
              <w:rPr>
                <w:sz w:val="22"/>
                <w:szCs w:val="22"/>
                <w:lang w:val="uk-UA"/>
              </w:rPr>
            </w:pPr>
            <w:r w:rsidRPr="00CF2AB9">
              <w:rPr>
                <w:sz w:val="22"/>
                <w:szCs w:val="22"/>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8DC0249" w14:textId="77777777" w:rsidR="006B2506" w:rsidRPr="00CF2AB9" w:rsidRDefault="006B2506" w:rsidP="00CF2AB9">
            <w:pPr>
              <w:widowControl w:val="0"/>
              <w:tabs>
                <w:tab w:val="left" w:pos="6650"/>
              </w:tabs>
              <w:ind w:right="248" w:firstLine="368"/>
              <w:jc w:val="both"/>
              <w:rPr>
                <w:sz w:val="22"/>
                <w:szCs w:val="22"/>
                <w:lang w:val="uk-UA"/>
              </w:rPr>
            </w:pPr>
            <w:r w:rsidRPr="00CF2AB9">
              <w:rPr>
                <w:b/>
                <w:i/>
                <w:sz w:val="22"/>
                <w:szCs w:val="22"/>
                <w:lang w:val="uk-UA"/>
              </w:rPr>
              <w:t>Визначення потреби в закупівлі:</w:t>
            </w:r>
            <w:r w:rsidRPr="00CF2AB9">
              <w:rPr>
                <w:sz w:val="22"/>
                <w:szCs w:val="22"/>
                <w:lang w:val="uk-UA"/>
              </w:rPr>
              <w:t xml:space="preserve"> Закупівля зумовлена необхідністю підтримання належного санітарно-екологічного стану територій ДП МА «Бориспіль», утримання ґрунтової частини та штучних покриттів аеродрому та вимог охорони праці.</w:t>
            </w:r>
          </w:p>
          <w:p w14:paraId="0B508CC1" w14:textId="77777777" w:rsidR="006B2506" w:rsidRPr="00CF2AB9" w:rsidRDefault="006B2506" w:rsidP="00CF2AB9">
            <w:pPr>
              <w:widowControl w:val="0"/>
              <w:tabs>
                <w:tab w:val="left" w:pos="6650"/>
              </w:tabs>
              <w:ind w:right="248" w:firstLine="368"/>
              <w:jc w:val="both"/>
              <w:rPr>
                <w:sz w:val="22"/>
                <w:szCs w:val="22"/>
                <w:lang w:val="uk-UA"/>
              </w:rPr>
            </w:pPr>
            <w:r w:rsidRPr="00CF2AB9">
              <w:rPr>
                <w:b/>
                <w:i/>
                <w:sz w:val="22"/>
                <w:szCs w:val="22"/>
                <w:lang w:val="uk-UA"/>
              </w:rPr>
              <w:t>Обґрунтування технічних та якісних характеристик предмета закупівлі:</w:t>
            </w:r>
            <w:r w:rsidRPr="00CF2AB9">
              <w:rPr>
                <w:sz w:val="22"/>
                <w:szCs w:val="22"/>
                <w:lang w:val="uk-UA"/>
              </w:rPr>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w:t>
            </w:r>
          </w:p>
          <w:p w14:paraId="5A16A142" w14:textId="2C34809C" w:rsidR="006F428D" w:rsidRPr="00CF2AB9" w:rsidRDefault="006B2506" w:rsidP="00CF2AB9">
            <w:pPr>
              <w:tabs>
                <w:tab w:val="left" w:pos="6650"/>
              </w:tabs>
              <w:rPr>
                <w:i/>
                <w:sz w:val="22"/>
                <w:szCs w:val="22"/>
                <w:lang w:val="uk-UA"/>
              </w:rPr>
            </w:pPr>
            <w:r w:rsidRPr="00CF2AB9">
              <w:rPr>
                <w:sz w:val="22"/>
                <w:szCs w:val="22"/>
                <w:lang w:val="uk-UA"/>
              </w:rPr>
              <w:t>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w:t>
            </w:r>
          </w:p>
        </w:tc>
      </w:tr>
      <w:tr w:rsidR="006F428D" w:rsidRPr="00CF2AB9" w14:paraId="226AA8E1"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6B300D5" w14:textId="77777777" w:rsidR="006F428D" w:rsidRPr="00CF2AB9" w:rsidRDefault="006F428D" w:rsidP="00C62708">
            <w:pPr>
              <w:rPr>
                <w:bCs/>
                <w:sz w:val="22"/>
                <w:szCs w:val="22"/>
                <w:lang w:val="uk-UA"/>
              </w:rPr>
            </w:pPr>
            <w:r w:rsidRPr="00CF2AB9">
              <w:rPr>
                <w:bCs/>
                <w:sz w:val="22"/>
                <w:szCs w:val="22"/>
                <w:lang w:val="uk-UA"/>
              </w:rPr>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C33CB5C" w14:textId="77777777" w:rsidR="006F428D" w:rsidRPr="00CF2AB9" w:rsidRDefault="006F428D" w:rsidP="00C62708">
            <w:pPr>
              <w:rPr>
                <w:sz w:val="22"/>
                <w:szCs w:val="22"/>
                <w:lang w:val="uk-UA"/>
              </w:rPr>
            </w:pPr>
            <w:r w:rsidRPr="00CF2AB9">
              <w:rPr>
                <w:sz w:val="22"/>
                <w:szCs w:val="22"/>
                <w:lang w:val="uk-UA"/>
              </w:rPr>
              <w:t>Інша інформація</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04B114F" w14:textId="3AFD2325" w:rsidR="006B2506" w:rsidRPr="00CF2AB9" w:rsidRDefault="006B2506" w:rsidP="00CF2AB9">
            <w:pPr>
              <w:widowControl w:val="0"/>
              <w:ind w:right="57"/>
              <w:jc w:val="both"/>
              <w:rPr>
                <w:b/>
                <w:sz w:val="22"/>
                <w:szCs w:val="22"/>
                <w:highlight w:val="yellow"/>
                <w:lang w:val="uk-UA"/>
              </w:rPr>
            </w:pPr>
            <w:r w:rsidRPr="00CF2AB9">
              <w:rPr>
                <w:b/>
                <w:sz w:val="22"/>
                <w:szCs w:val="22"/>
              </w:rPr>
              <w:t>Метод порівняння ринкових цін за інформацією, що міститься у відкритих джерелах</w:t>
            </w:r>
            <w:r w:rsidRPr="00CF2AB9">
              <w:rPr>
                <w:b/>
                <w:sz w:val="22"/>
                <w:szCs w:val="22"/>
                <w:highlight w:val="yellow"/>
              </w:rPr>
              <w:t xml:space="preserve"> </w:t>
            </w:r>
          </w:p>
          <w:p w14:paraId="5AE3A710" w14:textId="77777777" w:rsidR="006B2506" w:rsidRPr="00CF2AB9" w:rsidRDefault="006B2506" w:rsidP="00CF2AB9">
            <w:pPr>
              <w:widowControl w:val="0"/>
              <w:ind w:right="57"/>
              <w:jc w:val="both"/>
              <w:rPr>
                <w:sz w:val="22"/>
                <w:szCs w:val="22"/>
              </w:rPr>
            </w:pPr>
            <w:r w:rsidRPr="00CF2AB9">
              <w:rPr>
                <w:sz w:val="22"/>
                <w:szCs w:val="22"/>
              </w:rPr>
              <w:t>Для визначення вартості товару було взято інформацію з відкритих джерел:</w:t>
            </w:r>
          </w:p>
          <w:p w14:paraId="6A8D06D3" w14:textId="77777777" w:rsidR="006B2506" w:rsidRPr="00CF2AB9" w:rsidRDefault="006B2506" w:rsidP="006B2506">
            <w:pPr>
              <w:widowControl w:val="0"/>
              <w:jc w:val="both"/>
              <w:rPr>
                <w:sz w:val="22"/>
                <w:szCs w:val="22"/>
              </w:rPr>
            </w:pPr>
            <w:r w:rsidRPr="00CF2AB9">
              <w:rPr>
                <w:sz w:val="22"/>
                <w:szCs w:val="22"/>
              </w:rPr>
              <w:t xml:space="preserve">Інтернет магазин </w:t>
            </w:r>
            <w:hyperlink r:id="rId9" w:history="1">
              <w:r w:rsidRPr="00CF2AB9">
                <w:rPr>
                  <w:rStyle w:val="af"/>
                  <w:sz w:val="22"/>
                  <w:szCs w:val="22"/>
                </w:rPr>
                <w:t>https://sadmarket.com.ua/</w:t>
              </w:r>
            </w:hyperlink>
          </w:p>
          <w:p w14:paraId="3F4BB81A" w14:textId="77777777" w:rsidR="006B2506" w:rsidRPr="00CF2AB9" w:rsidRDefault="006B2506" w:rsidP="006B2506">
            <w:pPr>
              <w:widowControl w:val="0"/>
              <w:jc w:val="both"/>
              <w:rPr>
                <w:sz w:val="22"/>
                <w:szCs w:val="22"/>
              </w:rPr>
            </w:pPr>
            <w:r w:rsidRPr="00CF2AB9">
              <w:rPr>
                <w:sz w:val="22"/>
                <w:szCs w:val="22"/>
              </w:rPr>
              <w:lastRenderedPageBreak/>
              <w:t>Інтернет магазин https://v-m.kiev.ua/</w:t>
            </w:r>
          </w:p>
          <w:p w14:paraId="56E2830D" w14:textId="77777777" w:rsidR="006B2506" w:rsidRPr="00CF2AB9" w:rsidRDefault="006B2506" w:rsidP="006B2506">
            <w:pPr>
              <w:widowControl w:val="0"/>
              <w:jc w:val="both"/>
              <w:rPr>
                <w:sz w:val="22"/>
                <w:szCs w:val="22"/>
              </w:rPr>
            </w:pPr>
            <w:r w:rsidRPr="00CF2AB9">
              <w:rPr>
                <w:sz w:val="22"/>
                <w:szCs w:val="22"/>
              </w:rPr>
              <w:t>Інтернет магазин https://</w:t>
            </w:r>
            <w:r w:rsidRPr="00CF2AB9">
              <w:rPr>
                <w:sz w:val="22"/>
                <w:szCs w:val="22"/>
                <w:lang w:val="en-US"/>
              </w:rPr>
              <w:t>lider</w:t>
            </w:r>
            <w:r w:rsidRPr="00CF2AB9">
              <w:rPr>
                <w:sz w:val="22"/>
                <w:szCs w:val="22"/>
              </w:rPr>
              <w:t>.</w:t>
            </w:r>
            <w:r w:rsidRPr="00CF2AB9">
              <w:rPr>
                <w:sz w:val="22"/>
                <w:szCs w:val="22"/>
                <w:lang w:val="en-US"/>
              </w:rPr>
              <w:t>co</w:t>
            </w:r>
            <w:r w:rsidRPr="00CF2AB9">
              <w:rPr>
                <w:sz w:val="22"/>
                <w:szCs w:val="22"/>
              </w:rPr>
              <w:t>.ua/</w:t>
            </w:r>
          </w:p>
          <w:p w14:paraId="4ACA801C" w14:textId="77777777" w:rsidR="006B2506" w:rsidRPr="00CF2AB9" w:rsidRDefault="006B2506" w:rsidP="006B2506">
            <w:pPr>
              <w:widowControl w:val="0"/>
              <w:jc w:val="both"/>
              <w:rPr>
                <w:noProof/>
                <w:sz w:val="22"/>
                <w:szCs w:val="22"/>
                <w:lang w:eastAsia="uk-UA"/>
              </w:rPr>
            </w:pPr>
            <w:r w:rsidRPr="00CF2AB9">
              <w:rPr>
                <w:noProof/>
                <w:sz w:val="22"/>
                <w:szCs w:val="22"/>
                <w:lang w:eastAsia="uk-UA"/>
              </w:rPr>
              <w:t>Інтернет магазин https://vakulainstrument.com.ua/</w:t>
            </w:r>
          </w:p>
          <w:p w14:paraId="55A18BB6" w14:textId="77777777" w:rsidR="006B2506" w:rsidRPr="00CF2AB9" w:rsidRDefault="006B2506" w:rsidP="006B2506">
            <w:pPr>
              <w:widowControl w:val="0"/>
              <w:jc w:val="both"/>
              <w:rPr>
                <w:sz w:val="22"/>
                <w:szCs w:val="22"/>
              </w:rPr>
            </w:pPr>
            <w:r w:rsidRPr="00CF2AB9">
              <w:rPr>
                <w:sz w:val="22"/>
                <w:szCs w:val="22"/>
              </w:rPr>
              <w:t xml:space="preserve">Інтернет магазин </w:t>
            </w:r>
            <w:hyperlink r:id="rId10" w:history="1">
              <w:r w:rsidRPr="00CF2AB9">
                <w:rPr>
                  <w:rStyle w:val="af"/>
                  <w:sz w:val="22"/>
                  <w:szCs w:val="22"/>
                </w:rPr>
                <w:t>https://motocentre.com.ua/</w:t>
              </w:r>
            </w:hyperlink>
          </w:p>
          <w:p w14:paraId="3179A148" w14:textId="77777777" w:rsidR="006B2506" w:rsidRPr="00CF2AB9" w:rsidRDefault="006B2506" w:rsidP="006B2506">
            <w:pPr>
              <w:widowControl w:val="0"/>
              <w:jc w:val="both"/>
              <w:rPr>
                <w:noProof/>
                <w:sz w:val="22"/>
                <w:szCs w:val="22"/>
                <w:lang w:eastAsia="uk-UA"/>
              </w:rPr>
            </w:pPr>
            <w:r w:rsidRPr="00CF2AB9">
              <w:rPr>
                <w:noProof/>
                <w:sz w:val="22"/>
                <w:szCs w:val="22"/>
                <w:lang w:eastAsia="uk-UA"/>
              </w:rPr>
              <w:t>Інтернет магазин https://st-too</w:t>
            </w:r>
            <w:r w:rsidRPr="00CF2AB9">
              <w:rPr>
                <w:noProof/>
                <w:sz w:val="22"/>
                <w:szCs w:val="22"/>
                <w:lang w:val="en-US" w:eastAsia="uk-UA"/>
              </w:rPr>
              <w:t>ls</w:t>
            </w:r>
            <w:r w:rsidRPr="00CF2AB9">
              <w:rPr>
                <w:noProof/>
                <w:sz w:val="22"/>
                <w:szCs w:val="22"/>
                <w:lang w:eastAsia="uk-UA"/>
              </w:rPr>
              <w:t>.com.ua/</w:t>
            </w:r>
          </w:p>
          <w:p w14:paraId="222D0AAB" w14:textId="77777777" w:rsidR="006B2506" w:rsidRPr="00CF2AB9" w:rsidRDefault="006B2506" w:rsidP="006B2506">
            <w:pPr>
              <w:widowControl w:val="0"/>
              <w:jc w:val="both"/>
              <w:rPr>
                <w:noProof/>
                <w:sz w:val="22"/>
                <w:szCs w:val="22"/>
                <w:lang w:eastAsia="uk-UA"/>
              </w:rPr>
            </w:pPr>
            <w:r w:rsidRPr="00CF2AB9">
              <w:rPr>
                <w:noProof/>
                <w:sz w:val="22"/>
                <w:szCs w:val="22"/>
                <w:lang w:eastAsia="uk-UA"/>
              </w:rPr>
              <w:t>Інтернет магазин https://sadovatehnika.com.ua/</w:t>
            </w:r>
          </w:p>
          <w:p w14:paraId="2CF6ED20" w14:textId="74329045" w:rsidR="006B2506" w:rsidRPr="00CF2AB9" w:rsidRDefault="006B2506" w:rsidP="006B2506">
            <w:pPr>
              <w:rPr>
                <w:sz w:val="22"/>
                <w:szCs w:val="22"/>
                <w:lang w:val="uk-UA"/>
              </w:rPr>
            </w:pPr>
            <w:r w:rsidRPr="00CF2AB9">
              <w:rPr>
                <w:sz w:val="22"/>
                <w:szCs w:val="22"/>
              </w:rPr>
              <w:t xml:space="preserve">Інтернет магазин </w:t>
            </w:r>
            <w:hyperlink r:id="rId11" w:history="1">
              <w:r w:rsidRPr="00CF2AB9">
                <w:rPr>
                  <w:rStyle w:val="af"/>
                  <w:sz w:val="22"/>
                  <w:szCs w:val="22"/>
                </w:rPr>
                <w:t>https://smartco.cn.ua/</w:t>
              </w:r>
            </w:hyperlink>
          </w:p>
          <w:p w14:paraId="1E6057A9" w14:textId="77777777" w:rsidR="006B2506" w:rsidRPr="00CF2AB9" w:rsidRDefault="006B2506" w:rsidP="006B2506">
            <w:pPr>
              <w:rPr>
                <w:sz w:val="22"/>
                <w:szCs w:val="22"/>
                <w:lang w:val="uk-UA"/>
              </w:rPr>
            </w:pPr>
          </w:p>
          <w:p w14:paraId="6A0D7C69" w14:textId="4152F3B2" w:rsidR="006B2506" w:rsidRPr="00CF2AB9" w:rsidRDefault="006B2506" w:rsidP="006B2506">
            <w:pPr>
              <w:ind w:right="57"/>
              <w:jc w:val="both"/>
              <w:rPr>
                <w:sz w:val="22"/>
                <w:szCs w:val="22"/>
                <w:lang w:val="uk-UA"/>
              </w:rPr>
            </w:pPr>
            <w:r w:rsidRPr="00CF2AB9">
              <w:rPr>
                <w:sz w:val="22"/>
                <w:szCs w:val="22"/>
                <w:lang w:val="uk-UA"/>
              </w:rPr>
              <w:t>Період замовлення товарів – у період дії правового режиму воєнного стану в Україні та протягом 90 днів з дня його припинення або скасування.</w:t>
            </w:r>
          </w:p>
        </w:tc>
      </w:tr>
    </w:tbl>
    <w:p w14:paraId="70DD8651" w14:textId="77777777" w:rsidR="006F428D" w:rsidRPr="00CF2AB9" w:rsidRDefault="006F428D" w:rsidP="00A12478">
      <w:pPr>
        <w:rPr>
          <w:b/>
          <w:sz w:val="22"/>
          <w:szCs w:val="22"/>
          <w:lang w:val="uk-UA"/>
        </w:rPr>
      </w:pPr>
    </w:p>
    <w:p w14:paraId="7D76D5AC" w14:textId="77777777" w:rsidR="006926A0" w:rsidRPr="00CF2AB9" w:rsidRDefault="006926A0" w:rsidP="006926A0">
      <w:pPr>
        <w:ind w:firstLine="567"/>
        <w:jc w:val="both"/>
        <w:rPr>
          <w:sz w:val="22"/>
          <w:szCs w:val="22"/>
          <w:lang w:val="uk-UA"/>
        </w:rPr>
      </w:pPr>
      <w:r w:rsidRPr="00CF2AB9">
        <w:rPr>
          <w:sz w:val="22"/>
          <w:szCs w:val="22"/>
          <w:lang w:val="uk-UA"/>
        </w:rPr>
        <w:t>Враховуючи зазначене, замовник прийняв рішення стосовно застосування таких технічних та якісних характеристик предмета закупівлі:</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1832"/>
        <w:gridCol w:w="1277"/>
        <w:gridCol w:w="709"/>
        <w:gridCol w:w="851"/>
        <w:gridCol w:w="4847"/>
      </w:tblGrid>
      <w:tr w:rsidR="006B2506" w:rsidRPr="00CF2AB9" w14:paraId="34CBA556" w14:textId="77777777" w:rsidTr="006B2506">
        <w:trPr>
          <w:trHeight w:val="2673"/>
        </w:trPr>
        <w:tc>
          <w:tcPr>
            <w:tcW w:w="690" w:type="dxa"/>
            <w:tcBorders>
              <w:top w:val="single" w:sz="4" w:space="0" w:color="auto"/>
              <w:left w:val="single" w:sz="4" w:space="0" w:color="auto"/>
              <w:right w:val="single" w:sz="4" w:space="0" w:color="auto"/>
            </w:tcBorders>
            <w:shd w:val="clear" w:color="auto" w:fill="D9E2F3"/>
          </w:tcPr>
          <w:p w14:paraId="6022BEC8" w14:textId="77777777" w:rsidR="006B2506" w:rsidRPr="00CF2AB9" w:rsidRDefault="006B2506" w:rsidP="006B2506">
            <w:pPr>
              <w:widowControl w:val="0"/>
              <w:jc w:val="center"/>
              <w:rPr>
                <w:sz w:val="22"/>
                <w:szCs w:val="22"/>
                <w:lang w:val="uk-UA"/>
              </w:rPr>
            </w:pPr>
            <w:r w:rsidRPr="00CF2AB9">
              <w:rPr>
                <w:sz w:val="22"/>
                <w:szCs w:val="22"/>
                <w:lang w:val="uk-UA"/>
              </w:rPr>
              <w:t>№ п/п</w:t>
            </w:r>
          </w:p>
        </w:tc>
        <w:tc>
          <w:tcPr>
            <w:tcW w:w="1832" w:type="dxa"/>
            <w:tcBorders>
              <w:top w:val="single" w:sz="4" w:space="0" w:color="auto"/>
              <w:left w:val="single" w:sz="4" w:space="0" w:color="auto"/>
              <w:right w:val="single" w:sz="4" w:space="0" w:color="auto"/>
            </w:tcBorders>
            <w:shd w:val="clear" w:color="auto" w:fill="D9E2F3"/>
          </w:tcPr>
          <w:p w14:paraId="2FFDE6E2" w14:textId="77777777" w:rsidR="006B2506" w:rsidRPr="00CF2AB9" w:rsidRDefault="006B2506" w:rsidP="00F60FB8">
            <w:pPr>
              <w:widowControl w:val="0"/>
              <w:jc w:val="center"/>
              <w:rPr>
                <w:sz w:val="22"/>
                <w:szCs w:val="22"/>
                <w:lang w:val="uk-UA"/>
              </w:rPr>
            </w:pPr>
            <w:r w:rsidRPr="00CF2AB9">
              <w:rPr>
                <w:sz w:val="22"/>
                <w:szCs w:val="22"/>
                <w:lang w:val="uk-UA"/>
              </w:rPr>
              <w:t>Найменування Товару</w:t>
            </w:r>
          </w:p>
          <w:p w14:paraId="3A8F38FB" w14:textId="77777777" w:rsidR="006B2506" w:rsidRPr="00CF2AB9" w:rsidRDefault="006B2506" w:rsidP="00F60FB8">
            <w:pPr>
              <w:widowControl w:val="0"/>
              <w:jc w:val="center"/>
              <w:rPr>
                <w:sz w:val="22"/>
                <w:szCs w:val="22"/>
                <w:lang w:val="uk-UA"/>
              </w:rPr>
            </w:pPr>
          </w:p>
        </w:tc>
        <w:tc>
          <w:tcPr>
            <w:tcW w:w="1277" w:type="dxa"/>
            <w:tcBorders>
              <w:top w:val="single" w:sz="4" w:space="0" w:color="auto"/>
              <w:left w:val="single" w:sz="4" w:space="0" w:color="auto"/>
              <w:right w:val="single" w:sz="4" w:space="0" w:color="auto"/>
            </w:tcBorders>
            <w:shd w:val="clear" w:color="auto" w:fill="D9E2F3"/>
          </w:tcPr>
          <w:p w14:paraId="2389B699" w14:textId="77777777" w:rsidR="006B2506" w:rsidRPr="00CF2AB9" w:rsidRDefault="006B2506" w:rsidP="00F60FB8">
            <w:pPr>
              <w:widowControl w:val="0"/>
              <w:jc w:val="center"/>
              <w:rPr>
                <w:bCs/>
                <w:snapToGrid w:val="0"/>
                <w:sz w:val="22"/>
                <w:szCs w:val="22"/>
                <w:lang w:val="uk-UA"/>
              </w:rPr>
            </w:pPr>
            <w:r w:rsidRPr="00CF2AB9">
              <w:rPr>
                <w:bCs/>
                <w:snapToGrid w:val="0"/>
                <w:sz w:val="22"/>
                <w:szCs w:val="22"/>
                <w:lang w:val="uk-UA"/>
              </w:rPr>
              <w:t>Марка або модель, або артикул, або каталожний номер, або  інші параметри для ідентифікації Товару</w:t>
            </w:r>
          </w:p>
        </w:tc>
        <w:tc>
          <w:tcPr>
            <w:tcW w:w="709" w:type="dxa"/>
            <w:tcBorders>
              <w:top w:val="single" w:sz="4" w:space="0" w:color="auto"/>
              <w:left w:val="single" w:sz="4" w:space="0" w:color="auto"/>
              <w:right w:val="single" w:sz="4" w:space="0" w:color="auto"/>
            </w:tcBorders>
            <w:shd w:val="clear" w:color="auto" w:fill="D9E2F3"/>
          </w:tcPr>
          <w:p w14:paraId="752ED502" w14:textId="77777777" w:rsidR="006B2506" w:rsidRPr="00CF2AB9" w:rsidRDefault="006B2506" w:rsidP="00F60FB8">
            <w:pPr>
              <w:widowControl w:val="0"/>
              <w:jc w:val="center"/>
              <w:rPr>
                <w:sz w:val="22"/>
                <w:szCs w:val="22"/>
                <w:lang w:val="uk-UA"/>
              </w:rPr>
            </w:pPr>
            <w:r w:rsidRPr="00CF2AB9">
              <w:rPr>
                <w:sz w:val="22"/>
                <w:szCs w:val="22"/>
                <w:lang w:val="uk-UA"/>
              </w:rPr>
              <w:t>Одиниця</w:t>
            </w:r>
          </w:p>
          <w:p w14:paraId="20AEAE3B" w14:textId="77777777" w:rsidR="006B2506" w:rsidRPr="00CF2AB9" w:rsidRDefault="006B2506" w:rsidP="00F60FB8">
            <w:pPr>
              <w:widowControl w:val="0"/>
              <w:jc w:val="center"/>
              <w:rPr>
                <w:sz w:val="22"/>
                <w:szCs w:val="22"/>
                <w:lang w:val="uk-UA"/>
              </w:rPr>
            </w:pPr>
            <w:r w:rsidRPr="00CF2AB9">
              <w:rPr>
                <w:sz w:val="22"/>
                <w:szCs w:val="22"/>
                <w:lang w:val="uk-UA"/>
              </w:rPr>
              <w:t>виміру</w:t>
            </w:r>
          </w:p>
        </w:tc>
        <w:tc>
          <w:tcPr>
            <w:tcW w:w="851" w:type="dxa"/>
            <w:tcBorders>
              <w:top w:val="single" w:sz="4" w:space="0" w:color="auto"/>
              <w:left w:val="single" w:sz="4" w:space="0" w:color="auto"/>
              <w:right w:val="single" w:sz="4" w:space="0" w:color="auto"/>
            </w:tcBorders>
            <w:shd w:val="clear" w:color="auto" w:fill="D9E2F3"/>
          </w:tcPr>
          <w:p w14:paraId="685ED4B0" w14:textId="77777777" w:rsidR="006B2506" w:rsidRPr="00CF2AB9" w:rsidRDefault="006B2506" w:rsidP="00F60FB8">
            <w:pPr>
              <w:widowControl w:val="0"/>
              <w:jc w:val="center"/>
              <w:rPr>
                <w:sz w:val="22"/>
                <w:szCs w:val="22"/>
                <w:lang w:val="uk-UA"/>
              </w:rPr>
            </w:pPr>
            <w:r w:rsidRPr="00CF2AB9">
              <w:rPr>
                <w:sz w:val="22"/>
                <w:szCs w:val="22"/>
                <w:lang w:val="uk-UA"/>
              </w:rPr>
              <w:t>Кількість</w:t>
            </w:r>
          </w:p>
          <w:p w14:paraId="19125A2D" w14:textId="77777777" w:rsidR="006B2506" w:rsidRPr="00CF2AB9" w:rsidRDefault="006B2506" w:rsidP="00F60FB8">
            <w:pPr>
              <w:widowControl w:val="0"/>
              <w:jc w:val="center"/>
              <w:rPr>
                <w:sz w:val="22"/>
                <w:szCs w:val="22"/>
                <w:lang w:val="uk-UA"/>
              </w:rPr>
            </w:pPr>
          </w:p>
        </w:tc>
        <w:tc>
          <w:tcPr>
            <w:tcW w:w="4847" w:type="dxa"/>
            <w:tcBorders>
              <w:top w:val="single" w:sz="4" w:space="0" w:color="auto"/>
              <w:left w:val="single" w:sz="4" w:space="0" w:color="auto"/>
              <w:right w:val="single" w:sz="4" w:space="0" w:color="auto"/>
            </w:tcBorders>
            <w:shd w:val="clear" w:color="auto" w:fill="D9E2F3"/>
          </w:tcPr>
          <w:p w14:paraId="701A3BF3" w14:textId="77777777" w:rsidR="006B2506" w:rsidRPr="00CF2AB9" w:rsidRDefault="006B2506" w:rsidP="00F60FB8">
            <w:pPr>
              <w:widowControl w:val="0"/>
              <w:jc w:val="center"/>
              <w:rPr>
                <w:sz w:val="22"/>
                <w:szCs w:val="22"/>
                <w:lang w:val="uk-UA"/>
              </w:rPr>
            </w:pPr>
            <w:r w:rsidRPr="00CF2AB9">
              <w:rPr>
                <w:sz w:val="22"/>
                <w:szCs w:val="22"/>
                <w:lang w:val="uk-UA"/>
              </w:rPr>
              <w:t>Технічні та якісні характеристики предмета закупівлі</w:t>
            </w:r>
          </w:p>
          <w:p w14:paraId="397ABDAF" w14:textId="77777777" w:rsidR="006B2506" w:rsidRPr="00CF2AB9" w:rsidRDefault="006B2506" w:rsidP="00F60FB8">
            <w:pPr>
              <w:widowControl w:val="0"/>
              <w:jc w:val="center"/>
              <w:rPr>
                <w:sz w:val="22"/>
                <w:szCs w:val="22"/>
                <w:lang w:val="uk-UA"/>
              </w:rPr>
            </w:pPr>
          </w:p>
        </w:tc>
      </w:tr>
      <w:tr w:rsidR="006B2506" w:rsidRPr="00CF2AB9" w14:paraId="7079A91A" w14:textId="77777777" w:rsidTr="006B2506">
        <w:trPr>
          <w:trHeight w:val="229"/>
        </w:trPr>
        <w:tc>
          <w:tcPr>
            <w:tcW w:w="690" w:type="dxa"/>
            <w:tcBorders>
              <w:top w:val="single" w:sz="4" w:space="0" w:color="auto"/>
              <w:left w:val="single" w:sz="4" w:space="0" w:color="auto"/>
              <w:right w:val="single" w:sz="4" w:space="0" w:color="auto"/>
            </w:tcBorders>
            <w:shd w:val="clear" w:color="auto" w:fill="auto"/>
          </w:tcPr>
          <w:p w14:paraId="0392A804" w14:textId="77777777" w:rsidR="006B2506" w:rsidRPr="00CF2AB9" w:rsidRDefault="006B2506" w:rsidP="00F60FB8">
            <w:pPr>
              <w:widowControl w:val="0"/>
              <w:jc w:val="center"/>
              <w:rPr>
                <w:sz w:val="22"/>
                <w:szCs w:val="22"/>
                <w:lang w:val="uk-UA"/>
              </w:rPr>
            </w:pPr>
            <w:r w:rsidRPr="00CF2AB9">
              <w:rPr>
                <w:sz w:val="22"/>
                <w:szCs w:val="22"/>
                <w:lang w:val="uk-UA"/>
              </w:rPr>
              <w:t>1</w:t>
            </w:r>
          </w:p>
        </w:tc>
        <w:tc>
          <w:tcPr>
            <w:tcW w:w="1832" w:type="dxa"/>
            <w:tcBorders>
              <w:top w:val="single" w:sz="4" w:space="0" w:color="auto"/>
              <w:left w:val="single" w:sz="4" w:space="0" w:color="auto"/>
              <w:right w:val="single" w:sz="4" w:space="0" w:color="auto"/>
            </w:tcBorders>
            <w:shd w:val="clear" w:color="auto" w:fill="auto"/>
          </w:tcPr>
          <w:p w14:paraId="2C4457C7" w14:textId="77777777" w:rsidR="006B2506" w:rsidRPr="00CF2AB9" w:rsidRDefault="006B2506" w:rsidP="00F60FB8">
            <w:pPr>
              <w:shd w:val="clear" w:color="auto" w:fill="FFFFFF"/>
              <w:spacing w:line="276" w:lineRule="auto"/>
              <w:jc w:val="center"/>
              <w:rPr>
                <w:bCs/>
                <w:sz w:val="22"/>
                <w:szCs w:val="22"/>
              </w:rPr>
            </w:pPr>
            <w:r w:rsidRPr="00CF2AB9">
              <w:rPr>
                <w:sz w:val="22"/>
                <w:szCs w:val="22"/>
              </w:rPr>
              <w:t>Струна косильна</w:t>
            </w:r>
          </w:p>
          <w:p w14:paraId="54E83B38" w14:textId="77777777" w:rsidR="006B2506" w:rsidRPr="00CF2AB9" w:rsidRDefault="006B2506" w:rsidP="00F60FB8">
            <w:pPr>
              <w:widowControl w:val="0"/>
              <w:jc w:val="center"/>
              <w:rPr>
                <w:b/>
                <w:sz w:val="22"/>
                <w:szCs w:val="22"/>
                <w:lang w:val="uk-UA"/>
              </w:rPr>
            </w:pPr>
          </w:p>
        </w:tc>
        <w:tc>
          <w:tcPr>
            <w:tcW w:w="1277" w:type="dxa"/>
            <w:tcBorders>
              <w:top w:val="single" w:sz="4" w:space="0" w:color="auto"/>
              <w:left w:val="single" w:sz="4" w:space="0" w:color="auto"/>
              <w:right w:val="single" w:sz="4" w:space="0" w:color="auto"/>
            </w:tcBorders>
            <w:shd w:val="clear" w:color="auto" w:fill="auto"/>
          </w:tcPr>
          <w:p w14:paraId="6C34A995" w14:textId="77777777" w:rsidR="006B2506" w:rsidRPr="00CF2AB9" w:rsidRDefault="006B2506" w:rsidP="00F60FB8">
            <w:pPr>
              <w:widowControl w:val="0"/>
              <w:jc w:val="center"/>
              <w:rPr>
                <w:b/>
                <w:bCs/>
                <w:snapToGrid w:val="0"/>
                <w:sz w:val="22"/>
                <w:szCs w:val="22"/>
                <w:lang w:val="uk-UA"/>
              </w:rPr>
            </w:pPr>
            <w:r w:rsidRPr="00CF2AB9">
              <w:rPr>
                <w:sz w:val="22"/>
                <w:szCs w:val="22"/>
              </w:rPr>
              <w:t xml:space="preserve">«Stihl»  </w:t>
            </w:r>
          </w:p>
        </w:tc>
        <w:tc>
          <w:tcPr>
            <w:tcW w:w="709" w:type="dxa"/>
            <w:tcBorders>
              <w:top w:val="single" w:sz="4" w:space="0" w:color="auto"/>
              <w:left w:val="single" w:sz="4" w:space="0" w:color="auto"/>
              <w:right w:val="single" w:sz="4" w:space="0" w:color="auto"/>
            </w:tcBorders>
            <w:shd w:val="clear" w:color="auto" w:fill="auto"/>
          </w:tcPr>
          <w:p w14:paraId="3B5ABBF4" w14:textId="77777777" w:rsidR="006B2506" w:rsidRPr="00CF2AB9" w:rsidRDefault="006B2506" w:rsidP="00F60FB8">
            <w:pPr>
              <w:widowControl w:val="0"/>
              <w:jc w:val="center"/>
              <w:rPr>
                <w:b/>
                <w:sz w:val="22"/>
                <w:szCs w:val="22"/>
                <w:lang w:val="uk-UA"/>
              </w:rPr>
            </w:pPr>
            <w:r w:rsidRPr="00CF2AB9">
              <w:rPr>
                <w:sz w:val="22"/>
                <w:szCs w:val="22"/>
              </w:rPr>
              <w:t>шт.</w:t>
            </w:r>
          </w:p>
        </w:tc>
        <w:tc>
          <w:tcPr>
            <w:tcW w:w="851" w:type="dxa"/>
            <w:tcBorders>
              <w:top w:val="single" w:sz="4" w:space="0" w:color="auto"/>
              <w:left w:val="single" w:sz="4" w:space="0" w:color="auto"/>
              <w:right w:val="single" w:sz="4" w:space="0" w:color="auto"/>
            </w:tcBorders>
            <w:shd w:val="clear" w:color="auto" w:fill="auto"/>
          </w:tcPr>
          <w:p w14:paraId="22E95F2D" w14:textId="77777777" w:rsidR="006B2506" w:rsidRPr="00CF2AB9" w:rsidRDefault="006B2506" w:rsidP="00F60FB8">
            <w:pPr>
              <w:widowControl w:val="0"/>
              <w:jc w:val="center"/>
              <w:rPr>
                <w:b/>
                <w:sz w:val="22"/>
                <w:szCs w:val="22"/>
                <w:lang w:val="uk-UA"/>
              </w:rPr>
            </w:pPr>
            <w:r w:rsidRPr="00CF2AB9">
              <w:rPr>
                <w:sz w:val="22"/>
                <w:szCs w:val="22"/>
              </w:rPr>
              <w:t>21</w:t>
            </w:r>
          </w:p>
        </w:tc>
        <w:tc>
          <w:tcPr>
            <w:tcW w:w="4847" w:type="dxa"/>
            <w:tcBorders>
              <w:top w:val="single" w:sz="4" w:space="0" w:color="auto"/>
              <w:left w:val="single" w:sz="4" w:space="0" w:color="auto"/>
              <w:right w:val="single" w:sz="4" w:space="0" w:color="auto"/>
            </w:tcBorders>
            <w:shd w:val="clear" w:color="auto" w:fill="auto"/>
          </w:tcPr>
          <w:p w14:paraId="6DF50B86" w14:textId="77777777" w:rsidR="006B2506" w:rsidRPr="00CF2AB9" w:rsidRDefault="006B2506" w:rsidP="00F60FB8">
            <w:pPr>
              <w:keepLines/>
              <w:contextualSpacing/>
              <w:jc w:val="both"/>
              <w:rPr>
                <w:color w:val="FF0000"/>
                <w:sz w:val="22"/>
                <w:szCs w:val="22"/>
                <w:lang w:val="uk-UA"/>
              </w:rPr>
            </w:pPr>
            <w:r w:rsidRPr="00CF2AB9">
              <w:rPr>
                <w:sz w:val="22"/>
                <w:szCs w:val="22"/>
                <w:lang w:val="uk-UA"/>
              </w:rPr>
              <w:t xml:space="preserve">Діаметр – 3,3 мм; </w:t>
            </w:r>
          </w:p>
          <w:p w14:paraId="6CC80D23" w14:textId="77777777" w:rsidR="006B2506" w:rsidRPr="00CF2AB9" w:rsidRDefault="006B2506" w:rsidP="00F60FB8">
            <w:pPr>
              <w:keepLines/>
              <w:contextualSpacing/>
              <w:jc w:val="both"/>
              <w:rPr>
                <w:sz w:val="22"/>
                <w:szCs w:val="22"/>
                <w:lang w:val="uk-UA"/>
              </w:rPr>
            </w:pPr>
            <w:r w:rsidRPr="00CF2AB9">
              <w:rPr>
                <w:sz w:val="22"/>
                <w:szCs w:val="22"/>
                <w:lang w:val="uk-UA"/>
              </w:rPr>
              <w:t>Форма перерізу – кругла;</w:t>
            </w:r>
          </w:p>
          <w:p w14:paraId="51ACE27D" w14:textId="77777777" w:rsidR="006B2506" w:rsidRPr="00CF2AB9" w:rsidRDefault="006B2506" w:rsidP="00F60FB8">
            <w:pPr>
              <w:keepLines/>
              <w:contextualSpacing/>
              <w:jc w:val="both"/>
              <w:rPr>
                <w:sz w:val="22"/>
                <w:szCs w:val="22"/>
                <w:lang w:val="uk-UA"/>
              </w:rPr>
            </w:pPr>
            <w:r w:rsidRPr="00CF2AB9">
              <w:rPr>
                <w:sz w:val="22"/>
                <w:szCs w:val="22"/>
                <w:lang w:val="uk-UA"/>
              </w:rPr>
              <w:t xml:space="preserve">Довжина бухти (бобіни) – </w:t>
            </w:r>
            <w:r w:rsidRPr="00CF2AB9">
              <w:rPr>
                <w:i/>
                <w:color w:val="FF0000"/>
                <w:sz w:val="22"/>
                <w:szCs w:val="22"/>
                <w:lang w:val="uk-UA"/>
              </w:rPr>
              <w:t>не менше</w:t>
            </w:r>
            <w:r w:rsidRPr="00CF2AB9">
              <w:rPr>
                <w:i/>
                <w:sz w:val="22"/>
                <w:szCs w:val="22"/>
                <w:lang w:val="uk-UA"/>
              </w:rPr>
              <w:t xml:space="preserve"> </w:t>
            </w:r>
            <w:r w:rsidRPr="00CF2AB9">
              <w:rPr>
                <w:sz w:val="22"/>
                <w:szCs w:val="22"/>
                <w:lang w:val="uk-UA"/>
              </w:rPr>
              <w:t>573 м.</w:t>
            </w:r>
          </w:p>
        </w:tc>
      </w:tr>
      <w:tr w:rsidR="006B2506" w:rsidRPr="00CF2AB9" w14:paraId="07D9AC7E" w14:textId="77777777" w:rsidTr="006B2506">
        <w:trPr>
          <w:trHeight w:val="229"/>
        </w:trPr>
        <w:tc>
          <w:tcPr>
            <w:tcW w:w="690" w:type="dxa"/>
            <w:tcBorders>
              <w:top w:val="single" w:sz="4" w:space="0" w:color="auto"/>
              <w:left w:val="single" w:sz="4" w:space="0" w:color="auto"/>
              <w:right w:val="single" w:sz="4" w:space="0" w:color="auto"/>
            </w:tcBorders>
            <w:shd w:val="clear" w:color="auto" w:fill="auto"/>
          </w:tcPr>
          <w:p w14:paraId="06594688" w14:textId="77777777" w:rsidR="006B2506" w:rsidRPr="00CF2AB9" w:rsidRDefault="006B2506" w:rsidP="00F60FB8">
            <w:pPr>
              <w:widowControl w:val="0"/>
              <w:jc w:val="center"/>
              <w:rPr>
                <w:sz w:val="22"/>
                <w:szCs w:val="22"/>
                <w:lang w:val="uk-UA"/>
              </w:rPr>
            </w:pPr>
            <w:r w:rsidRPr="00CF2AB9">
              <w:rPr>
                <w:sz w:val="22"/>
                <w:szCs w:val="22"/>
                <w:lang w:val="uk-UA"/>
              </w:rPr>
              <w:t>2</w:t>
            </w:r>
          </w:p>
        </w:tc>
        <w:tc>
          <w:tcPr>
            <w:tcW w:w="1832" w:type="dxa"/>
            <w:tcBorders>
              <w:top w:val="single" w:sz="4" w:space="0" w:color="auto"/>
              <w:left w:val="single" w:sz="4" w:space="0" w:color="auto"/>
              <w:right w:val="single" w:sz="4" w:space="0" w:color="auto"/>
            </w:tcBorders>
            <w:shd w:val="clear" w:color="auto" w:fill="auto"/>
          </w:tcPr>
          <w:p w14:paraId="29F37B17" w14:textId="77777777" w:rsidR="006B2506" w:rsidRPr="00CF2AB9" w:rsidRDefault="006B2506" w:rsidP="00F60FB8">
            <w:pPr>
              <w:shd w:val="clear" w:color="auto" w:fill="FFFFFF"/>
              <w:spacing w:line="276" w:lineRule="auto"/>
              <w:jc w:val="center"/>
              <w:rPr>
                <w:bCs/>
                <w:sz w:val="22"/>
                <w:szCs w:val="22"/>
              </w:rPr>
            </w:pPr>
            <w:r w:rsidRPr="00CF2AB9">
              <w:rPr>
                <w:sz w:val="22"/>
                <w:szCs w:val="22"/>
              </w:rPr>
              <w:t>Струна косильна</w:t>
            </w:r>
          </w:p>
          <w:p w14:paraId="7CC5F738" w14:textId="77777777" w:rsidR="006B2506" w:rsidRPr="00CF2AB9" w:rsidRDefault="006B2506" w:rsidP="00F60FB8">
            <w:pPr>
              <w:widowControl w:val="0"/>
              <w:jc w:val="center"/>
              <w:rPr>
                <w:b/>
                <w:sz w:val="22"/>
                <w:szCs w:val="22"/>
                <w:lang w:val="uk-UA"/>
              </w:rPr>
            </w:pPr>
          </w:p>
        </w:tc>
        <w:tc>
          <w:tcPr>
            <w:tcW w:w="1277" w:type="dxa"/>
            <w:tcBorders>
              <w:top w:val="single" w:sz="4" w:space="0" w:color="auto"/>
              <w:left w:val="single" w:sz="4" w:space="0" w:color="auto"/>
              <w:right w:val="single" w:sz="4" w:space="0" w:color="auto"/>
            </w:tcBorders>
            <w:shd w:val="clear" w:color="auto" w:fill="auto"/>
          </w:tcPr>
          <w:p w14:paraId="51AA25B0" w14:textId="77777777" w:rsidR="006B2506" w:rsidRPr="00CF2AB9" w:rsidRDefault="006B2506" w:rsidP="00F60FB8">
            <w:pPr>
              <w:widowControl w:val="0"/>
              <w:jc w:val="center"/>
              <w:rPr>
                <w:b/>
                <w:bCs/>
                <w:snapToGrid w:val="0"/>
                <w:sz w:val="22"/>
                <w:szCs w:val="22"/>
                <w:lang w:val="uk-UA"/>
              </w:rPr>
            </w:pPr>
            <w:r w:rsidRPr="00CF2AB9">
              <w:rPr>
                <w:sz w:val="22"/>
                <w:szCs w:val="22"/>
              </w:rPr>
              <w:t xml:space="preserve">«Stihl»  </w:t>
            </w:r>
          </w:p>
        </w:tc>
        <w:tc>
          <w:tcPr>
            <w:tcW w:w="709" w:type="dxa"/>
            <w:tcBorders>
              <w:top w:val="single" w:sz="4" w:space="0" w:color="auto"/>
              <w:left w:val="single" w:sz="4" w:space="0" w:color="auto"/>
              <w:right w:val="single" w:sz="4" w:space="0" w:color="auto"/>
            </w:tcBorders>
            <w:shd w:val="clear" w:color="auto" w:fill="auto"/>
          </w:tcPr>
          <w:p w14:paraId="0774C501" w14:textId="77777777" w:rsidR="006B2506" w:rsidRPr="00CF2AB9" w:rsidRDefault="006B2506" w:rsidP="00F60FB8">
            <w:pPr>
              <w:widowControl w:val="0"/>
              <w:jc w:val="center"/>
              <w:rPr>
                <w:b/>
                <w:sz w:val="22"/>
                <w:szCs w:val="22"/>
                <w:lang w:val="uk-UA"/>
              </w:rPr>
            </w:pPr>
            <w:r w:rsidRPr="00CF2AB9">
              <w:rPr>
                <w:sz w:val="22"/>
                <w:szCs w:val="22"/>
              </w:rPr>
              <w:t>шт.</w:t>
            </w:r>
          </w:p>
        </w:tc>
        <w:tc>
          <w:tcPr>
            <w:tcW w:w="851" w:type="dxa"/>
            <w:tcBorders>
              <w:top w:val="single" w:sz="4" w:space="0" w:color="auto"/>
              <w:left w:val="single" w:sz="4" w:space="0" w:color="auto"/>
              <w:right w:val="single" w:sz="4" w:space="0" w:color="auto"/>
            </w:tcBorders>
            <w:shd w:val="clear" w:color="auto" w:fill="auto"/>
          </w:tcPr>
          <w:p w14:paraId="25B678B4" w14:textId="77777777" w:rsidR="006B2506" w:rsidRPr="00CF2AB9" w:rsidRDefault="006B2506" w:rsidP="00F60FB8">
            <w:pPr>
              <w:widowControl w:val="0"/>
              <w:jc w:val="center"/>
              <w:rPr>
                <w:b/>
                <w:sz w:val="22"/>
                <w:szCs w:val="22"/>
                <w:lang w:val="uk-UA"/>
              </w:rPr>
            </w:pPr>
            <w:r w:rsidRPr="00CF2AB9">
              <w:rPr>
                <w:sz w:val="22"/>
                <w:szCs w:val="22"/>
              </w:rPr>
              <w:t>2</w:t>
            </w:r>
          </w:p>
        </w:tc>
        <w:tc>
          <w:tcPr>
            <w:tcW w:w="4847" w:type="dxa"/>
            <w:tcBorders>
              <w:top w:val="single" w:sz="4" w:space="0" w:color="auto"/>
              <w:left w:val="single" w:sz="4" w:space="0" w:color="auto"/>
              <w:right w:val="single" w:sz="4" w:space="0" w:color="auto"/>
            </w:tcBorders>
            <w:shd w:val="clear" w:color="auto" w:fill="auto"/>
          </w:tcPr>
          <w:p w14:paraId="644153DA" w14:textId="77777777" w:rsidR="006B2506" w:rsidRPr="00CF2AB9" w:rsidRDefault="006B2506" w:rsidP="00F60FB8">
            <w:pPr>
              <w:keepLines/>
              <w:contextualSpacing/>
              <w:jc w:val="both"/>
              <w:rPr>
                <w:i/>
                <w:sz w:val="22"/>
                <w:szCs w:val="22"/>
                <w:lang w:val="uk-UA"/>
              </w:rPr>
            </w:pPr>
            <w:r w:rsidRPr="00CF2AB9">
              <w:rPr>
                <w:sz w:val="22"/>
                <w:szCs w:val="22"/>
                <w:lang w:val="uk-UA"/>
              </w:rPr>
              <w:t>Діаметр – 3,3 мм;</w:t>
            </w:r>
          </w:p>
          <w:p w14:paraId="393AB075" w14:textId="77777777" w:rsidR="006B2506" w:rsidRPr="00CF2AB9" w:rsidRDefault="006B2506" w:rsidP="00F60FB8">
            <w:pPr>
              <w:keepLines/>
              <w:contextualSpacing/>
              <w:jc w:val="both"/>
              <w:rPr>
                <w:sz w:val="22"/>
                <w:szCs w:val="22"/>
                <w:lang w:val="uk-UA"/>
              </w:rPr>
            </w:pPr>
            <w:r w:rsidRPr="00CF2AB9">
              <w:rPr>
                <w:sz w:val="22"/>
                <w:szCs w:val="22"/>
                <w:lang w:val="uk-UA"/>
              </w:rPr>
              <w:t>Форма перерізу – кругла;</w:t>
            </w:r>
          </w:p>
          <w:p w14:paraId="1B903F50" w14:textId="77777777" w:rsidR="006B2506" w:rsidRPr="00CF2AB9" w:rsidRDefault="006B2506" w:rsidP="00F60FB8">
            <w:pPr>
              <w:keepLines/>
              <w:contextualSpacing/>
              <w:jc w:val="both"/>
              <w:rPr>
                <w:sz w:val="22"/>
                <w:szCs w:val="22"/>
                <w:lang w:val="uk-UA"/>
              </w:rPr>
            </w:pPr>
            <w:r w:rsidRPr="00CF2AB9">
              <w:rPr>
                <w:sz w:val="22"/>
                <w:szCs w:val="22"/>
                <w:lang w:val="uk-UA"/>
              </w:rPr>
              <w:t xml:space="preserve">Довжина бухти (бобіни) – </w:t>
            </w:r>
            <w:r w:rsidRPr="00CF2AB9">
              <w:rPr>
                <w:i/>
                <w:color w:val="FF0000"/>
                <w:sz w:val="22"/>
                <w:szCs w:val="22"/>
                <w:lang w:val="uk-UA"/>
              </w:rPr>
              <w:t>не менше</w:t>
            </w:r>
            <w:r w:rsidRPr="00CF2AB9">
              <w:rPr>
                <w:i/>
                <w:sz w:val="22"/>
                <w:szCs w:val="22"/>
                <w:lang w:val="uk-UA"/>
              </w:rPr>
              <w:t xml:space="preserve"> </w:t>
            </w:r>
            <w:r w:rsidRPr="00CF2AB9">
              <w:rPr>
                <w:sz w:val="22"/>
                <w:szCs w:val="22"/>
                <w:lang w:val="uk-UA"/>
              </w:rPr>
              <w:t>228 м.</w:t>
            </w:r>
          </w:p>
        </w:tc>
      </w:tr>
    </w:tbl>
    <w:p w14:paraId="115A5075" w14:textId="77777777" w:rsidR="006F428D" w:rsidRPr="00CF2AB9" w:rsidRDefault="006F428D" w:rsidP="00A12478">
      <w:pPr>
        <w:rPr>
          <w:b/>
          <w:sz w:val="22"/>
          <w:szCs w:val="22"/>
          <w:lang w:val="uk-UA"/>
        </w:rPr>
      </w:pPr>
    </w:p>
    <w:p w14:paraId="73584671" w14:textId="77777777" w:rsidR="009165D1" w:rsidRPr="005F37AD" w:rsidRDefault="009165D1" w:rsidP="009165D1">
      <w:pPr>
        <w:jc w:val="both"/>
        <w:rPr>
          <w:b/>
          <w:bCs/>
          <w:sz w:val="22"/>
          <w:szCs w:val="22"/>
          <w:lang w:val="uk-UA" w:eastAsia="uk-UA"/>
        </w:rPr>
      </w:pPr>
      <w:r w:rsidRPr="005F37AD">
        <w:rPr>
          <w:b/>
          <w:bCs/>
          <w:sz w:val="22"/>
          <w:szCs w:val="22"/>
          <w:lang w:val="uk-UA"/>
        </w:rPr>
        <w:t>Додаткова інформація.</w:t>
      </w:r>
    </w:p>
    <w:p w14:paraId="1C935709" w14:textId="77777777" w:rsidR="009165D1" w:rsidRPr="005F37AD" w:rsidRDefault="009165D1" w:rsidP="009165D1">
      <w:pPr>
        <w:jc w:val="both"/>
        <w:rPr>
          <w:sz w:val="22"/>
          <w:szCs w:val="22"/>
          <w:lang w:val="uk-UA"/>
        </w:rPr>
      </w:pPr>
      <w:r w:rsidRPr="005F37AD">
        <w:rPr>
          <w:b/>
          <w:bCs/>
          <w:sz w:val="22"/>
          <w:szCs w:val="22"/>
          <w:lang w:val="uk-UA"/>
        </w:rPr>
        <w:t>1.</w:t>
      </w:r>
      <w:r w:rsidRPr="005F37AD">
        <w:rPr>
          <w:sz w:val="22"/>
          <w:szCs w:val="22"/>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5F37AD">
        <w:rPr>
          <w:b/>
          <w:bCs/>
          <w:sz w:val="22"/>
          <w:szCs w:val="22"/>
          <w:lang w:val="uk-UA"/>
        </w:rPr>
        <w:t>біля кожного такого посилання вважати вираз «або еквівалент»</w:t>
      </w:r>
      <w:r w:rsidRPr="005F37AD">
        <w:rPr>
          <w:sz w:val="22"/>
          <w:szCs w:val="22"/>
          <w:lang w:val="uk-UA"/>
        </w:rPr>
        <w:t xml:space="preserve">. Таким чином вважається, що до кожного посилання додається вираз </w:t>
      </w:r>
      <w:r w:rsidRPr="005F37AD">
        <w:rPr>
          <w:b/>
          <w:bCs/>
          <w:sz w:val="22"/>
          <w:szCs w:val="22"/>
          <w:lang w:val="uk-UA"/>
        </w:rPr>
        <w:t>«або еквівалент»</w:t>
      </w:r>
      <w:r w:rsidRPr="005F37AD">
        <w:rPr>
          <w:sz w:val="22"/>
          <w:szCs w:val="22"/>
          <w:lang w:val="uk-UA"/>
        </w:rPr>
        <w:t xml:space="preserve">. </w:t>
      </w:r>
    </w:p>
    <w:p w14:paraId="5B7EC305" w14:textId="77777777" w:rsidR="009165D1" w:rsidRPr="005F37AD" w:rsidRDefault="009165D1" w:rsidP="006B2506">
      <w:pPr>
        <w:ind w:firstLine="708"/>
        <w:jc w:val="both"/>
        <w:rPr>
          <w:sz w:val="22"/>
          <w:szCs w:val="22"/>
          <w:lang w:val="uk-UA"/>
        </w:rPr>
      </w:pPr>
      <w:r w:rsidRPr="005F37AD">
        <w:rPr>
          <w:sz w:val="22"/>
          <w:szCs w:val="22"/>
          <w:lang w:val="uk-UA"/>
        </w:rPr>
        <w:t xml:space="preserve">У місцях, де технічна специфікація містить посилання </w:t>
      </w:r>
      <w:r w:rsidRPr="005F37AD">
        <w:rPr>
          <w:sz w:val="22"/>
          <w:szCs w:val="22"/>
          <w:vertAlign w:val="superscript"/>
          <w:lang w:val="uk-UA"/>
        </w:rPr>
        <w:t>1)</w:t>
      </w:r>
      <w:r w:rsidRPr="005F37AD">
        <w:rPr>
          <w:sz w:val="22"/>
          <w:szCs w:val="22"/>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5F37AD">
        <w:rPr>
          <w:b/>
          <w:bCs/>
          <w:sz w:val="22"/>
          <w:szCs w:val="22"/>
          <w:lang w:val="uk-UA"/>
        </w:rPr>
        <w:t>вважати наявним вираз «або еквівалент»</w:t>
      </w:r>
      <w:r w:rsidRPr="005F37AD">
        <w:rPr>
          <w:sz w:val="22"/>
          <w:szCs w:val="22"/>
          <w:lang w:val="uk-UA"/>
        </w:rPr>
        <w:t xml:space="preserve">. Таким чином вважається, що до кожного посилання додається вираз «або еквівалент» </w:t>
      </w:r>
      <w:r w:rsidRPr="005F37AD">
        <w:rPr>
          <w:b/>
          <w:bCs/>
          <w:i/>
          <w:iCs/>
          <w:sz w:val="22"/>
          <w:szCs w:val="22"/>
          <w:lang w:val="uk-UA"/>
        </w:rPr>
        <w:t>(</w:t>
      </w:r>
      <w:r w:rsidRPr="005F37AD">
        <w:rPr>
          <w:b/>
          <w:bCs/>
          <w:i/>
          <w:iCs/>
          <w:sz w:val="22"/>
          <w:szCs w:val="22"/>
          <w:vertAlign w:val="superscript"/>
          <w:lang w:val="uk-UA"/>
        </w:rPr>
        <w:t>1)</w:t>
      </w:r>
      <w:r w:rsidRPr="005F37AD">
        <w:rPr>
          <w:b/>
          <w:bCs/>
          <w:i/>
          <w:iCs/>
          <w:sz w:val="22"/>
          <w:szCs w:val="22"/>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5F37AD">
        <w:rPr>
          <w:sz w:val="22"/>
          <w:szCs w:val="22"/>
          <w:lang w:val="uk-UA"/>
        </w:rPr>
        <w:t xml:space="preserve">. </w:t>
      </w:r>
    </w:p>
    <w:p w14:paraId="5CBDD50A" w14:textId="070F63BF" w:rsidR="00A256E7" w:rsidRPr="007101A5" w:rsidRDefault="009165D1" w:rsidP="006B2506">
      <w:pPr>
        <w:autoSpaceDE w:val="0"/>
        <w:autoSpaceDN w:val="0"/>
        <w:ind w:firstLine="709"/>
        <w:jc w:val="both"/>
        <w:rPr>
          <w:color w:val="000000"/>
          <w:sz w:val="26"/>
          <w:szCs w:val="26"/>
          <w:lang w:val="uk-UA"/>
        </w:rPr>
      </w:pPr>
      <w:r w:rsidRPr="005F37AD">
        <w:rPr>
          <w:sz w:val="22"/>
          <w:szCs w:val="22"/>
          <w:lang w:val="uk-UA"/>
        </w:rPr>
        <w:t xml:space="preserve">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запропонованого еквіваленту повинні відповідати встановленим в </w:t>
      </w:r>
      <w:r w:rsidRPr="005F37AD">
        <w:rPr>
          <w:b/>
          <w:bCs/>
          <w:sz w:val="22"/>
          <w:szCs w:val="22"/>
          <w:lang w:val="uk-UA"/>
        </w:rPr>
        <w:t>Додатку 1</w:t>
      </w:r>
      <w:r w:rsidRPr="005F37AD">
        <w:rPr>
          <w:sz w:val="22"/>
          <w:szCs w:val="22"/>
          <w:lang w:val="uk-UA"/>
        </w:rPr>
        <w:t xml:space="preserve"> технічним та якісним характеристикам предмета закупівлі)</w:t>
      </w:r>
      <w:r w:rsidR="006B2506">
        <w:rPr>
          <w:sz w:val="22"/>
          <w:szCs w:val="22"/>
          <w:lang w:val="uk-UA"/>
        </w:rPr>
        <w:t>.</w:t>
      </w:r>
    </w:p>
    <w:sectPr w:rsidR="00A256E7" w:rsidRPr="007101A5" w:rsidSect="006B2506">
      <w:headerReference w:type="even" r:id="rId12"/>
      <w:headerReference w:type="default" r:id="rId13"/>
      <w:footerReference w:type="default" r:id="rId14"/>
      <w:pgSz w:w="11906" w:h="16838"/>
      <w:pgMar w:top="567" w:right="567" w:bottom="567" w:left="1134" w:header="709" w:footer="50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540FF" w14:textId="77777777" w:rsidR="0061466C" w:rsidRDefault="0061466C">
      <w:r>
        <w:separator/>
      </w:r>
    </w:p>
  </w:endnote>
  <w:endnote w:type="continuationSeparator" w:id="0">
    <w:p w14:paraId="5C1F897A" w14:textId="77777777" w:rsidR="0061466C" w:rsidRDefault="0061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2C3F7" w14:textId="6E557C8E" w:rsidR="00A256E7" w:rsidRPr="00A256E7" w:rsidRDefault="0096563F"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73E6E448" wp14:editId="72FCFBD1">
              <wp:simplePos x="0" y="0"/>
              <wp:positionH relativeFrom="column">
                <wp:posOffset>-180340</wp:posOffset>
              </wp:positionH>
              <wp:positionV relativeFrom="paragraph">
                <wp:posOffset>7620</wp:posOffset>
              </wp:positionV>
              <wp:extent cx="6357620" cy="14605"/>
              <wp:effectExtent l="10160" t="7620" r="13970" b="6350"/>
              <wp:wrapNone/>
              <wp:docPr id="2658548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CE1B9E"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E438AC">
      <w:rPr>
        <w:sz w:val="20"/>
        <w:szCs w:val="20"/>
        <w:lang w:val="uk-UA"/>
      </w:rPr>
      <w:t xml:space="preserve">Струна косильна, код ДК 021:2015 - 16810000-6 - Частини для сільськогосподарської техніки </w:t>
    </w:r>
  </w:p>
  <w:p w14:paraId="67A4B1B8"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9C158" w14:textId="77777777" w:rsidR="0061466C" w:rsidRDefault="0061466C">
      <w:r>
        <w:separator/>
      </w:r>
    </w:p>
  </w:footnote>
  <w:footnote w:type="continuationSeparator" w:id="0">
    <w:p w14:paraId="3F5D9DA1" w14:textId="77777777" w:rsidR="0061466C" w:rsidRDefault="00614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70DFB" w14:textId="738F9D3C"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B2506">
      <w:rPr>
        <w:rStyle w:val="ac"/>
        <w:noProof/>
      </w:rPr>
      <w:t>2</w:t>
    </w:r>
    <w:r>
      <w:rPr>
        <w:rStyle w:val="ac"/>
      </w:rPr>
      <w:fldChar w:fldCharType="end"/>
    </w:r>
  </w:p>
  <w:p w14:paraId="62301E0A"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569D4" w14:textId="42F6CA34" w:rsidR="002D6492" w:rsidRPr="003C4B6B" w:rsidRDefault="0096563F"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34D8604E" wp14:editId="4842BA6D">
              <wp:simplePos x="0" y="0"/>
              <wp:positionH relativeFrom="column">
                <wp:posOffset>-17145</wp:posOffset>
              </wp:positionH>
              <wp:positionV relativeFrom="paragraph">
                <wp:posOffset>476885</wp:posOffset>
              </wp:positionV>
              <wp:extent cx="6329045" cy="13970"/>
              <wp:effectExtent l="11430" t="10160" r="12700" b="13970"/>
              <wp:wrapNone/>
              <wp:docPr id="16017574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5B7F18"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6BF367ED" wp14:editId="14C85D30">
          <wp:extent cx="1446530" cy="288290"/>
          <wp:effectExtent l="0" t="0" r="0" b="0"/>
          <wp:docPr id="11096769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28829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819297145">
    <w:abstractNumId w:val="20"/>
  </w:num>
  <w:num w:numId="2" w16cid:durableId="137499805">
    <w:abstractNumId w:val="22"/>
  </w:num>
  <w:num w:numId="3" w16cid:durableId="88940017">
    <w:abstractNumId w:val="0"/>
  </w:num>
  <w:num w:numId="4" w16cid:durableId="1511336428">
    <w:abstractNumId w:val="23"/>
  </w:num>
  <w:num w:numId="5" w16cid:durableId="272059701">
    <w:abstractNumId w:val="7"/>
  </w:num>
  <w:num w:numId="6" w16cid:durableId="819881510">
    <w:abstractNumId w:val="5"/>
  </w:num>
  <w:num w:numId="7" w16cid:durableId="2041079199">
    <w:abstractNumId w:val="6"/>
  </w:num>
  <w:num w:numId="8" w16cid:durableId="1541360385">
    <w:abstractNumId w:val="19"/>
  </w:num>
  <w:num w:numId="9" w16cid:durableId="655576601">
    <w:abstractNumId w:val="1"/>
  </w:num>
  <w:num w:numId="10" w16cid:durableId="1493565653">
    <w:abstractNumId w:val="16"/>
  </w:num>
  <w:num w:numId="11" w16cid:durableId="414975841">
    <w:abstractNumId w:val="14"/>
  </w:num>
  <w:num w:numId="12" w16cid:durableId="1107043249">
    <w:abstractNumId w:val="12"/>
  </w:num>
  <w:num w:numId="13" w16cid:durableId="1809056874">
    <w:abstractNumId w:val="13"/>
  </w:num>
  <w:num w:numId="14" w16cid:durableId="275872719">
    <w:abstractNumId w:val="3"/>
  </w:num>
  <w:num w:numId="15" w16cid:durableId="2055036740">
    <w:abstractNumId w:val="15"/>
  </w:num>
  <w:num w:numId="16" w16cid:durableId="206836351">
    <w:abstractNumId w:val="2"/>
  </w:num>
  <w:num w:numId="17" w16cid:durableId="1418937239">
    <w:abstractNumId w:val="11"/>
  </w:num>
  <w:num w:numId="18" w16cid:durableId="1180239042">
    <w:abstractNumId w:val="4"/>
  </w:num>
  <w:num w:numId="19" w16cid:durableId="754932986">
    <w:abstractNumId w:val="8"/>
  </w:num>
  <w:num w:numId="20" w16cid:durableId="706099818">
    <w:abstractNumId w:val="18"/>
  </w:num>
  <w:num w:numId="21" w16cid:durableId="769589387">
    <w:abstractNumId w:val="9"/>
  </w:num>
  <w:num w:numId="22" w16cid:durableId="131219577">
    <w:abstractNumId w:val="17"/>
  </w:num>
  <w:num w:numId="23" w16cid:durableId="427501697">
    <w:abstractNumId w:val="10"/>
  </w:num>
  <w:num w:numId="24" w16cid:durableId="157817772">
    <w:abstractNumId w:val="21"/>
  </w:num>
  <w:num w:numId="25" w16cid:durableId="13956183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3D5E"/>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3FC"/>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3C45"/>
    <w:rsid w:val="00284141"/>
    <w:rsid w:val="00285D88"/>
    <w:rsid w:val="00285E1F"/>
    <w:rsid w:val="0028695D"/>
    <w:rsid w:val="00287504"/>
    <w:rsid w:val="0029087B"/>
    <w:rsid w:val="00290B98"/>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2C47"/>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367"/>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1932"/>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466C"/>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87D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2506"/>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1939"/>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563F"/>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069F"/>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4218"/>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6ACD"/>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2AB9"/>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38AC"/>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635"/>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67B7B"/>
  <w15:chartTrackingRefBased/>
  <w15:docId w15:val="{5C8468DC-8F06-45CD-A75D-91939EC0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eastAsia="ru-RU"/>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eastAsia="ru-RU"/>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 w:type="character" w:styleId="af9">
    <w:name w:val="Unresolved Mention"/>
    <w:basedOn w:val="a0"/>
    <w:uiPriority w:val="99"/>
    <w:semiHidden/>
    <w:unhideWhenUsed/>
    <w:rsid w:val="006B2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martco.cn.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otocentre.com.ua/" TargetMode="External"/><Relationship Id="rId4" Type="http://schemas.openxmlformats.org/officeDocument/2006/relationships/settings" Target="settings.xml"/><Relationship Id="rId9" Type="http://schemas.openxmlformats.org/officeDocument/2006/relationships/hyperlink" Target="https://sadmarket.com.ua/"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817</Words>
  <Characters>4661</Characters>
  <Application>Microsoft Office Word</Application>
  <DocSecurity>0</DocSecurity>
  <Lines>38</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Гапонюк Наталія Володимирівна</dc:creator>
  <cp:keywords/>
  <cp:lastModifiedBy>Рибак Тетяна Вікторівна</cp:lastModifiedBy>
  <cp:revision>4</cp:revision>
  <cp:lastPrinted>2021-11-17T09:02:00Z</cp:lastPrinted>
  <dcterms:created xsi:type="dcterms:W3CDTF">2025-05-19T14:14:00Z</dcterms:created>
  <dcterms:modified xsi:type="dcterms:W3CDTF">2025-05-20T06:45:00Z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