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18" w:type="dxa"/>
        <w:tblLook w:val="01E0" w:firstRow="1" w:lastRow="1" w:firstColumn="1" w:lastColumn="1" w:noHBand="0" w:noVBand="0"/>
      </w:tblPr>
      <w:tblGrid>
        <w:gridCol w:w="3265"/>
        <w:gridCol w:w="5171"/>
      </w:tblGrid>
      <w:tr w:rsidR="00825A6B" w:rsidRPr="007101A5" w14:paraId="5D956C87" w14:textId="77777777" w:rsidTr="009213A5">
        <w:tc>
          <w:tcPr>
            <w:tcW w:w="3265" w:type="dxa"/>
          </w:tcPr>
          <w:p w14:paraId="517F56A1" w14:textId="705A07A7" w:rsidR="00825A6B" w:rsidRPr="007101A5" w:rsidRDefault="003D49DC" w:rsidP="006926A0">
            <w:pPr>
              <w:pStyle w:val="a4"/>
              <w:widowControl w:val="0"/>
              <w:rPr>
                <w:szCs w:val="17"/>
                <w:lang w:val="uk-UA"/>
              </w:rPr>
            </w:pPr>
            <w:r>
              <w:rPr>
                <w:noProof/>
                <w:lang w:val="uk-UA"/>
              </w:rPr>
              <w:drawing>
                <wp:inline distT="0" distB="0" distL="0" distR="0" wp14:anchorId="78DBFB90" wp14:editId="1B09B57C">
                  <wp:extent cx="1447165"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165" cy="286385"/>
                          </a:xfrm>
                          <a:prstGeom prst="rect">
                            <a:avLst/>
                          </a:prstGeom>
                          <a:noFill/>
                          <a:ln>
                            <a:noFill/>
                          </a:ln>
                        </pic:spPr>
                      </pic:pic>
                    </a:graphicData>
                  </a:graphic>
                </wp:inline>
              </w:drawing>
            </w:r>
          </w:p>
        </w:tc>
        <w:tc>
          <w:tcPr>
            <w:tcW w:w="5171" w:type="dxa"/>
          </w:tcPr>
          <w:p w14:paraId="1D2B36C2"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1DE062E8"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443F1B20"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440060FC"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0A9488EA" w14:textId="77777777" w:rsidTr="009213A5">
        <w:tc>
          <w:tcPr>
            <w:tcW w:w="8436" w:type="dxa"/>
            <w:gridSpan w:val="2"/>
          </w:tcPr>
          <w:p w14:paraId="48714DBC" w14:textId="77777777" w:rsidR="003C4B6B" w:rsidRPr="007101A5" w:rsidRDefault="003C4B6B" w:rsidP="007D7B6F">
            <w:pPr>
              <w:pStyle w:val="1"/>
              <w:keepNext w:val="0"/>
              <w:widowControl w:val="0"/>
              <w:rPr>
                <w:sz w:val="28"/>
                <w:szCs w:val="28"/>
              </w:rPr>
            </w:pPr>
          </w:p>
          <w:p w14:paraId="3DC00535"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7F55377F" w14:textId="77777777" w:rsidR="005F3529" w:rsidRPr="007101A5" w:rsidRDefault="005F3529" w:rsidP="0063471D">
      <w:pPr>
        <w:pStyle w:val="a4"/>
        <w:widowControl w:val="0"/>
        <w:jc w:val="both"/>
        <w:rPr>
          <w:sz w:val="24"/>
          <w:szCs w:val="24"/>
          <w:lang w:val="uk-UA"/>
        </w:rPr>
      </w:pPr>
    </w:p>
    <w:p w14:paraId="033EEFB6" w14:textId="77777777" w:rsidR="007D7B6F" w:rsidRPr="009213A5" w:rsidRDefault="003C4B6B" w:rsidP="0063471D">
      <w:pPr>
        <w:pStyle w:val="a4"/>
        <w:widowControl w:val="0"/>
        <w:jc w:val="both"/>
        <w:rPr>
          <w:sz w:val="24"/>
          <w:szCs w:val="24"/>
          <w:lang w:val="uk-UA"/>
        </w:rPr>
      </w:pPr>
      <w:r w:rsidRPr="009213A5">
        <w:rPr>
          <w:sz w:val="24"/>
          <w:szCs w:val="24"/>
          <w:lang w:val="uk-UA"/>
        </w:rPr>
        <w:t xml:space="preserve">Підстава: </w:t>
      </w:r>
      <w:r w:rsidR="007D7B6F" w:rsidRPr="009213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207ED43D" w14:textId="77777777" w:rsidR="009F35DC" w:rsidRPr="009213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9213A5" w14:paraId="468F5920" w14:textId="77777777" w:rsidTr="00C62708">
        <w:tc>
          <w:tcPr>
            <w:tcW w:w="487" w:type="pct"/>
            <w:shd w:val="clear" w:color="auto" w:fill="DEEAF6"/>
          </w:tcPr>
          <w:p w14:paraId="3CA0E7B4" w14:textId="77777777" w:rsidR="00A76484" w:rsidRPr="009213A5" w:rsidRDefault="00A76484" w:rsidP="002D4D30">
            <w:pPr>
              <w:widowControl w:val="0"/>
              <w:contextualSpacing/>
              <w:jc w:val="center"/>
              <w:rPr>
                <w:b/>
                <w:lang w:val="uk-UA"/>
              </w:rPr>
            </w:pPr>
            <w:r w:rsidRPr="009213A5">
              <w:rPr>
                <w:b/>
                <w:lang w:val="uk-UA"/>
              </w:rPr>
              <w:t>Пункт Кошторису</w:t>
            </w:r>
          </w:p>
        </w:tc>
        <w:tc>
          <w:tcPr>
            <w:tcW w:w="1527" w:type="pct"/>
            <w:shd w:val="clear" w:color="auto" w:fill="DEEAF6"/>
          </w:tcPr>
          <w:p w14:paraId="03E5B012" w14:textId="77777777" w:rsidR="00A76484" w:rsidRPr="009213A5" w:rsidRDefault="00A76484" w:rsidP="002D4D30">
            <w:pPr>
              <w:widowControl w:val="0"/>
              <w:contextualSpacing/>
              <w:jc w:val="center"/>
              <w:rPr>
                <w:b/>
                <w:lang w:val="uk-UA"/>
              </w:rPr>
            </w:pPr>
            <w:r w:rsidRPr="009213A5">
              <w:rPr>
                <w:b/>
                <w:lang w:val="uk-UA"/>
              </w:rPr>
              <w:t>Назва предмета закупівлі із зазначенням коду за Єдиним закупівельним словником</w:t>
            </w:r>
          </w:p>
        </w:tc>
        <w:tc>
          <w:tcPr>
            <w:tcW w:w="947" w:type="pct"/>
            <w:shd w:val="clear" w:color="auto" w:fill="DEEAF6"/>
          </w:tcPr>
          <w:p w14:paraId="1DA0678D" w14:textId="77777777" w:rsidR="00A76484" w:rsidRPr="009213A5" w:rsidRDefault="00A76484" w:rsidP="00DB2D70">
            <w:pPr>
              <w:widowControl w:val="0"/>
              <w:contextualSpacing/>
              <w:jc w:val="center"/>
              <w:rPr>
                <w:b/>
                <w:lang w:val="uk-UA"/>
              </w:rPr>
            </w:pPr>
            <w:r w:rsidRPr="009213A5">
              <w:rPr>
                <w:b/>
                <w:lang w:val="uk-UA"/>
              </w:rPr>
              <w:t>Очікувана варт</w:t>
            </w:r>
            <w:r w:rsidR="00DB2D70" w:rsidRPr="009213A5">
              <w:rPr>
                <w:b/>
                <w:lang w:val="uk-UA"/>
              </w:rPr>
              <w:t>ість предмета закупівлі згідно р</w:t>
            </w:r>
            <w:r w:rsidRPr="009213A5">
              <w:rPr>
                <w:b/>
                <w:lang w:val="uk-UA"/>
              </w:rPr>
              <w:t>ічного плану закупівель</w:t>
            </w:r>
          </w:p>
        </w:tc>
        <w:tc>
          <w:tcPr>
            <w:tcW w:w="1102" w:type="pct"/>
            <w:shd w:val="clear" w:color="auto" w:fill="DEEAF6"/>
          </w:tcPr>
          <w:p w14:paraId="2DB14ADD" w14:textId="77777777" w:rsidR="00A76484" w:rsidRPr="009213A5" w:rsidRDefault="00A76484" w:rsidP="002D4D30">
            <w:pPr>
              <w:widowControl w:val="0"/>
              <w:contextualSpacing/>
              <w:jc w:val="center"/>
              <w:rPr>
                <w:b/>
                <w:lang w:val="uk-UA"/>
              </w:rPr>
            </w:pPr>
            <w:r w:rsidRPr="009213A5">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0591D46F" w14:textId="77777777" w:rsidR="00A76484" w:rsidRPr="009213A5" w:rsidRDefault="00A355EA" w:rsidP="002D4D30">
            <w:pPr>
              <w:widowControl w:val="0"/>
              <w:contextualSpacing/>
              <w:jc w:val="center"/>
              <w:rPr>
                <w:b/>
                <w:lang w:val="uk-UA"/>
              </w:rPr>
            </w:pPr>
            <w:r w:rsidRPr="009213A5">
              <w:rPr>
                <w:b/>
                <w:lang w:val="uk-UA"/>
              </w:rPr>
              <w:t>Ідентифікатор процедури закупівлі</w:t>
            </w:r>
          </w:p>
        </w:tc>
      </w:tr>
      <w:tr w:rsidR="009213A5" w:rsidRPr="009213A5" w14:paraId="71F82DA2" w14:textId="77777777" w:rsidTr="00212515">
        <w:tc>
          <w:tcPr>
            <w:tcW w:w="487" w:type="pct"/>
          </w:tcPr>
          <w:p w14:paraId="045B0050" w14:textId="7370AF9C" w:rsidR="009213A5" w:rsidRPr="009213A5" w:rsidRDefault="009213A5" w:rsidP="009213A5">
            <w:pPr>
              <w:widowControl w:val="0"/>
              <w:ind w:right="-11"/>
              <w:jc w:val="center"/>
              <w:rPr>
                <w:lang w:val="uk-UA" w:eastAsia="uk-UA"/>
              </w:rPr>
            </w:pPr>
            <w:r w:rsidRPr="009213A5">
              <w:rPr>
                <w:lang w:val="uk-UA"/>
              </w:rPr>
              <w:t xml:space="preserve">п. 4.15.2 </w:t>
            </w:r>
            <w:r w:rsidRPr="009213A5">
              <w:rPr>
                <w:lang w:val="uk-UA" w:eastAsia="uk-UA"/>
              </w:rPr>
              <w:t>(2025)</w:t>
            </w:r>
          </w:p>
        </w:tc>
        <w:tc>
          <w:tcPr>
            <w:tcW w:w="1527" w:type="pct"/>
          </w:tcPr>
          <w:p w14:paraId="3227AED1" w14:textId="40DC265F" w:rsidR="009213A5" w:rsidRPr="009213A5" w:rsidRDefault="009213A5" w:rsidP="009213A5">
            <w:pPr>
              <w:widowControl w:val="0"/>
              <w:rPr>
                <w:bCs/>
                <w:lang w:val="uk-UA"/>
              </w:rPr>
            </w:pPr>
            <w:r w:rsidRPr="009213A5">
              <w:rPr>
                <w:b/>
                <w:lang w:val="uk-UA"/>
              </w:rPr>
              <w:t xml:space="preserve">Матеріал для ремонту злітно-посадкової смуги, код ДК 021:2015 - 44110000-4 - Конструкційні матеріали </w:t>
            </w:r>
            <w:r w:rsidRPr="009213A5">
              <w:rPr>
                <w:lang w:val="uk-UA"/>
              </w:rPr>
              <w:t xml:space="preserve"> </w:t>
            </w:r>
          </w:p>
        </w:tc>
        <w:tc>
          <w:tcPr>
            <w:tcW w:w="947" w:type="pct"/>
          </w:tcPr>
          <w:p w14:paraId="45516292" w14:textId="77777777" w:rsidR="009213A5" w:rsidRPr="009213A5" w:rsidRDefault="009213A5" w:rsidP="009213A5">
            <w:pPr>
              <w:widowControl w:val="0"/>
              <w:jc w:val="center"/>
              <w:rPr>
                <w:lang w:val="uk-UA"/>
              </w:rPr>
            </w:pPr>
            <w:r w:rsidRPr="009213A5">
              <w:rPr>
                <w:lang w:val="uk-UA"/>
              </w:rPr>
              <w:t xml:space="preserve">554 400,00 </w:t>
            </w:r>
          </w:p>
          <w:p w14:paraId="04F687BE" w14:textId="5E3F4AC3" w:rsidR="009213A5" w:rsidRPr="009213A5" w:rsidRDefault="009213A5" w:rsidP="009213A5">
            <w:pPr>
              <w:widowControl w:val="0"/>
              <w:jc w:val="center"/>
              <w:rPr>
                <w:lang w:val="uk-UA"/>
              </w:rPr>
            </w:pPr>
            <w:r w:rsidRPr="009213A5">
              <w:rPr>
                <w:lang w:val="uk-UA"/>
              </w:rPr>
              <w:t>грн. з ПДВ</w:t>
            </w:r>
          </w:p>
        </w:tc>
        <w:tc>
          <w:tcPr>
            <w:tcW w:w="1102" w:type="pct"/>
          </w:tcPr>
          <w:p w14:paraId="28F5774C" w14:textId="77777777" w:rsidR="009213A5" w:rsidRPr="009213A5" w:rsidRDefault="009213A5" w:rsidP="009213A5">
            <w:pPr>
              <w:widowControl w:val="0"/>
              <w:jc w:val="center"/>
              <w:rPr>
                <w:lang w:val="uk-UA"/>
              </w:rPr>
            </w:pPr>
            <w:r w:rsidRPr="009213A5">
              <w:rPr>
                <w:lang w:val="uk-UA"/>
              </w:rPr>
              <w:t>462 000,00</w:t>
            </w:r>
          </w:p>
          <w:p w14:paraId="388F9BE0" w14:textId="6BEE609E" w:rsidR="009213A5" w:rsidRPr="009213A5" w:rsidRDefault="009213A5" w:rsidP="009213A5">
            <w:pPr>
              <w:widowControl w:val="0"/>
              <w:jc w:val="center"/>
              <w:rPr>
                <w:lang w:val="uk-UA"/>
              </w:rPr>
            </w:pPr>
            <w:r w:rsidRPr="009213A5">
              <w:rPr>
                <w:lang w:val="uk-UA"/>
              </w:rPr>
              <w:t xml:space="preserve">грн. без ПДВ </w:t>
            </w:r>
          </w:p>
        </w:tc>
        <w:tc>
          <w:tcPr>
            <w:tcW w:w="936" w:type="pct"/>
          </w:tcPr>
          <w:p w14:paraId="785BB9EA" w14:textId="090E5685" w:rsidR="009213A5" w:rsidRPr="009213A5" w:rsidRDefault="00A63A15" w:rsidP="009213A5">
            <w:pPr>
              <w:widowControl w:val="0"/>
              <w:jc w:val="center"/>
              <w:rPr>
                <w:color w:val="0000FF"/>
                <w:lang w:val="uk-UA"/>
              </w:rPr>
            </w:pPr>
            <w:r w:rsidRPr="00A63A15">
              <w:rPr>
                <w:b/>
                <w:lang w:val="uk-UA"/>
              </w:rPr>
              <w:t>UA-2025-06-23-008440-a</w:t>
            </w:r>
          </w:p>
        </w:tc>
      </w:tr>
    </w:tbl>
    <w:p w14:paraId="58FB81C8" w14:textId="77777777" w:rsidR="00A12478" w:rsidRPr="009213A5" w:rsidRDefault="00A12478" w:rsidP="0063471D">
      <w:pPr>
        <w:pStyle w:val="a4"/>
        <w:widowControl w:val="0"/>
        <w:jc w:val="both"/>
        <w:rPr>
          <w:sz w:val="24"/>
          <w:szCs w:val="24"/>
          <w:lang w:val="uk-UA"/>
        </w:rPr>
      </w:pPr>
    </w:p>
    <w:p w14:paraId="43AEBF15" w14:textId="77777777" w:rsidR="00A355EA" w:rsidRPr="009213A5" w:rsidRDefault="00A355EA" w:rsidP="00C62708">
      <w:pPr>
        <w:widowControl w:val="0"/>
        <w:shd w:val="clear" w:color="auto" w:fill="DEEAF6"/>
        <w:jc w:val="center"/>
        <w:rPr>
          <w:lang w:val="uk-UA"/>
        </w:rPr>
      </w:pPr>
      <w:r w:rsidRPr="009213A5">
        <w:rPr>
          <w:b/>
          <w:lang w:val="uk-UA"/>
        </w:rPr>
        <w:t>Обґрунтування на виконання вимог Постанови КМУ від 11.10.2016 № 710:</w:t>
      </w:r>
    </w:p>
    <w:p w14:paraId="21E551E9" w14:textId="77777777" w:rsidR="006F428D" w:rsidRPr="009213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E071B6" w:rsidRPr="009213A5" w14:paraId="295E0E1F"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58423D8" w14:textId="77777777" w:rsidR="00E071B6" w:rsidRPr="009213A5" w:rsidRDefault="00E071B6" w:rsidP="00E071B6">
            <w:pPr>
              <w:rPr>
                <w:lang w:val="uk-UA"/>
              </w:rPr>
            </w:pPr>
            <w:r w:rsidRPr="009213A5">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9600B41" w14:textId="77777777" w:rsidR="00E071B6" w:rsidRPr="009213A5" w:rsidRDefault="00E071B6" w:rsidP="00E071B6">
            <w:pPr>
              <w:rPr>
                <w:lang w:val="uk-UA"/>
              </w:rPr>
            </w:pPr>
            <w:r w:rsidRPr="009213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237B57E" w14:textId="77777777" w:rsidR="00E071B6" w:rsidRPr="00E071B6" w:rsidRDefault="00E071B6" w:rsidP="00E071B6">
            <w:pPr>
              <w:widowControl w:val="0"/>
              <w:ind w:right="160"/>
              <w:jc w:val="both"/>
              <w:rPr>
                <w:lang w:val="uk-UA"/>
              </w:rPr>
            </w:pPr>
            <w:r w:rsidRPr="00E071B6">
              <w:rPr>
                <w:b/>
                <w:i/>
                <w:lang w:val="uk-UA"/>
              </w:rPr>
              <w:t>Обґрунтування очікуваної вартості предмета закупівлі:</w:t>
            </w:r>
            <w:r w:rsidRPr="00E071B6">
              <w:rPr>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4E3A69BB" w14:textId="77777777" w:rsidR="00E071B6" w:rsidRPr="00056BFC" w:rsidRDefault="00E071B6" w:rsidP="00E071B6">
            <w:pPr>
              <w:widowControl w:val="0"/>
              <w:ind w:right="160"/>
              <w:jc w:val="both"/>
            </w:pPr>
            <w:r w:rsidRPr="00E071B6">
              <w:rPr>
                <w:lang w:val="uk-UA"/>
              </w:rPr>
              <w:t xml:space="preserve">    </w:t>
            </w:r>
            <w:r w:rsidRPr="00056BFC">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249CAB22" w14:textId="31F7054C" w:rsidR="00E071B6" w:rsidRPr="00E071B6" w:rsidRDefault="00E071B6" w:rsidP="00E071B6">
            <w:pPr>
              <w:rPr>
                <w:iCs/>
                <w:lang w:val="uk-UA"/>
              </w:rPr>
            </w:pPr>
            <w:r w:rsidRPr="00DB509D">
              <w:rPr>
                <w:b/>
                <w:i/>
              </w:rPr>
              <w:t>Обґрунтування обсягів закупівлі:</w:t>
            </w:r>
            <w:r w:rsidRPr="00DB509D">
              <w:rPr>
                <w:b/>
              </w:rPr>
              <w:t xml:space="preserve"> </w:t>
            </w:r>
            <w:r w:rsidRPr="00DB509D">
              <w:t>Обсяги визначено відповідно до очікуваної потреби.</w:t>
            </w:r>
          </w:p>
        </w:tc>
      </w:tr>
      <w:tr w:rsidR="00E071B6" w:rsidRPr="009213A5" w14:paraId="05E89094"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8507BC7" w14:textId="77777777" w:rsidR="00E071B6" w:rsidRPr="009213A5" w:rsidRDefault="00E071B6" w:rsidP="00E071B6">
            <w:pPr>
              <w:rPr>
                <w:lang w:val="uk-UA"/>
              </w:rPr>
            </w:pPr>
            <w:r w:rsidRPr="009213A5">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2A943D4" w14:textId="77777777" w:rsidR="00E071B6" w:rsidRPr="009213A5" w:rsidRDefault="00E071B6" w:rsidP="00E071B6">
            <w:pPr>
              <w:rPr>
                <w:lang w:val="uk-UA"/>
              </w:rPr>
            </w:pPr>
            <w:r w:rsidRPr="009213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C9310B2" w14:textId="77777777" w:rsidR="00E071B6" w:rsidRDefault="00E071B6" w:rsidP="00E071B6">
            <w:pPr>
              <w:widowControl w:val="0"/>
              <w:ind w:right="160" w:firstLine="368"/>
              <w:jc w:val="both"/>
              <w:rPr>
                <w:rFonts w:eastAsia="Calibri"/>
                <w:lang w:eastAsia="uk-UA"/>
              </w:rPr>
            </w:pPr>
            <w:r w:rsidRPr="00DB509D">
              <w:rPr>
                <w:b/>
                <w:i/>
              </w:rPr>
              <w:t>Визначення потреби в закупівлі:</w:t>
            </w:r>
            <w:r>
              <w:t xml:space="preserve"> </w:t>
            </w:r>
            <w:r w:rsidRPr="00473279">
              <w:t xml:space="preserve">зумовлена необхідністю </w:t>
            </w:r>
            <w:r w:rsidRPr="00473279">
              <w:rPr>
                <w:rFonts w:eastAsia="Calibri"/>
                <w:lang w:eastAsia="uk-UA"/>
              </w:rPr>
              <w:t xml:space="preserve">проведення </w:t>
            </w:r>
            <w:r>
              <w:rPr>
                <w:rFonts w:eastAsia="Calibri"/>
                <w:lang w:eastAsia="uk-UA"/>
              </w:rPr>
              <w:t>р</w:t>
            </w:r>
            <w:r w:rsidRPr="00407BFF">
              <w:rPr>
                <w:rFonts w:eastAsia="Calibri"/>
                <w:lang w:eastAsia="uk-UA"/>
              </w:rPr>
              <w:t>емонт</w:t>
            </w:r>
            <w:r>
              <w:rPr>
                <w:rFonts w:eastAsia="Calibri"/>
                <w:lang w:eastAsia="uk-UA"/>
              </w:rPr>
              <w:t>у та оперативного</w:t>
            </w:r>
            <w:r w:rsidRPr="00407BFF">
              <w:rPr>
                <w:rFonts w:eastAsia="Calibri"/>
                <w:lang w:eastAsia="uk-UA"/>
              </w:rPr>
              <w:t xml:space="preserve"> усунення пошкоджень/руйнувань штучних покриттів аеродрому під час</w:t>
            </w:r>
            <w:r>
              <w:rPr>
                <w:rFonts w:eastAsia="Calibri"/>
                <w:lang w:eastAsia="uk-UA"/>
              </w:rPr>
              <w:t xml:space="preserve"> </w:t>
            </w:r>
            <w:r w:rsidRPr="00407BFF">
              <w:rPr>
                <w:rFonts w:eastAsia="Calibri"/>
                <w:lang w:eastAsia="uk-UA"/>
              </w:rPr>
              <w:t xml:space="preserve">воєнного стану та після його закінчення. Дотримання </w:t>
            </w:r>
            <w:r>
              <w:rPr>
                <w:rFonts w:eastAsia="Calibri"/>
                <w:lang w:eastAsia="uk-UA"/>
              </w:rPr>
              <w:t xml:space="preserve">вимог з безпеки та регулярності </w:t>
            </w:r>
            <w:r w:rsidRPr="00407BFF">
              <w:rPr>
                <w:rFonts w:eastAsia="Calibri"/>
                <w:lang w:eastAsia="uk-UA"/>
              </w:rPr>
              <w:t>польотів, а також виконання договірних зобов’язань перед ав</w:t>
            </w:r>
            <w:r>
              <w:rPr>
                <w:rFonts w:eastAsia="Calibri"/>
                <w:lang w:eastAsia="uk-UA"/>
              </w:rPr>
              <w:t xml:space="preserve">іакомпаніями та іншими суб’єкти </w:t>
            </w:r>
            <w:r w:rsidRPr="00407BFF">
              <w:rPr>
                <w:rFonts w:eastAsia="Calibri"/>
                <w:lang w:eastAsia="uk-UA"/>
              </w:rPr>
              <w:t>авіаційної діяльності.</w:t>
            </w:r>
          </w:p>
          <w:p w14:paraId="60F45F91" w14:textId="77777777" w:rsidR="00E071B6" w:rsidRPr="00D33CBA" w:rsidRDefault="00E071B6" w:rsidP="00E071B6">
            <w:pPr>
              <w:widowControl w:val="0"/>
              <w:ind w:right="160" w:firstLine="368"/>
              <w:jc w:val="both"/>
            </w:pPr>
            <w:r w:rsidRPr="00D33CBA">
              <w:rPr>
                <w:b/>
                <w:i/>
              </w:rPr>
              <w:lastRenderedPageBreak/>
              <w:t>Обґрунтування технічних та якісних характеристик предмета закупівлі:</w:t>
            </w:r>
            <w:r w:rsidRPr="00D33CBA">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129C013F" w14:textId="1A0334E4" w:rsidR="00E071B6" w:rsidRPr="009213A5" w:rsidRDefault="00E071B6" w:rsidP="00E071B6">
            <w:pPr>
              <w:rPr>
                <w:i/>
                <w:lang w:val="uk-UA"/>
              </w:rPr>
            </w:pPr>
            <w:r w:rsidRPr="00D33CBA">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E071B6" w:rsidRPr="009213A5" w14:paraId="52DD1E87"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5FF2434" w14:textId="77777777" w:rsidR="00E071B6" w:rsidRPr="009213A5" w:rsidRDefault="00E071B6" w:rsidP="00E071B6">
            <w:pPr>
              <w:rPr>
                <w:bCs/>
                <w:lang w:val="uk-UA"/>
              </w:rPr>
            </w:pPr>
            <w:r w:rsidRPr="009213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81CBFB2" w14:textId="77777777" w:rsidR="00E071B6" w:rsidRPr="009213A5" w:rsidRDefault="00E071B6" w:rsidP="00E071B6">
            <w:pPr>
              <w:rPr>
                <w:lang w:val="uk-UA"/>
              </w:rPr>
            </w:pPr>
            <w:r w:rsidRPr="009213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9285CB3" w14:textId="77777777" w:rsidR="00E071B6" w:rsidRPr="00E071B6" w:rsidRDefault="00E071B6" w:rsidP="00E071B6">
            <w:pPr>
              <w:widowControl w:val="0"/>
              <w:ind w:right="169"/>
              <w:jc w:val="both"/>
              <w:rPr>
                <w:lang w:val="uk-UA"/>
              </w:rPr>
            </w:pPr>
            <w:r w:rsidRPr="00E071B6">
              <w:rPr>
                <w:lang w:val="uk-UA"/>
              </w:rPr>
              <w:t xml:space="preserve">Розрахунок очікуваної вартості Товару проводився </w:t>
            </w:r>
            <w:r w:rsidRPr="00E071B6">
              <w:rPr>
                <w:bCs/>
                <w:lang w:val="uk-UA"/>
              </w:rPr>
              <w:t>комбінованим методом порівняння ринкових цін</w:t>
            </w:r>
            <w:r w:rsidRPr="00E071B6">
              <w:rPr>
                <w:lang w:val="uk-UA"/>
              </w:rPr>
              <w:t xml:space="preserve">, а саме </w:t>
            </w:r>
            <w:r w:rsidRPr="00E071B6">
              <w:rPr>
                <w:i/>
                <w:u w:val="single"/>
                <w:lang w:val="uk-UA"/>
              </w:rPr>
              <w:t>метод порівняння ринкових цін на підставі отриманих цінових пропозицій</w:t>
            </w:r>
            <w:r w:rsidRPr="00E071B6">
              <w:rPr>
                <w:lang w:val="uk-UA"/>
              </w:rPr>
              <w:t xml:space="preserve"> та </w:t>
            </w:r>
            <w:r w:rsidRPr="00E071B6">
              <w:rPr>
                <w:i/>
                <w:u w:val="single"/>
                <w:lang w:val="uk-UA"/>
              </w:rPr>
              <w:t>на підставі закупівельних цін попередніх закупівель</w:t>
            </w:r>
            <w:r w:rsidRPr="00E071B6">
              <w:rPr>
                <w:lang w:val="uk-UA"/>
              </w:rPr>
              <w:t>.</w:t>
            </w:r>
          </w:p>
          <w:p w14:paraId="5C790529" w14:textId="77777777" w:rsidR="00E071B6" w:rsidRPr="006F4FF7" w:rsidRDefault="00E071B6" w:rsidP="00E071B6">
            <w:pPr>
              <w:widowControl w:val="0"/>
              <w:ind w:right="169" w:firstLine="364"/>
              <w:jc w:val="both"/>
              <w:rPr>
                <w:b/>
              </w:rPr>
            </w:pPr>
            <w:r w:rsidRPr="006F4FF7">
              <w:rPr>
                <w:b/>
              </w:rPr>
              <w:t>Спосіб проведення моніторингу ринку</w:t>
            </w:r>
          </w:p>
          <w:p w14:paraId="29C7D056" w14:textId="77777777" w:rsidR="00E071B6" w:rsidRPr="006F4FF7" w:rsidRDefault="00E071B6" w:rsidP="00E071B6">
            <w:pPr>
              <w:widowControl w:val="0"/>
              <w:ind w:right="169"/>
              <w:jc w:val="both"/>
            </w:pPr>
            <w:r w:rsidRPr="006F4FF7">
              <w:t>Було проведено моніторинг ринку, направлено низку запитів підприємствам, що постачають відповідну продукцію</w:t>
            </w:r>
            <w:r>
              <w:t>.</w:t>
            </w:r>
          </w:p>
          <w:p w14:paraId="71902FEE" w14:textId="77777777" w:rsidR="00E071B6" w:rsidRDefault="00E071B6" w:rsidP="00E071B6">
            <w:pPr>
              <w:widowControl w:val="0"/>
              <w:ind w:right="169"/>
              <w:jc w:val="both"/>
            </w:pPr>
            <w:r w:rsidRPr="00463986">
              <w:t>Перелік постачальників, яким направлялись запити цінових пропозицій</w:t>
            </w:r>
            <w:r>
              <w:t>:</w:t>
            </w:r>
          </w:p>
          <w:p w14:paraId="438BC29C" w14:textId="77777777" w:rsidR="00E071B6" w:rsidRPr="00E8669D" w:rsidRDefault="00E071B6" w:rsidP="00E071B6">
            <w:pPr>
              <w:widowControl w:val="0"/>
              <w:ind w:right="169"/>
              <w:jc w:val="both"/>
              <w:rPr>
                <w:b/>
                <w:i/>
              </w:rPr>
            </w:pPr>
            <w:r w:rsidRPr="006F4FF7">
              <w:rPr>
                <w:b/>
              </w:rPr>
              <w:t>SC Z&amp;Z Piro SRL</w:t>
            </w:r>
            <w:r>
              <w:rPr>
                <w:b/>
              </w:rPr>
              <w:t xml:space="preserve">, </w:t>
            </w:r>
            <w:hyperlink r:id="rId9" w:history="1">
              <w:r w:rsidRPr="00881D10">
                <w:rPr>
                  <w:rStyle w:val="af"/>
                  <w:color w:val="5B9BD5"/>
                </w:rPr>
                <w:t>piro@piro.ro</w:t>
              </w:r>
            </w:hyperlink>
            <w:r w:rsidRPr="00881D10">
              <w:rPr>
                <w:color w:val="5B9BD5"/>
              </w:rPr>
              <w:t xml:space="preserve"> </w:t>
            </w:r>
            <w:r w:rsidRPr="006F4FF7">
              <w:t>(виробник RRD).</w:t>
            </w:r>
            <w:r>
              <w:t xml:space="preserve"> </w:t>
            </w:r>
            <w:r w:rsidRPr="00E8669D">
              <w:t>У відповідь направили на дилер</w:t>
            </w:r>
            <w:r>
              <w:t>а</w:t>
            </w:r>
            <w:r w:rsidRPr="00E8669D">
              <w:t xml:space="preserve"> в Україні - компанію Вема-К</w:t>
            </w:r>
            <w:r>
              <w:t>.</w:t>
            </w:r>
          </w:p>
          <w:p w14:paraId="63B5ABF8" w14:textId="77777777" w:rsidR="00E071B6" w:rsidRDefault="00E071B6" w:rsidP="00E071B6">
            <w:pPr>
              <w:ind w:right="169"/>
              <w:rPr>
                <w:rFonts w:ascii="Arial" w:hAnsi="Arial" w:cs="Arial"/>
                <w:color w:val="454545"/>
                <w:sz w:val="21"/>
                <w:szCs w:val="21"/>
                <w:shd w:val="clear" w:color="auto" w:fill="F0F5F2"/>
              </w:rPr>
            </w:pPr>
            <w:r>
              <w:rPr>
                <w:b/>
              </w:rPr>
              <w:t>ТОВ «ЕН ТЕХНОЛОГІЯ»</w:t>
            </w:r>
            <w:r w:rsidRPr="00B65D88">
              <w:rPr>
                <w:b/>
              </w:rPr>
              <w:t>,</w:t>
            </w:r>
            <w:r>
              <w:rPr>
                <w:b/>
              </w:rPr>
              <w:t xml:space="preserve"> </w:t>
            </w:r>
            <w:hyperlink r:id="rId10" w:history="1">
              <w:r w:rsidRPr="00881D10">
                <w:rPr>
                  <w:rStyle w:val="af"/>
                  <w:color w:val="5B9BD5"/>
                  <w:shd w:val="clear" w:color="auto" w:fill="FFFFFF"/>
                </w:rPr>
                <w:t>en-technology@ukr.net</w:t>
              </w:r>
            </w:hyperlink>
          </w:p>
          <w:p w14:paraId="4B932601" w14:textId="77777777" w:rsidR="00E071B6" w:rsidRDefault="00E071B6" w:rsidP="00E071B6">
            <w:pPr>
              <w:widowControl w:val="0"/>
              <w:ind w:right="169"/>
              <w:jc w:val="both"/>
              <w:rPr>
                <w:color w:val="5B9BD5"/>
              </w:rPr>
            </w:pPr>
            <w:r>
              <w:rPr>
                <w:b/>
              </w:rPr>
              <w:t>ТОВ «УКРПОЛІМЕРХОЛДІНГ»</w:t>
            </w:r>
            <w:r>
              <w:t xml:space="preserve">, </w:t>
            </w:r>
            <w:hyperlink r:id="rId11" w:history="1">
              <w:r w:rsidRPr="00881D10">
                <w:rPr>
                  <w:rStyle w:val="af"/>
                  <w:color w:val="5B9BD5"/>
                </w:rPr>
                <w:t>ukrpoliholding@ukr.net</w:t>
              </w:r>
            </w:hyperlink>
          </w:p>
          <w:p w14:paraId="6725D731" w14:textId="77777777" w:rsidR="00E071B6" w:rsidRPr="00881D10" w:rsidRDefault="00E071B6" w:rsidP="00E071B6">
            <w:pPr>
              <w:widowControl w:val="0"/>
              <w:ind w:right="169"/>
              <w:jc w:val="both"/>
              <w:rPr>
                <w:color w:val="5B9BD5"/>
              </w:rPr>
            </w:pPr>
            <w:r w:rsidRPr="00B65D88">
              <w:rPr>
                <w:b/>
              </w:rPr>
              <w:t>ТОВ «Матріксгруп»</w:t>
            </w:r>
            <w:r>
              <w:rPr>
                <w:b/>
              </w:rPr>
              <w:t xml:space="preserve">, </w:t>
            </w:r>
            <w:hyperlink r:id="rId12" w:history="1">
              <w:r w:rsidRPr="00881D10">
                <w:rPr>
                  <w:rStyle w:val="af"/>
                  <w:color w:val="5B9BD5"/>
                </w:rPr>
                <w:t>matrixgrup@ukr.net</w:t>
              </w:r>
            </w:hyperlink>
          </w:p>
          <w:p w14:paraId="31BD630B" w14:textId="77777777" w:rsidR="00E071B6" w:rsidRPr="00881D10" w:rsidRDefault="00E071B6" w:rsidP="00E071B6">
            <w:pPr>
              <w:ind w:right="169"/>
              <w:rPr>
                <w:bCs/>
                <w:color w:val="5B9BD5"/>
                <w:shd w:val="clear" w:color="auto" w:fill="FFFFFF"/>
              </w:rPr>
            </w:pPr>
            <w:r w:rsidRPr="00B65D88">
              <w:rPr>
                <w:b/>
              </w:rPr>
              <w:t>ПП НВФ «ВЕМА-К»,</w:t>
            </w:r>
            <w:r w:rsidRPr="00881D10">
              <w:rPr>
                <w:color w:val="5B9BD5"/>
              </w:rPr>
              <w:t xml:space="preserve"> </w:t>
            </w:r>
            <w:hyperlink r:id="rId13" w:history="1">
              <w:r w:rsidRPr="00881D10">
                <w:rPr>
                  <w:rStyle w:val="af"/>
                  <w:bCs/>
                  <w:color w:val="5B9BD5"/>
                  <w:shd w:val="clear" w:color="auto" w:fill="FFFFFF"/>
                </w:rPr>
                <w:t>rpf.vema@gmail.com</w:t>
              </w:r>
            </w:hyperlink>
          </w:p>
          <w:p w14:paraId="498D7A95" w14:textId="77777777" w:rsidR="00E071B6" w:rsidRPr="00B038E4" w:rsidRDefault="00E071B6" w:rsidP="00E071B6">
            <w:pPr>
              <w:widowControl w:val="0"/>
              <w:ind w:right="169"/>
              <w:jc w:val="both"/>
            </w:pPr>
            <w:r w:rsidRPr="00B038E4">
              <w:t xml:space="preserve">Отримано Цінову пропозицію від </w:t>
            </w:r>
            <w:r w:rsidRPr="00B038E4">
              <w:rPr>
                <w:i/>
              </w:rPr>
              <w:t xml:space="preserve">ПП НВФ «ВЕМА-К», </w:t>
            </w:r>
            <w:r w:rsidRPr="00B038E4">
              <w:t>яка використана для розрахунку очікуваної вартості То</w:t>
            </w:r>
            <w:r>
              <w:t xml:space="preserve">вару (ціна за од. без ПДВ – </w:t>
            </w:r>
            <w:r w:rsidRPr="00297547">
              <w:rPr>
                <w:u w:val="single"/>
              </w:rPr>
              <w:t xml:space="preserve">57 750,00 </w:t>
            </w:r>
            <w:r>
              <w:t>грн.)</w:t>
            </w:r>
          </w:p>
          <w:p w14:paraId="53A47AF2" w14:textId="77777777" w:rsidR="00E071B6" w:rsidRPr="00B038E4" w:rsidRDefault="00E071B6" w:rsidP="00E071B6">
            <w:pPr>
              <w:widowControl w:val="0"/>
              <w:ind w:right="169"/>
              <w:jc w:val="both"/>
            </w:pPr>
            <w:r w:rsidRPr="00B038E4">
              <w:t>Також було враховано досвід попередніх закупівель ДП МА «Бориспіль» (договір №35.1-14/3.8-00049 від 20.03.2023</w:t>
            </w:r>
            <w:r>
              <w:t xml:space="preserve"> – ціна за од. без ПДВ – </w:t>
            </w:r>
            <w:r w:rsidRPr="00297547">
              <w:rPr>
                <w:u w:val="single"/>
              </w:rPr>
              <w:t>74 130,82</w:t>
            </w:r>
            <w:r w:rsidRPr="00CD2328">
              <w:t xml:space="preserve"> грн.</w:t>
            </w:r>
            <w:r w:rsidRPr="00B038E4">
              <w:t>) та досвід аналогічних закупівель інших Замовників (КП МА «Київ» (Жуляни)</w:t>
            </w:r>
            <w:r>
              <w:t xml:space="preserve"> - ціна за од. без ПДВ –</w:t>
            </w:r>
            <w:r w:rsidRPr="00297547">
              <w:rPr>
                <w:u w:val="single"/>
              </w:rPr>
              <w:t>75 443,16</w:t>
            </w:r>
            <w:r w:rsidRPr="00CD2328">
              <w:t xml:space="preserve"> грн.,</w:t>
            </w:r>
            <w:r w:rsidRPr="00B038E4">
              <w:t xml:space="preserve"> ДП «ЧУГУЇВСЬКИЙ АВІАЦІЙНИЙ РЕМОНТНИЙ ЗАВОД»</w:t>
            </w:r>
            <w:r>
              <w:t xml:space="preserve"> ціна за од. без ПДВ – </w:t>
            </w:r>
            <w:r w:rsidRPr="00297547">
              <w:rPr>
                <w:u w:val="single"/>
              </w:rPr>
              <w:t xml:space="preserve">75 443,16 </w:t>
            </w:r>
            <w:r w:rsidRPr="00CD2328">
              <w:t>грн.</w:t>
            </w:r>
            <w:r>
              <w:t>)</w:t>
            </w:r>
            <w:r w:rsidRPr="00B038E4">
              <w:t>, інформація про які міститься в «Prozorro».</w:t>
            </w:r>
          </w:p>
          <w:p w14:paraId="31F30394" w14:textId="680D876E" w:rsidR="00E071B6" w:rsidRPr="00E071B6" w:rsidRDefault="00E071B6" w:rsidP="00E071B6">
            <w:pPr>
              <w:rPr>
                <w:iCs/>
                <w:lang w:val="uk-UA"/>
              </w:rPr>
            </w:pPr>
            <w:r w:rsidRPr="00B038E4">
              <w:rPr>
                <w:i/>
                <w:u w:val="single"/>
              </w:rPr>
              <w:t>Примітка</w:t>
            </w:r>
            <w:r w:rsidRPr="000C4FC8">
              <w:rPr>
                <w:i/>
              </w:rPr>
              <w:t xml:space="preserve">: </w:t>
            </w:r>
            <w:r w:rsidRPr="000C4FC8">
              <w:t xml:space="preserve">враховуючи вищезазначене, </w:t>
            </w:r>
            <w:r>
              <w:t>запропонована ціна офіційного дилера</w:t>
            </w:r>
            <w:r w:rsidRPr="000C4FC8">
              <w:t xml:space="preserve"> </w:t>
            </w:r>
            <w:r>
              <w:t>є економічно вигідною, тому для визначення очікуваної вартості було взято ціну на підставі отриманої комерційної пропозиції</w:t>
            </w:r>
            <w:r w:rsidRPr="000C4FC8">
              <w:t xml:space="preserve"> ПП НВФ «ВЕМА-К»</w:t>
            </w:r>
            <w:r>
              <w:t>, а саме 554 400 грн. з ПДВ.</w:t>
            </w:r>
          </w:p>
        </w:tc>
      </w:tr>
    </w:tbl>
    <w:p w14:paraId="07E9121D" w14:textId="77777777" w:rsidR="006F428D" w:rsidRPr="009213A5" w:rsidRDefault="006F428D" w:rsidP="00A12478">
      <w:pPr>
        <w:rPr>
          <w:b/>
          <w:lang w:val="uk-UA"/>
        </w:rPr>
      </w:pPr>
    </w:p>
    <w:p w14:paraId="136899AF" w14:textId="77777777" w:rsidR="006926A0" w:rsidRPr="009213A5" w:rsidRDefault="006926A0" w:rsidP="006926A0">
      <w:pPr>
        <w:ind w:firstLine="567"/>
        <w:jc w:val="both"/>
        <w:rPr>
          <w:lang w:val="uk-UA"/>
        </w:rPr>
      </w:pPr>
      <w:r w:rsidRPr="009213A5">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2EDC9C6D" w14:textId="77777777" w:rsidR="006F428D" w:rsidRPr="009213A5" w:rsidRDefault="006F428D" w:rsidP="00A12478">
      <w:pPr>
        <w:rPr>
          <w:b/>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701"/>
        <w:gridCol w:w="1559"/>
        <w:gridCol w:w="992"/>
        <w:gridCol w:w="851"/>
        <w:gridCol w:w="2551"/>
        <w:gridCol w:w="1843"/>
      </w:tblGrid>
      <w:tr w:rsidR="009213A5" w:rsidRPr="009213A5" w14:paraId="462AE9D0" w14:textId="77777777" w:rsidTr="00E071B6">
        <w:trPr>
          <w:trHeight w:val="263"/>
        </w:trPr>
        <w:tc>
          <w:tcPr>
            <w:tcW w:w="493" w:type="dxa"/>
            <w:tcBorders>
              <w:top w:val="single" w:sz="4" w:space="0" w:color="auto"/>
              <w:left w:val="single" w:sz="4" w:space="0" w:color="auto"/>
              <w:right w:val="single" w:sz="4" w:space="0" w:color="auto"/>
            </w:tcBorders>
            <w:shd w:val="clear" w:color="auto" w:fill="D9E2F3"/>
          </w:tcPr>
          <w:p w14:paraId="268F2073" w14:textId="77777777" w:rsidR="009213A5" w:rsidRPr="009213A5" w:rsidRDefault="009213A5" w:rsidP="0005789D">
            <w:pPr>
              <w:widowControl w:val="0"/>
              <w:rPr>
                <w:lang w:val="uk-UA"/>
              </w:rPr>
            </w:pPr>
            <w:r w:rsidRPr="009213A5">
              <w:rPr>
                <w:lang w:val="uk-UA"/>
              </w:rPr>
              <w:t>№ п/п</w:t>
            </w:r>
          </w:p>
        </w:tc>
        <w:tc>
          <w:tcPr>
            <w:tcW w:w="1701" w:type="dxa"/>
            <w:tcBorders>
              <w:top w:val="single" w:sz="4" w:space="0" w:color="auto"/>
              <w:left w:val="single" w:sz="4" w:space="0" w:color="auto"/>
              <w:right w:val="single" w:sz="4" w:space="0" w:color="auto"/>
            </w:tcBorders>
            <w:shd w:val="clear" w:color="auto" w:fill="D9E2F3"/>
          </w:tcPr>
          <w:p w14:paraId="5BDC971F" w14:textId="77777777" w:rsidR="009213A5" w:rsidRPr="009213A5" w:rsidRDefault="009213A5" w:rsidP="0005789D">
            <w:pPr>
              <w:widowControl w:val="0"/>
              <w:jc w:val="center"/>
              <w:rPr>
                <w:lang w:val="uk-UA"/>
              </w:rPr>
            </w:pPr>
            <w:r w:rsidRPr="009213A5">
              <w:rPr>
                <w:lang w:val="uk-UA"/>
              </w:rPr>
              <w:t>Найменування Товару</w:t>
            </w:r>
          </w:p>
        </w:tc>
        <w:tc>
          <w:tcPr>
            <w:tcW w:w="1559" w:type="dxa"/>
            <w:tcBorders>
              <w:top w:val="single" w:sz="4" w:space="0" w:color="auto"/>
              <w:left w:val="single" w:sz="4" w:space="0" w:color="auto"/>
              <w:right w:val="single" w:sz="4" w:space="0" w:color="auto"/>
            </w:tcBorders>
            <w:shd w:val="clear" w:color="auto" w:fill="D9E2F3"/>
          </w:tcPr>
          <w:p w14:paraId="389E54B5" w14:textId="77777777" w:rsidR="009213A5" w:rsidRPr="009213A5" w:rsidRDefault="009213A5" w:rsidP="0005789D">
            <w:pPr>
              <w:widowControl w:val="0"/>
              <w:jc w:val="center"/>
              <w:rPr>
                <w:bCs/>
                <w:snapToGrid w:val="0"/>
                <w:lang w:val="uk-UA"/>
              </w:rPr>
            </w:pPr>
            <w:r w:rsidRPr="009213A5">
              <w:rPr>
                <w:bCs/>
                <w:snapToGrid w:val="0"/>
                <w:lang w:val="uk-UA"/>
              </w:rPr>
              <w:t xml:space="preserve">Марка або модель, або артикул, або каталожний номер, або інші параметри для </w:t>
            </w:r>
            <w:r w:rsidRPr="009213A5">
              <w:rPr>
                <w:bCs/>
                <w:snapToGrid w:val="0"/>
                <w:lang w:val="uk-UA"/>
              </w:rPr>
              <w:lastRenderedPageBreak/>
              <w:t>ідентифікації Товару</w:t>
            </w:r>
          </w:p>
        </w:tc>
        <w:tc>
          <w:tcPr>
            <w:tcW w:w="992" w:type="dxa"/>
            <w:tcBorders>
              <w:top w:val="single" w:sz="4" w:space="0" w:color="auto"/>
              <w:left w:val="single" w:sz="4" w:space="0" w:color="auto"/>
              <w:right w:val="single" w:sz="4" w:space="0" w:color="auto"/>
            </w:tcBorders>
            <w:shd w:val="clear" w:color="auto" w:fill="D9E2F3"/>
          </w:tcPr>
          <w:p w14:paraId="2D24726E" w14:textId="77777777" w:rsidR="009213A5" w:rsidRPr="009213A5" w:rsidRDefault="009213A5" w:rsidP="0005789D">
            <w:pPr>
              <w:widowControl w:val="0"/>
              <w:jc w:val="center"/>
              <w:rPr>
                <w:lang w:val="uk-UA"/>
              </w:rPr>
            </w:pPr>
            <w:r w:rsidRPr="009213A5">
              <w:rPr>
                <w:lang w:val="uk-UA"/>
              </w:rPr>
              <w:lastRenderedPageBreak/>
              <w:t>Одиниця</w:t>
            </w:r>
          </w:p>
          <w:p w14:paraId="6A46B528" w14:textId="77777777" w:rsidR="009213A5" w:rsidRPr="009213A5" w:rsidRDefault="009213A5" w:rsidP="0005789D">
            <w:pPr>
              <w:widowControl w:val="0"/>
              <w:jc w:val="center"/>
              <w:rPr>
                <w:lang w:val="uk-UA"/>
              </w:rPr>
            </w:pPr>
            <w:r w:rsidRPr="009213A5">
              <w:rPr>
                <w:lang w:val="uk-UA"/>
              </w:rPr>
              <w:t>виміру</w:t>
            </w:r>
          </w:p>
        </w:tc>
        <w:tc>
          <w:tcPr>
            <w:tcW w:w="851" w:type="dxa"/>
            <w:tcBorders>
              <w:top w:val="single" w:sz="4" w:space="0" w:color="auto"/>
              <w:left w:val="single" w:sz="4" w:space="0" w:color="auto"/>
              <w:right w:val="single" w:sz="4" w:space="0" w:color="auto"/>
            </w:tcBorders>
            <w:shd w:val="clear" w:color="auto" w:fill="D9E2F3"/>
          </w:tcPr>
          <w:p w14:paraId="35A0BF82" w14:textId="77777777" w:rsidR="009213A5" w:rsidRPr="009213A5" w:rsidRDefault="009213A5" w:rsidP="0005789D">
            <w:pPr>
              <w:widowControl w:val="0"/>
              <w:jc w:val="center"/>
              <w:rPr>
                <w:lang w:val="uk-UA"/>
              </w:rPr>
            </w:pPr>
            <w:r w:rsidRPr="009213A5">
              <w:rPr>
                <w:lang w:val="uk-UA"/>
              </w:rPr>
              <w:t>Кількість</w:t>
            </w:r>
          </w:p>
        </w:tc>
        <w:tc>
          <w:tcPr>
            <w:tcW w:w="2551" w:type="dxa"/>
            <w:tcBorders>
              <w:top w:val="single" w:sz="4" w:space="0" w:color="auto"/>
              <w:left w:val="single" w:sz="4" w:space="0" w:color="auto"/>
              <w:right w:val="single" w:sz="4" w:space="0" w:color="auto"/>
            </w:tcBorders>
            <w:shd w:val="clear" w:color="auto" w:fill="D9E2F3"/>
          </w:tcPr>
          <w:p w14:paraId="72DFC15B" w14:textId="77777777" w:rsidR="009213A5" w:rsidRPr="009213A5" w:rsidRDefault="009213A5" w:rsidP="0005789D">
            <w:pPr>
              <w:widowControl w:val="0"/>
              <w:jc w:val="center"/>
              <w:rPr>
                <w:lang w:val="uk-UA"/>
              </w:rPr>
            </w:pPr>
            <w:r w:rsidRPr="009213A5">
              <w:rPr>
                <w:lang w:val="uk-UA"/>
              </w:rPr>
              <w:t>Технічні та якісні характеристики предмета закупівлі</w:t>
            </w:r>
          </w:p>
        </w:tc>
        <w:tc>
          <w:tcPr>
            <w:tcW w:w="1843" w:type="dxa"/>
            <w:tcBorders>
              <w:top w:val="single" w:sz="4" w:space="0" w:color="auto"/>
              <w:left w:val="single" w:sz="4" w:space="0" w:color="auto"/>
              <w:right w:val="single" w:sz="4" w:space="0" w:color="auto"/>
            </w:tcBorders>
            <w:shd w:val="clear" w:color="auto" w:fill="D9E2F3"/>
          </w:tcPr>
          <w:p w14:paraId="0D09A5D1" w14:textId="77777777" w:rsidR="009213A5" w:rsidRPr="009213A5" w:rsidRDefault="009213A5" w:rsidP="0005789D">
            <w:pPr>
              <w:widowControl w:val="0"/>
              <w:jc w:val="center"/>
              <w:rPr>
                <w:i/>
                <w:lang w:val="uk-UA"/>
              </w:rPr>
            </w:pPr>
            <w:r w:rsidRPr="009213A5">
              <w:rPr>
                <w:lang w:val="uk-UA"/>
              </w:rPr>
              <w:t>Сфера застосування</w:t>
            </w:r>
          </w:p>
        </w:tc>
      </w:tr>
      <w:tr w:rsidR="009213A5" w:rsidRPr="009213A5" w14:paraId="138065F1" w14:textId="77777777" w:rsidTr="0005789D">
        <w:trPr>
          <w:trHeight w:val="229"/>
        </w:trPr>
        <w:tc>
          <w:tcPr>
            <w:tcW w:w="493" w:type="dxa"/>
            <w:tcBorders>
              <w:top w:val="single" w:sz="4" w:space="0" w:color="auto"/>
              <w:left w:val="single" w:sz="4" w:space="0" w:color="auto"/>
              <w:right w:val="single" w:sz="4" w:space="0" w:color="auto"/>
            </w:tcBorders>
            <w:shd w:val="clear" w:color="auto" w:fill="auto"/>
          </w:tcPr>
          <w:p w14:paraId="7758B4D0" w14:textId="77777777" w:rsidR="009213A5" w:rsidRPr="009213A5" w:rsidRDefault="009213A5" w:rsidP="0005789D">
            <w:pPr>
              <w:widowControl w:val="0"/>
              <w:rPr>
                <w:lang w:val="uk-UA"/>
              </w:rPr>
            </w:pPr>
            <w:r w:rsidRPr="009213A5">
              <w:rPr>
                <w:lang w:val="uk-UA"/>
              </w:rPr>
              <w:t>1</w:t>
            </w:r>
          </w:p>
        </w:tc>
        <w:tc>
          <w:tcPr>
            <w:tcW w:w="1701" w:type="dxa"/>
            <w:tcBorders>
              <w:top w:val="single" w:sz="4" w:space="0" w:color="auto"/>
              <w:left w:val="single" w:sz="4" w:space="0" w:color="auto"/>
              <w:right w:val="single" w:sz="4" w:space="0" w:color="auto"/>
            </w:tcBorders>
            <w:shd w:val="clear" w:color="auto" w:fill="auto"/>
          </w:tcPr>
          <w:p w14:paraId="211D911E" w14:textId="77777777" w:rsidR="009213A5" w:rsidRPr="009213A5" w:rsidRDefault="009213A5" w:rsidP="0005789D">
            <w:pPr>
              <w:widowControl w:val="0"/>
              <w:jc w:val="center"/>
              <w:rPr>
                <w:b/>
                <w:lang w:val="uk-UA"/>
              </w:rPr>
            </w:pPr>
            <w:r w:rsidRPr="009213A5">
              <w:t>Матеріал для ремонту злітно-посадкової смуги</w:t>
            </w:r>
          </w:p>
        </w:tc>
        <w:tc>
          <w:tcPr>
            <w:tcW w:w="1559" w:type="dxa"/>
            <w:tcBorders>
              <w:top w:val="single" w:sz="4" w:space="0" w:color="auto"/>
              <w:left w:val="single" w:sz="4" w:space="0" w:color="auto"/>
              <w:right w:val="single" w:sz="4" w:space="0" w:color="auto"/>
            </w:tcBorders>
            <w:shd w:val="clear" w:color="auto" w:fill="auto"/>
          </w:tcPr>
          <w:p w14:paraId="0654E1A0" w14:textId="77777777" w:rsidR="009213A5" w:rsidRPr="009213A5" w:rsidRDefault="009213A5" w:rsidP="0005789D">
            <w:pPr>
              <w:keepLines/>
              <w:contextualSpacing/>
              <w:jc w:val="center"/>
            </w:pPr>
            <w:r w:rsidRPr="009213A5">
              <w:t>RRD Standard</w:t>
            </w:r>
          </w:p>
          <w:p w14:paraId="016073AC" w14:textId="77777777" w:rsidR="009213A5" w:rsidRPr="009213A5" w:rsidRDefault="009213A5" w:rsidP="0005789D">
            <w:pPr>
              <w:widowControl w:val="0"/>
              <w:jc w:val="center"/>
              <w:rPr>
                <w:b/>
                <w:bCs/>
                <w:snapToGrid w:val="0"/>
                <w:lang w:val="uk-UA"/>
              </w:rPr>
            </w:pPr>
            <w:r w:rsidRPr="009213A5">
              <w:rPr>
                <w:i/>
                <w:color w:val="FF0000"/>
              </w:rPr>
              <w:t>або еквівалент</w:t>
            </w:r>
          </w:p>
        </w:tc>
        <w:tc>
          <w:tcPr>
            <w:tcW w:w="992" w:type="dxa"/>
            <w:tcBorders>
              <w:top w:val="single" w:sz="4" w:space="0" w:color="auto"/>
              <w:left w:val="single" w:sz="4" w:space="0" w:color="auto"/>
              <w:right w:val="single" w:sz="4" w:space="0" w:color="auto"/>
            </w:tcBorders>
            <w:shd w:val="clear" w:color="auto" w:fill="auto"/>
          </w:tcPr>
          <w:p w14:paraId="6C4237F7" w14:textId="77777777" w:rsidR="009213A5" w:rsidRPr="009213A5" w:rsidRDefault="009213A5" w:rsidP="0005789D">
            <w:pPr>
              <w:widowControl w:val="0"/>
              <w:jc w:val="center"/>
              <w:rPr>
                <w:b/>
                <w:lang w:val="uk-UA"/>
              </w:rPr>
            </w:pPr>
            <w:r w:rsidRPr="009213A5">
              <w:t>т</w:t>
            </w:r>
          </w:p>
        </w:tc>
        <w:tc>
          <w:tcPr>
            <w:tcW w:w="851" w:type="dxa"/>
            <w:tcBorders>
              <w:top w:val="single" w:sz="4" w:space="0" w:color="auto"/>
              <w:left w:val="single" w:sz="4" w:space="0" w:color="auto"/>
              <w:right w:val="single" w:sz="4" w:space="0" w:color="auto"/>
            </w:tcBorders>
            <w:shd w:val="clear" w:color="auto" w:fill="auto"/>
          </w:tcPr>
          <w:p w14:paraId="4369FE8F" w14:textId="77777777" w:rsidR="009213A5" w:rsidRPr="009213A5" w:rsidRDefault="009213A5" w:rsidP="0005789D">
            <w:pPr>
              <w:widowControl w:val="0"/>
              <w:jc w:val="center"/>
              <w:rPr>
                <w:b/>
                <w:lang w:val="uk-UA"/>
              </w:rPr>
            </w:pPr>
            <w:r w:rsidRPr="009213A5">
              <w:rPr>
                <w:color w:val="000000"/>
              </w:rPr>
              <w:t>8</w:t>
            </w:r>
          </w:p>
        </w:tc>
        <w:tc>
          <w:tcPr>
            <w:tcW w:w="2551" w:type="dxa"/>
            <w:tcBorders>
              <w:top w:val="single" w:sz="4" w:space="0" w:color="auto"/>
              <w:left w:val="single" w:sz="4" w:space="0" w:color="auto"/>
              <w:right w:val="single" w:sz="4" w:space="0" w:color="auto"/>
            </w:tcBorders>
            <w:shd w:val="clear" w:color="auto" w:fill="auto"/>
          </w:tcPr>
          <w:p w14:paraId="545794AE" w14:textId="77777777" w:rsidR="009213A5" w:rsidRPr="009213A5" w:rsidRDefault="009213A5" w:rsidP="0005789D">
            <w:pPr>
              <w:suppressLineNumbers/>
              <w:shd w:val="clear" w:color="auto" w:fill="FFFFFF"/>
              <w:tabs>
                <w:tab w:val="left" w:pos="33"/>
                <w:tab w:val="left" w:pos="221"/>
              </w:tabs>
              <w:suppressAutoHyphens/>
              <w:ind w:right="112"/>
              <w:jc w:val="both"/>
            </w:pPr>
            <w:r w:rsidRPr="009213A5">
              <w:rPr>
                <w:color w:val="000000"/>
              </w:rPr>
              <w:t>Бітумно-полімерний матеріал.</w:t>
            </w:r>
          </w:p>
          <w:p w14:paraId="3EEFC428" w14:textId="77777777" w:rsidR="009213A5" w:rsidRPr="009213A5" w:rsidRDefault="009213A5" w:rsidP="0005789D">
            <w:pPr>
              <w:suppressLineNumbers/>
              <w:shd w:val="clear" w:color="auto" w:fill="FFFFFF"/>
              <w:tabs>
                <w:tab w:val="left" w:pos="33"/>
                <w:tab w:val="left" w:pos="221"/>
              </w:tabs>
              <w:suppressAutoHyphens/>
              <w:ind w:left="76" w:right="112"/>
              <w:jc w:val="both"/>
              <w:rPr>
                <w:b/>
              </w:rPr>
            </w:pPr>
            <w:r w:rsidRPr="009213A5">
              <w:rPr>
                <w:b/>
                <w:color w:val="000000"/>
              </w:rPr>
              <w:t>Якісні показники:</w:t>
            </w:r>
          </w:p>
          <w:p w14:paraId="0F45106B" w14:textId="77777777" w:rsidR="009213A5" w:rsidRPr="009213A5" w:rsidRDefault="009213A5" w:rsidP="009213A5">
            <w:pPr>
              <w:numPr>
                <w:ilvl w:val="0"/>
                <w:numId w:val="26"/>
              </w:numPr>
              <w:suppressLineNumbers/>
              <w:shd w:val="clear" w:color="auto" w:fill="FFFFFF"/>
              <w:tabs>
                <w:tab w:val="left" w:pos="33"/>
                <w:tab w:val="left" w:pos="221"/>
              </w:tabs>
              <w:suppressAutoHyphens/>
              <w:ind w:left="58" w:right="112" w:firstLine="18"/>
              <w:jc w:val="both"/>
            </w:pPr>
            <w:r w:rsidRPr="009213A5">
              <w:rPr>
                <w:color w:val="000000"/>
              </w:rPr>
              <w:t xml:space="preserve"> міцність при стисненні при температурі +20°С, Мпа після прогріву – не менше 0,25;</w:t>
            </w:r>
            <w:r w:rsidRPr="009213A5">
              <w:rPr>
                <w:i/>
                <w:noProof/>
                <w:color w:val="FF0000"/>
              </w:rPr>
              <w:t xml:space="preserve"> (Учасник зазначає нормативне значення показника з виразом «не менше»);</w:t>
            </w:r>
          </w:p>
          <w:p w14:paraId="6793A333" w14:textId="77777777" w:rsidR="009213A5" w:rsidRPr="009213A5" w:rsidRDefault="009213A5" w:rsidP="009213A5">
            <w:pPr>
              <w:numPr>
                <w:ilvl w:val="0"/>
                <w:numId w:val="26"/>
              </w:numPr>
              <w:suppressLineNumbers/>
              <w:shd w:val="clear" w:color="auto" w:fill="FFFFFF"/>
              <w:tabs>
                <w:tab w:val="left" w:pos="33"/>
                <w:tab w:val="left" w:pos="221"/>
              </w:tabs>
              <w:suppressAutoHyphens/>
              <w:ind w:left="58" w:right="112" w:firstLine="18"/>
              <w:jc w:val="both"/>
            </w:pPr>
            <w:r w:rsidRPr="009213A5">
              <w:rPr>
                <w:color w:val="000000"/>
              </w:rPr>
              <w:t>коефіцієнт водостійкості – не менше 0,8;</w:t>
            </w:r>
            <w:r w:rsidRPr="009213A5">
              <w:rPr>
                <w:i/>
                <w:noProof/>
                <w:color w:val="FF0000"/>
              </w:rPr>
              <w:t xml:space="preserve"> (Учасник зазначає нормативне значення показника з виразом «не менше»);</w:t>
            </w:r>
          </w:p>
          <w:p w14:paraId="25E8BC90" w14:textId="77777777" w:rsidR="009213A5" w:rsidRPr="009213A5" w:rsidRDefault="009213A5" w:rsidP="009213A5">
            <w:pPr>
              <w:numPr>
                <w:ilvl w:val="0"/>
                <w:numId w:val="26"/>
              </w:numPr>
              <w:suppressLineNumbers/>
              <w:shd w:val="clear" w:color="auto" w:fill="FFFFFF"/>
              <w:tabs>
                <w:tab w:val="left" w:pos="33"/>
                <w:tab w:val="left" w:pos="221"/>
              </w:tabs>
              <w:suppressAutoHyphens/>
              <w:ind w:left="58" w:right="112" w:firstLine="18"/>
              <w:jc w:val="both"/>
            </w:pPr>
            <w:r w:rsidRPr="009213A5">
              <w:rPr>
                <w:color w:val="000000"/>
              </w:rPr>
              <w:t>набухання % по обсягу – не більше 2,0;</w:t>
            </w:r>
            <w:r w:rsidRPr="009213A5">
              <w:rPr>
                <w:i/>
                <w:noProof/>
                <w:color w:val="FF0000"/>
              </w:rPr>
              <w:t xml:space="preserve"> (Учасник зазначає нормативне значення показника з виразом «не більше»);</w:t>
            </w:r>
          </w:p>
          <w:p w14:paraId="6C969C67" w14:textId="77777777" w:rsidR="009213A5" w:rsidRPr="009213A5" w:rsidRDefault="009213A5" w:rsidP="009213A5">
            <w:pPr>
              <w:numPr>
                <w:ilvl w:val="0"/>
                <w:numId w:val="26"/>
              </w:numPr>
              <w:suppressLineNumbers/>
              <w:shd w:val="clear" w:color="auto" w:fill="FFFFFF"/>
              <w:tabs>
                <w:tab w:val="left" w:pos="33"/>
                <w:tab w:val="left" w:pos="221"/>
              </w:tabs>
              <w:suppressAutoHyphens/>
              <w:ind w:left="58" w:right="112" w:firstLine="18"/>
              <w:jc w:val="both"/>
            </w:pPr>
            <w:r w:rsidRPr="009213A5">
              <w:rPr>
                <w:color w:val="000000"/>
              </w:rPr>
              <w:t>водонасичення % по обсягу – 5-9;</w:t>
            </w:r>
          </w:p>
          <w:p w14:paraId="68FB0F2E" w14:textId="77777777" w:rsidR="009213A5" w:rsidRPr="009213A5" w:rsidRDefault="009213A5" w:rsidP="009213A5">
            <w:pPr>
              <w:numPr>
                <w:ilvl w:val="0"/>
                <w:numId w:val="26"/>
              </w:numPr>
              <w:suppressLineNumbers/>
              <w:shd w:val="clear" w:color="auto" w:fill="FFFFFF"/>
              <w:tabs>
                <w:tab w:val="left" w:pos="33"/>
                <w:tab w:val="left" w:pos="221"/>
              </w:tabs>
              <w:suppressAutoHyphens/>
              <w:ind w:left="58" w:right="112" w:firstLine="18"/>
              <w:jc w:val="both"/>
            </w:pPr>
            <w:r w:rsidRPr="009213A5">
              <w:rPr>
                <w:color w:val="000000"/>
              </w:rPr>
              <w:t>найбільший розмір щебеню – 6 мм;</w:t>
            </w:r>
          </w:p>
          <w:p w14:paraId="028249FB" w14:textId="77777777" w:rsidR="009213A5" w:rsidRPr="009213A5" w:rsidRDefault="009213A5" w:rsidP="009213A5">
            <w:pPr>
              <w:numPr>
                <w:ilvl w:val="0"/>
                <w:numId w:val="26"/>
              </w:numPr>
              <w:suppressLineNumbers/>
              <w:shd w:val="clear" w:color="auto" w:fill="FFFFFF"/>
              <w:tabs>
                <w:tab w:val="left" w:pos="33"/>
                <w:tab w:val="left" w:pos="221"/>
              </w:tabs>
              <w:suppressAutoHyphens/>
              <w:ind w:left="58" w:right="112" w:firstLine="18"/>
              <w:jc w:val="both"/>
              <w:rPr>
                <w:b/>
                <w:lang w:val="uk-UA"/>
              </w:rPr>
            </w:pPr>
            <w:r w:rsidRPr="009213A5">
              <w:rPr>
                <w:color w:val="000000"/>
              </w:rPr>
              <w:t>температура застосування від – 45</w:t>
            </w:r>
            <w:r w:rsidRPr="009213A5">
              <w:rPr>
                <w:color w:val="000000"/>
                <w:vertAlign w:val="superscript"/>
              </w:rPr>
              <w:t>0</w:t>
            </w:r>
            <w:r w:rsidRPr="009213A5">
              <w:rPr>
                <w:color w:val="000000"/>
              </w:rPr>
              <w:t>С до + 60</w:t>
            </w:r>
            <w:r w:rsidRPr="009213A5">
              <w:rPr>
                <w:color w:val="000000"/>
                <w:vertAlign w:val="superscript"/>
              </w:rPr>
              <w:t>0</w:t>
            </w:r>
            <w:r w:rsidRPr="009213A5">
              <w:rPr>
                <w:color w:val="000000"/>
              </w:rPr>
              <w:t>С.</w:t>
            </w:r>
          </w:p>
        </w:tc>
        <w:tc>
          <w:tcPr>
            <w:tcW w:w="1843" w:type="dxa"/>
            <w:tcBorders>
              <w:top w:val="single" w:sz="4" w:space="0" w:color="auto"/>
              <w:left w:val="single" w:sz="4" w:space="0" w:color="auto"/>
              <w:right w:val="single" w:sz="4" w:space="0" w:color="auto"/>
            </w:tcBorders>
            <w:shd w:val="clear" w:color="auto" w:fill="auto"/>
          </w:tcPr>
          <w:p w14:paraId="5B5CD5BC" w14:textId="77777777" w:rsidR="009213A5" w:rsidRPr="009213A5" w:rsidRDefault="009213A5" w:rsidP="0005789D">
            <w:pPr>
              <w:widowControl w:val="0"/>
              <w:jc w:val="center"/>
              <w:rPr>
                <w:i/>
                <w:highlight w:val="yellow"/>
                <w:lang w:val="uk-UA"/>
              </w:rPr>
            </w:pPr>
            <w:r w:rsidRPr="009213A5">
              <w:rPr>
                <w:lang w:val="uk-UA"/>
              </w:rPr>
              <w:t>для аварійного та оперативного ремонту аеродромних покриттів (ремонт сколів, нерівностей та інших локальних дефектів) в весняно-літній  період та осінньо-зимовий період при плюсових та мінусових температурах, а також під час випадіння опадів.</w:t>
            </w:r>
          </w:p>
        </w:tc>
      </w:tr>
    </w:tbl>
    <w:p w14:paraId="3DB75F4F" w14:textId="77777777" w:rsidR="009165D1" w:rsidRPr="009213A5" w:rsidRDefault="009165D1" w:rsidP="009165D1">
      <w:pPr>
        <w:jc w:val="both"/>
        <w:rPr>
          <w:b/>
          <w:bCs/>
          <w:lang w:val="uk-UA" w:eastAsia="uk-UA"/>
        </w:rPr>
      </w:pPr>
      <w:r w:rsidRPr="009213A5">
        <w:rPr>
          <w:b/>
          <w:bCs/>
          <w:lang w:val="uk-UA"/>
        </w:rPr>
        <w:t>Додаткова інформація.</w:t>
      </w:r>
    </w:p>
    <w:p w14:paraId="3ED01E42" w14:textId="77777777" w:rsidR="009165D1" w:rsidRPr="009213A5" w:rsidRDefault="009165D1" w:rsidP="009165D1">
      <w:pPr>
        <w:jc w:val="both"/>
        <w:rPr>
          <w:lang w:val="uk-UA"/>
        </w:rPr>
      </w:pPr>
      <w:r w:rsidRPr="009213A5">
        <w:rPr>
          <w:b/>
          <w:bCs/>
          <w:lang w:val="uk-UA"/>
        </w:rPr>
        <w:t>1.</w:t>
      </w:r>
      <w:r w:rsidRPr="009213A5">
        <w:rPr>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9213A5">
        <w:rPr>
          <w:b/>
          <w:bCs/>
          <w:lang w:val="uk-UA"/>
        </w:rPr>
        <w:t>біля кожного такого посилання вважати вираз «або еквівалент»</w:t>
      </w:r>
      <w:r w:rsidRPr="009213A5">
        <w:rPr>
          <w:lang w:val="uk-UA"/>
        </w:rPr>
        <w:t xml:space="preserve">. Таким чином вважається, що до кожного посилання додається вираз </w:t>
      </w:r>
      <w:r w:rsidRPr="009213A5">
        <w:rPr>
          <w:b/>
          <w:bCs/>
          <w:lang w:val="uk-UA"/>
        </w:rPr>
        <w:t>«або еквівалент»</w:t>
      </w:r>
      <w:r w:rsidRPr="009213A5">
        <w:rPr>
          <w:lang w:val="uk-UA"/>
        </w:rPr>
        <w:t xml:space="preserve">. </w:t>
      </w:r>
    </w:p>
    <w:p w14:paraId="5125AB88" w14:textId="77777777" w:rsidR="009165D1" w:rsidRPr="009213A5" w:rsidRDefault="009165D1" w:rsidP="009165D1">
      <w:pPr>
        <w:jc w:val="both"/>
        <w:rPr>
          <w:lang w:val="uk-UA"/>
        </w:rPr>
      </w:pPr>
      <w:r w:rsidRPr="009213A5">
        <w:rPr>
          <w:lang w:val="uk-UA"/>
        </w:rPr>
        <w:t xml:space="preserve">У місцях, де технічна специфікація містить посилання </w:t>
      </w:r>
      <w:r w:rsidRPr="009213A5">
        <w:rPr>
          <w:vertAlign w:val="superscript"/>
          <w:lang w:val="uk-UA"/>
        </w:rPr>
        <w:t>1)</w:t>
      </w:r>
      <w:r w:rsidRPr="009213A5">
        <w:rPr>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9213A5">
        <w:rPr>
          <w:b/>
          <w:bCs/>
          <w:lang w:val="uk-UA"/>
        </w:rPr>
        <w:t xml:space="preserve">вважати </w:t>
      </w:r>
      <w:r w:rsidRPr="009213A5">
        <w:rPr>
          <w:b/>
          <w:bCs/>
          <w:lang w:val="uk-UA"/>
        </w:rPr>
        <w:lastRenderedPageBreak/>
        <w:t>наявним вираз «або еквівалент»</w:t>
      </w:r>
      <w:r w:rsidRPr="009213A5">
        <w:rPr>
          <w:lang w:val="uk-UA"/>
        </w:rPr>
        <w:t xml:space="preserve">. Таким чином вважається, що до кожного посилання додається вираз «або еквівалент» </w:t>
      </w:r>
      <w:r w:rsidRPr="009213A5">
        <w:rPr>
          <w:b/>
          <w:bCs/>
          <w:i/>
          <w:iCs/>
          <w:lang w:val="uk-UA"/>
        </w:rPr>
        <w:t>(</w:t>
      </w:r>
      <w:r w:rsidRPr="009213A5">
        <w:rPr>
          <w:b/>
          <w:bCs/>
          <w:i/>
          <w:iCs/>
          <w:vertAlign w:val="superscript"/>
          <w:lang w:val="uk-UA"/>
        </w:rPr>
        <w:t>1)</w:t>
      </w:r>
      <w:r w:rsidRPr="009213A5">
        <w:rPr>
          <w:b/>
          <w:bCs/>
          <w:i/>
          <w:iCs/>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9213A5">
        <w:rPr>
          <w:lang w:val="uk-UA"/>
        </w:rPr>
        <w:t xml:space="preserve">. </w:t>
      </w:r>
    </w:p>
    <w:p w14:paraId="2D326D47" w14:textId="77777777" w:rsidR="009165D1" w:rsidRPr="009213A5" w:rsidRDefault="009165D1" w:rsidP="009165D1">
      <w:pPr>
        <w:autoSpaceDE w:val="0"/>
        <w:autoSpaceDN w:val="0"/>
        <w:ind w:firstLine="709"/>
        <w:jc w:val="both"/>
        <w:rPr>
          <w:color w:val="000000"/>
          <w:lang w:val="uk-UA"/>
        </w:rPr>
      </w:pPr>
      <w:r w:rsidRPr="009213A5">
        <w:rPr>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9213A5">
        <w:rPr>
          <w:b/>
          <w:bCs/>
          <w:lang w:val="uk-UA"/>
        </w:rPr>
        <w:t>Додатку 1</w:t>
      </w:r>
      <w:r w:rsidRPr="009213A5">
        <w:rPr>
          <w:lang w:val="uk-UA"/>
        </w:rPr>
        <w:t xml:space="preserve"> технічним та якісним характеристикам предмета закупівлі).</w:t>
      </w:r>
    </w:p>
    <w:p w14:paraId="029713B7" w14:textId="77777777" w:rsidR="00A256E7" w:rsidRPr="009213A5" w:rsidRDefault="00A256E7" w:rsidP="00D04854">
      <w:pPr>
        <w:widowControl w:val="0"/>
        <w:autoSpaceDE w:val="0"/>
        <w:autoSpaceDN w:val="0"/>
        <w:adjustRightInd w:val="0"/>
        <w:ind w:firstLine="709"/>
        <w:contextualSpacing/>
        <w:jc w:val="both"/>
        <w:rPr>
          <w:color w:val="000000"/>
          <w:lang w:val="uk-UA"/>
        </w:rPr>
      </w:pPr>
    </w:p>
    <w:sectPr w:rsidR="00A256E7" w:rsidRPr="009213A5" w:rsidSect="00F318CA">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C4CAF" w14:textId="77777777" w:rsidR="00466C2B" w:rsidRDefault="00466C2B">
      <w:r>
        <w:separator/>
      </w:r>
    </w:p>
  </w:endnote>
  <w:endnote w:type="continuationSeparator" w:id="0">
    <w:p w14:paraId="4B928753" w14:textId="77777777" w:rsidR="00466C2B" w:rsidRDefault="0046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61FDC"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47C34" w14:textId="1B95E01E" w:rsidR="00A256E7" w:rsidRPr="00A256E7" w:rsidRDefault="003D49DC"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7760B96D" wp14:editId="1527312A">
              <wp:simplePos x="0" y="0"/>
              <wp:positionH relativeFrom="column">
                <wp:posOffset>-180340</wp:posOffset>
              </wp:positionH>
              <wp:positionV relativeFrom="paragraph">
                <wp:posOffset>7620</wp:posOffset>
              </wp:positionV>
              <wp:extent cx="6357620" cy="14605"/>
              <wp:effectExtent l="10160" t="7620" r="13970" b="6350"/>
              <wp:wrapNone/>
              <wp:docPr id="74258839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C3D58"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3A47B4">
      <w:rPr>
        <w:sz w:val="20"/>
        <w:szCs w:val="20"/>
        <w:lang w:val="uk-UA"/>
      </w:rPr>
      <w:t xml:space="preserve">Матеріал для ремонту злітно-посадкової смуги, код ДК 021:2015 - 44110000-4 - Конструкційні матеріали </w:t>
    </w:r>
  </w:p>
  <w:p w14:paraId="4A5DB886"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52BE"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AD56C" w14:textId="77777777" w:rsidR="00466C2B" w:rsidRDefault="00466C2B">
      <w:r>
        <w:separator/>
      </w:r>
    </w:p>
  </w:footnote>
  <w:footnote w:type="continuationSeparator" w:id="0">
    <w:p w14:paraId="26D70E59" w14:textId="77777777" w:rsidR="00466C2B" w:rsidRDefault="00466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34FF"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EE0D800"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645D" w14:textId="0B16B89B" w:rsidR="002D6492" w:rsidRPr="003C4B6B" w:rsidRDefault="003D49DC"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2C07A1C0" wp14:editId="6AFD1B8C">
              <wp:simplePos x="0" y="0"/>
              <wp:positionH relativeFrom="column">
                <wp:posOffset>-17145</wp:posOffset>
              </wp:positionH>
              <wp:positionV relativeFrom="paragraph">
                <wp:posOffset>476885</wp:posOffset>
              </wp:positionV>
              <wp:extent cx="6329045" cy="13970"/>
              <wp:effectExtent l="11430" t="10160" r="12700" b="13970"/>
              <wp:wrapNone/>
              <wp:docPr id="10277274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2AF20"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BD50D01" wp14:editId="6EFC6C28">
          <wp:extent cx="1447165"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E6354"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12F7BC5"/>
    <w:multiLevelType w:val="hybridMultilevel"/>
    <w:tmpl w:val="B2526B3C"/>
    <w:lvl w:ilvl="0" w:tplc="E9B0CAF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36222873">
    <w:abstractNumId w:val="21"/>
  </w:num>
  <w:num w:numId="2" w16cid:durableId="1740513335">
    <w:abstractNumId w:val="23"/>
  </w:num>
  <w:num w:numId="3" w16cid:durableId="488177844">
    <w:abstractNumId w:val="0"/>
  </w:num>
  <w:num w:numId="4" w16cid:durableId="611713947">
    <w:abstractNumId w:val="24"/>
  </w:num>
  <w:num w:numId="5" w16cid:durableId="63339950">
    <w:abstractNumId w:val="7"/>
  </w:num>
  <w:num w:numId="6" w16cid:durableId="1441291839">
    <w:abstractNumId w:val="5"/>
  </w:num>
  <w:num w:numId="7" w16cid:durableId="1348101134">
    <w:abstractNumId w:val="6"/>
  </w:num>
  <w:num w:numId="8" w16cid:durableId="731737148">
    <w:abstractNumId w:val="20"/>
  </w:num>
  <w:num w:numId="9" w16cid:durableId="278033811">
    <w:abstractNumId w:val="1"/>
  </w:num>
  <w:num w:numId="10" w16cid:durableId="1321664630">
    <w:abstractNumId w:val="17"/>
  </w:num>
  <w:num w:numId="11" w16cid:durableId="1545560295">
    <w:abstractNumId w:val="15"/>
  </w:num>
  <w:num w:numId="12" w16cid:durableId="1212763793">
    <w:abstractNumId w:val="13"/>
  </w:num>
  <w:num w:numId="13" w16cid:durableId="1484547649">
    <w:abstractNumId w:val="14"/>
  </w:num>
  <w:num w:numId="14" w16cid:durableId="129709092">
    <w:abstractNumId w:val="3"/>
  </w:num>
  <w:num w:numId="15" w16cid:durableId="140856129">
    <w:abstractNumId w:val="16"/>
  </w:num>
  <w:num w:numId="16" w16cid:durableId="901913260">
    <w:abstractNumId w:val="2"/>
  </w:num>
  <w:num w:numId="17" w16cid:durableId="1600212211">
    <w:abstractNumId w:val="11"/>
  </w:num>
  <w:num w:numId="18" w16cid:durableId="1331759842">
    <w:abstractNumId w:val="4"/>
  </w:num>
  <w:num w:numId="19" w16cid:durableId="959265812">
    <w:abstractNumId w:val="8"/>
  </w:num>
  <w:num w:numId="20" w16cid:durableId="2075425908">
    <w:abstractNumId w:val="19"/>
  </w:num>
  <w:num w:numId="21" w16cid:durableId="780681738">
    <w:abstractNumId w:val="9"/>
  </w:num>
  <w:num w:numId="22" w16cid:durableId="747844420">
    <w:abstractNumId w:val="18"/>
  </w:num>
  <w:num w:numId="23" w16cid:durableId="2105298020">
    <w:abstractNumId w:val="10"/>
  </w:num>
  <w:num w:numId="24" w16cid:durableId="1516652664">
    <w:abstractNumId w:val="22"/>
  </w:num>
  <w:num w:numId="25" w16cid:durableId="1938830262">
    <w:abstractNumId w:val="22"/>
  </w:num>
  <w:num w:numId="26" w16cid:durableId="220485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C7BE7"/>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3EFA"/>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7B4"/>
    <w:rsid w:val="003A4E3F"/>
    <w:rsid w:val="003B28D3"/>
    <w:rsid w:val="003B375E"/>
    <w:rsid w:val="003B39D9"/>
    <w:rsid w:val="003B52B0"/>
    <w:rsid w:val="003B532F"/>
    <w:rsid w:val="003B6063"/>
    <w:rsid w:val="003C192D"/>
    <w:rsid w:val="003C29CC"/>
    <w:rsid w:val="003C4B6B"/>
    <w:rsid w:val="003D061C"/>
    <w:rsid w:val="003D2499"/>
    <w:rsid w:val="003D2AC8"/>
    <w:rsid w:val="003D49DC"/>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6C2B"/>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42F"/>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3A5"/>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3A15"/>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3800"/>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5198"/>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289"/>
    <w:rsid w:val="00DF7377"/>
    <w:rsid w:val="00E071B6"/>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09872"/>
  <w15:chartTrackingRefBased/>
  <w15:docId w15:val="{D22BE588-CB9F-4307-B29B-2729ECBA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ema-k@mail.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trixgrup@ukr.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rpoliholding@ukr.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n-technology@ukr.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iro@piro.ro"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1073</Words>
  <Characters>6121</Characters>
  <Application>Microsoft Office Word</Application>
  <DocSecurity>0</DocSecurity>
  <Lines>51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5</cp:revision>
  <cp:lastPrinted>2021-11-17T09:02:00Z</cp:lastPrinted>
  <dcterms:created xsi:type="dcterms:W3CDTF">2025-06-18T09:51:00Z</dcterms:created>
  <dcterms:modified xsi:type="dcterms:W3CDTF">2025-06-23T11:51:00Z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