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4008ACB3" w14:textId="77777777" w:rsidTr="001021AF">
        <w:tc>
          <w:tcPr>
            <w:tcW w:w="4683" w:type="dxa"/>
          </w:tcPr>
          <w:p w14:paraId="7C121E19" w14:textId="3D5D63D5" w:rsidR="00825A6B" w:rsidRPr="007101A5" w:rsidRDefault="00F16090" w:rsidP="006926A0">
            <w:pPr>
              <w:pStyle w:val="a4"/>
              <w:widowControl w:val="0"/>
              <w:rPr>
                <w:szCs w:val="17"/>
                <w:lang w:val="uk-UA"/>
              </w:rPr>
            </w:pPr>
            <w:r>
              <w:rPr>
                <w:noProof/>
                <w:lang w:val="uk-UA"/>
              </w:rPr>
              <w:drawing>
                <wp:inline distT="0" distB="0" distL="0" distR="0" wp14:anchorId="0AC8472D" wp14:editId="530C020A">
                  <wp:extent cx="145034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285115"/>
                          </a:xfrm>
                          <a:prstGeom prst="rect">
                            <a:avLst/>
                          </a:prstGeom>
                          <a:noFill/>
                          <a:ln>
                            <a:noFill/>
                          </a:ln>
                        </pic:spPr>
                      </pic:pic>
                    </a:graphicData>
                  </a:graphic>
                </wp:inline>
              </w:drawing>
            </w:r>
          </w:p>
        </w:tc>
        <w:tc>
          <w:tcPr>
            <w:tcW w:w="5171" w:type="dxa"/>
          </w:tcPr>
          <w:p w14:paraId="5E19964C"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6A7CD2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E755DE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7A13F5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861EAEE" w14:textId="77777777" w:rsidTr="00C62708">
        <w:tc>
          <w:tcPr>
            <w:tcW w:w="9854" w:type="dxa"/>
            <w:gridSpan w:val="2"/>
          </w:tcPr>
          <w:p w14:paraId="27D627AB" w14:textId="77777777" w:rsidR="003C4B6B" w:rsidRPr="007101A5" w:rsidRDefault="003C4B6B" w:rsidP="007D7B6F">
            <w:pPr>
              <w:pStyle w:val="1"/>
              <w:keepNext w:val="0"/>
              <w:widowControl w:val="0"/>
              <w:rPr>
                <w:sz w:val="28"/>
                <w:szCs w:val="28"/>
              </w:rPr>
            </w:pPr>
          </w:p>
          <w:p w14:paraId="5DBCA063"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F7E74B1" w14:textId="77777777" w:rsidR="005F3529" w:rsidRPr="007101A5" w:rsidRDefault="005F3529" w:rsidP="0063471D">
      <w:pPr>
        <w:pStyle w:val="a4"/>
        <w:widowControl w:val="0"/>
        <w:jc w:val="both"/>
        <w:rPr>
          <w:sz w:val="24"/>
          <w:szCs w:val="24"/>
          <w:lang w:val="uk-UA"/>
        </w:rPr>
      </w:pPr>
    </w:p>
    <w:p w14:paraId="414F8809"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322A407" w14:textId="77777777" w:rsidR="009F35DC" w:rsidRPr="007101A5" w:rsidRDefault="009F35DC" w:rsidP="00440A74">
      <w:pPr>
        <w:widowControl w:val="0"/>
        <w:shd w:val="clear" w:color="auto" w:fill="FFFFFF"/>
        <w:ind w:firstLine="708"/>
        <w:contextualSpacing/>
        <w:jc w:val="both"/>
        <w:rPr>
          <w:lang w:val="uk-UA"/>
        </w:rPr>
      </w:pPr>
    </w:p>
    <w:tbl>
      <w:tblPr>
        <w:tblW w:w="506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0"/>
        <w:gridCol w:w="3028"/>
        <w:gridCol w:w="1879"/>
        <w:gridCol w:w="2183"/>
        <w:gridCol w:w="2117"/>
      </w:tblGrid>
      <w:tr w:rsidR="00A76484" w:rsidRPr="007101A5" w14:paraId="0A407FFE" w14:textId="77777777" w:rsidTr="0028324D">
        <w:tc>
          <w:tcPr>
            <w:tcW w:w="529" w:type="pct"/>
            <w:shd w:val="clear" w:color="auto" w:fill="DEEAF6"/>
          </w:tcPr>
          <w:p w14:paraId="02FB637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470" w:type="pct"/>
            <w:shd w:val="clear" w:color="auto" w:fill="DEEAF6"/>
          </w:tcPr>
          <w:p w14:paraId="01233AD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12" w:type="pct"/>
            <w:shd w:val="clear" w:color="auto" w:fill="DEEAF6"/>
          </w:tcPr>
          <w:p w14:paraId="3F956B47"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60" w:type="pct"/>
            <w:shd w:val="clear" w:color="auto" w:fill="DEEAF6"/>
          </w:tcPr>
          <w:p w14:paraId="6241687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1028" w:type="pct"/>
            <w:shd w:val="clear" w:color="auto" w:fill="DEEAF6"/>
          </w:tcPr>
          <w:p w14:paraId="025176A0"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1410DBED" w14:textId="77777777" w:rsidTr="0028324D">
        <w:tc>
          <w:tcPr>
            <w:tcW w:w="529" w:type="pct"/>
          </w:tcPr>
          <w:p w14:paraId="677AD8AA" w14:textId="08CDFF46" w:rsidR="00A76484" w:rsidRPr="00122B0C" w:rsidRDefault="00166ED8" w:rsidP="005469FD">
            <w:pPr>
              <w:widowControl w:val="0"/>
              <w:ind w:right="-11"/>
              <w:jc w:val="center"/>
              <w:rPr>
                <w:sz w:val="22"/>
                <w:szCs w:val="22"/>
                <w:lang w:val="uk-UA" w:eastAsia="uk-UA"/>
              </w:rPr>
            </w:pPr>
            <w:r w:rsidRPr="00122B0C">
              <w:rPr>
                <w:sz w:val="22"/>
                <w:szCs w:val="22"/>
                <w:lang w:val="uk-UA"/>
              </w:rPr>
              <w:t xml:space="preserve">20.05 </w:t>
            </w:r>
            <w:r w:rsidR="00BD6E95" w:rsidRPr="00122B0C">
              <w:rPr>
                <w:sz w:val="22"/>
                <w:szCs w:val="22"/>
                <w:lang w:val="uk-UA" w:eastAsia="uk-UA"/>
              </w:rPr>
              <w:t>(202</w:t>
            </w:r>
            <w:r w:rsidR="00122B0C" w:rsidRPr="00122B0C">
              <w:rPr>
                <w:sz w:val="22"/>
                <w:szCs w:val="22"/>
                <w:lang w:val="uk-UA" w:eastAsia="uk-UA"/>
              </w:rPr>
              <w:t>5</w:t>
            </w:r>
            <w:r w:rsidR="00A76484" w:rsidRPr="00122B0C">
              <w:rPr>
                <w:sz w:val="22"/>
                <w:szCs w:val="22"/>
                <w:lang w:val="uk-UA" w:eastAsia="uk-UA"/>
              </w:rPr>
              <w:t>)</w:t>
            </w:r>
          </w:p>
        </w:tc>
        <w:tc>
          <w:tcPr>
            <w:tcW w:w="1470" w:type="pct"/>
          </w:tcPr>
          <w:p w14:paraId="6ED6D4BA" w14:textId="08D1A3DE" w:rsidR="00A76484" w:rsidRPr="00122B0C" w:rsidRDefault="00166ED8" w:rsidP="00A12478">
            <w:pPr>
              <w:widowControl w:val="0"/>
              <w:rPr>
                <w:bCs/>
                <w:sz w:val="22"/>
                <w:szCs w:val="22"/>
                <w:lang w:val="uk-UA"/>
              </w:rPr>
            </w:pPr>
            <w:r w:rsidRPr="00122B0C">
              <w:rPr>
                <w:b/>
                <w:sz w:val="22"/>
                <w:szCs w:val="22"/>
                <w:lang w:val="uk-UA"/>
              </w:rPr>
              <w:t xml:space="preserve">Страхування відповідальності суб’єктів господарювання на об’єктах підвищеної небезпеки, код ДК 021:2015 - 66510000-8 - Страхові послуги </w:t>
            </w:r>
          </w:p>
        </w:tc>
        <w:tc>
          <w:tcPr>
            <w:tcW w:w="912" w:type="pct"/>
          </w:tcPr>
          <w:p w14:paraId="42ABD277" w14:textId="23DF3472" w:rsidR="00A76484" w:rsidRPr="00122B0C" w:rsidRDefault="00166ED8" w:rsidP="002D4D30">
            <w:pPr>
              <w:widowControl w:val="0"/>
              <w:jc w:val="center"/>
              <w:rPr>
                <w:sz w:val="22"/>
                <w:szCs w:val="22"/>
                <w:lang w:val="uk-UA"/>
              </w:rPr>
            </w:pPr>
            <w:r w:rsidRPr="00122B0C">
              <w:rPr>
                <w:sz w:val="22"/>
                <w:szCs w:val="22"/>
                <w:lang w:val="uk-UA"/>
              </w:rPr>
              <w:t>90 200,00</w:t>
            </w:r>
            <w:r w:rsidR="00A76484" w:rsidRPr="00122B0C">
              <w:rPr>
                <w:sz w:val="22"/>
                <w:szCs w:val="22"/>
                <w:lang w:val="uk-UA"/>
              </w:rPr>
              <w:t xml:space="preserve"> </w:t>
            </w:r>
          </w:p>
          <w:p w14:paraId="54B5F27A" w14:textId="3F96E471" w:rsidR="00A76484" w:rsidRPr="00122B0C" w:rsidRDefault="00A76484" w:rsidP="002D4D30">
            <w:pPr>
              <w:widowControl w:val="0"/>
              <w:jc w:val="center"/>
              <w:rPr>
                <w:sz w:val="22"/>
                <w:szCs w:val="22"/>
                <w:lang w:val="uk-UA"/>
              </w:rPr>
            </w:pPr>
            <w:r w:rsidRPr="00122B0C">
              <w:rPr>
                <w:sz w:val="22"/>
                <w:szCs w:val="22"/>
                <w:lang w:val="uk-UA"/>
              </w:rPr>
              <w:t xml:space="preserve">грн. </w:t>
            </w:r>
            <w:r w:rsidR="00122B0C" w:rsidRPr="00122B0C">
              <w:rPr>
                <w:sz w:val="22"/>
                <w:szCs w:val="22"/>
                <w:lang w:val="uk-UA"/>
              </w:rPr>
              <w:t>без</w:t>
            </w:r>
            <w:r w:rsidRPr="00122B0C">
              <w:rPr>
                <w:sz w:val="22"/>
                <w:szCs w:val="22"/>
                <w:lang w:val="uk-UA"/>
              </w:rPr>
              <w:t xml:space="preserve"> ПДВ</w:t>
            </w:r>
          </w:p>
        </w:tc>
        <w:tc>
          <w:tcPr>
            <w:tcW w:w="1060" w:type="pct"/>
          </w:tcPr>
          <w:p w14:paraId="63240497" w14:textId="44EBC923" w:rsidR="00A76484" w:rsidRPr="00122B0C" w:rsidRDefault="00166ED8" w:rsidP="002D4D30">
            <w:pPr>
              <w:widowControl w:val="0"/>
              <w:jc w:val="center"/>
              <w:rPr>
                <w:sz w:val="22"/>
                <w:szCs w:val="22"/>
                <w:lang w:val="uk-UA"/>
              </w:rPr>
            </w:pPr>
            <w:r w:rsidRPr="00122B0C">
              <w:rPr>
                <w:sz w:val="22"/>
                <w:szCs w:val="22"/>
                <w:lang w:val="uk-UA"/>
              </w:rPr>
              <w:t>90 200,00</w:t>
            </w:r>
          </w:p>
          <w:p w14:paraId="77D0FFA0" w14:textId="77777777" w:rsidR="00A76484" w:rsidRPr="00122B0C" w:rsidRDefault="00A76484" w:rsidP="002D4D30">
            <w:pPr>
              <w:widowControl w:val="0"/>
              <w:jc w:val="center"/>
              <w:rPr>
                <w:sz w:val="22"/>
                <w:szCs w:val="22"/>
                <w:lang w:val="uk-UA"/>
              </w:rPr>
            </w:pPr>
            <w:r w:rsidRPr="00122B0C">
              <w:rPr>
                <w:sz w:val="22"/>
                <w:szCs w:val="22"/>
                <w:lang w:val="uk-UA"/>
              </w:rPr>
              <w:t xml:space="preserve">грн. без ПДВ </w:t>
            </w:r>
          </w:p>
        </w:tc>
        <w:tc>
          <w:tcPr>
            <w:tcW w:w="1028" w:type="pct"/>
          </w:tcPr>
          <w:p w14:paraId="0E01BB6A" w14:textId="2CB5FDC6" w:rsidR="00B8250E" w:rsidRPr="00B8250E" w:rsidRDefault="00B8250E" w:rsidP="00B8250E">
            <w:pPr>
              <w:jc w:val="center"/>
              <w:rPr>
                <w:color w:val="000000"/>
                <w:sz w:val="22"/>
                <w:szCs w:val="22"/>
                <w:lang w:val="uk-UA" w:eastAsia="uk-UA"/>
              </w:rPr>
            </w:pPr>
            <w:hyperlink r:id="rId9" w:history="1">
              <w:r w:rsidRPr="00B8250E">
                <w:rPr>
                  <w:rStyle w:val="af"/>
                  <w:sz w:val="22"/>
                  <w:szCs w:val="22"/>
                  <w:u w:val="none"/>
                </w:rPr>
                <w:t>UA-2025-07-10-009894-a</w:t>
              </w:r>
            </w:hyperlink>
          </w:p>
          <w:p w14:paraId="27EB971C" w14:textId="1AC69939" w:rsidR="00A76484" w:rsidRPr="00122B0C" w:rsidRDefault="00A76484" w:rsidP="002D4D30">
            <w:pPr>
              <w:widowControl w:val="0"/>
              <w:jc w:val="center"/>
              <w:rPr>
                <w:color w:val="0000FF"/>
                <w:sz w:val="22"/>
                <w:szCs w:val="22"/>
                <w:lang w:val="uk-UA"/>
              </w:rPr>
            </w:pPr>
          </w:p>
        </w:tc>
      </w:tr>
    </w:tbl>
    <w:p w14:paraId="65D1C2E6" w14:textId="77777777" w:rsidR="00A12478" w:rsidRPr="007101A5" w:rsidRDefault="00A12478" w:rsidP="0063471D">
      <w:pPr>
        <w:pStyle w:val="a4"/>
        <w:widowControl w:val="0"/>
        <w:jc w:val="both"/>
        <w:rPr>
          <w:sz w:val="24"/>
          <w:szCs w:val="24"/>
          <w:lang w:val="uk-UA"/>
        </w:rPr>
      </w:pPr>
    </w:p>
    <w:p w14:paraId="3B2EED69"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122B0C" w:rsidRPr="007101A5" w14:paraId="4E0D150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F69A8A" w14:textId="77777777" w:rsidR="00122B0C" w:rsidRPr="007101A5" w:rsidRDefault="00122B0C" w:rsidP="00122B0C">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69358A1" w14:textId="77777777" w:rsidR="00122B0C" w:rsidRPr="007101A5" w:rsidRDefault="00122B0C" w:rsidP="00122B0C">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52A896A" w14:textId="77777777" w:rsidR="00122B0C" w:rsidRPr="00122B0C" w:rsidRDefault="00122B0C" w:rsidP="00122B0C">
            <w:pPr>
              <w:widowControl w:val="0"/>
              <w:ind w:right="59"/>
              <w:jc w:val="both"/>
              <w:rPr>
                <w:lang w:val="uk-UA"/>
              </w:rPr>
            </w:pPr>
            <w:r w:rsidRPr="00122B0C">
              <w:rPr>
                <w:b/>
                <w:i/>
                <w:lang w:val="uk-UA"/>
              </w:rPr>
              <w:t>Обґрунтування очікуваної вартості предмета закупівлі:</w:t>
            </w:r>
            <w:r w:rsidRPr="00122B0C">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22B0C">
              <w:rPr>
                <w:lang w:val="uk-UA"/>
              </w:rPr>
              <w:t>закупівель</w:t>
            </w:r>
            <w:proofErr w:type="spellEnd"/>
            <w:r w:rsidRPr="00122B0C">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7BE6A070" w14:textId="77777777" w:rsidR="00122B0C" w:rsidRPr="00122B0C" w:rsidRDefault="00122B0C" w:rsidP="00122B0C">
            <w:pPr>
              <w:shd w:val="clear" w:color="auto" w:fill="FFFFFF"/>
              <w:ind w:right="59"/>
              <w:jc w:val="both"/>
              <w:rPr>
                <w:lang w:val="uk-UA"/>
              </w:rPr>
            </w:pPr>
            <w:r w:rsidRPr="00122B0C">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на підставі отриманих цінових пропозицій</w:t>
            </w:r>
          </w:p>
          <w:p w14:paraId="1DBBF0AE" w14:textId="59A5EF7B" w:rsidR="00122B0C" w:rsidRPr="007101A5" w:rsidRDefault="00122B0C" w:rsidP="00122B0C">
            <w:pPr>
              <w:ind w:right="59"/>
              <w:rPr>
                <w:i/>
                <w:lang w:val="uk-UA"/>
              </w:rPr>
            </w:pPr>
            <w:r w:rsidRPr="00122B0C">
              <w:rPr>
                <w:b/>
                <w:i/>
                <w:lang w:val="uk-UA"/>
              </w:rPr>
              <w:t>Обґрунтування обсягів закупівлі:</w:t>
            </w:r>
            <w:r w:rsidRPr="00122B0C">
              <w:rPr>
                <w:b/>
                <w:lang w:val="uk-UA"/>
              </w:rPr>
              <w:t xml:space="preserve"> </w:t>
            </w:r>
            <w:r w:rsidRPr="00122B0C">
              <w:rPr>
                <w:lang w:val="uk-UA"/>
              </w:rPr>
              <w:t>Обсяги визначено відповідно до очікуваної потреби.</w:t>
            </w:r>
          </w:p>
        </w:tc>
      </w:tr>
      <w:tr w:rsidR="00122B0C" w:rsidRPr="007101A5" w14:paraId="3A9F3CD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6ECBB3B" w14:textId="77777777" w:rsidR="00122B0C" w:rsidRPr="007101A5" w:rsidRDefault="00122B0C" w:rsidP="00122B0C">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2D7B2C8" w14:textId="77777777" w:rsidR="00122B0C" w:rsidRPr="007101A5" w:rsidRDefault="00122B0C" w:rsidP="00122B0C">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55A8FD" w14:textId="77777777" w:rsidR="00122B0C" w:rsidRPr="00122B0C" w:rsidRDefault="00122B0C" w:rsidP="00122B0C">
            <w:pPr>
              <w:widowControl w:val="0"/>
              <w:ind w:right="59"/>
              <w:jc w:val="both"/>
              <w:rPr>
                <w:lang w:val="uk-UA"/>
              </w:rPr>
            </w:pPr>
            <w:r w:rsidRPr="00122B0C">
              <w:rPr>
                <w:b/>
                <w:i/>
                <w:lang w:val="uk-UA"/>
              </w:rPr>
              <w:t>Визначення потреби в закупівлі:</w:t>
            </w:r>
            <w:r w:rsidRPr="00122B0C">
              <w:rPr>
                <w:lang w:val="uk-UA"/>
              </w:rPr>
              <w:t xml:space="preserve"> Закупівля зумовлена необхідністю страхування працівників служби аварійно-рятувального та протипожежного забезпечення польотів на випадок загибелі (смерті) або поранення (контузії травми або каліцтва), захворювання.</w:t>
            </w:r>
          </w:p>
          <w:p w14:paraId="47F26F28" w14:textId="4F40D976" w:rsidR="00122B0C" w:rsidRPr="007101A5" w:rsidRDefault="00122B0C" w:rsidP="00122B0C">
            <w:pPr>
              <w:ind w:right="59"/>
              <w:jc w:val="both"/>
              <w:rPr>
                <w:i/>
                <w:lang w:val="uk-UA"/>
              </w:rPr>
            </w:pPr>
            <w:r w:rsidRPr="00122B0C">
              <w:rPr>
                <w:lang w:val="uk-UA"/>
              </w:rPr>
              <w:t xml:space="preserve">Технічні та якісні характеристики предмету закупівлі сформовані з урахуванням вимог Закону України «Про страхування» від 18.11.2021 року № 1909-ІХ, Закону України «Про об’єкти </w:t>
            </w:r>
            <w:r w:rsidRPr="00122B0C">
              <w:rPr>
                <w:lang w:val="uk-UA"/>
              </w:rPr>
              <w:lastRenderedPageBreak/>
              <w:t>підвищеної небезпеки» від 18.01.2021 № 2245-IІІ, Наказу Міністерства внутрішніх справ України від 28.12.2023 № 1081 «Про затвердження Порядку та умов страхування відповідальності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w:t>
            </w:r>
          </w:p>
        </w:tc>
      </w:tr>
      <w:tr w:rsidR="00122B0C" w:rsidRPr="007101A5" w14:paraId="127DF54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9ED6F0E" w14:textId="77777777" w:rsidR="00122B0C" w:rsidRPr="007101A5" w:rsidRDefault="00122B0C" w:rsidP="00122B0C">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CA1DFC" w14:textId="77777777" w:rsidR="00122B0C" w:rsidRPr="007101A5" w:rsidRDefault="00122B0C" w:rsidP="00122B0C">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B0BA5D0" w14:textId="77777777" w:rsidR="00122B0C" w:rsidRPr="00122B0C" w:rsidRDefault="00122B0C" w:rsidP="00122B0C">
            <w:pPr>
              <w:shd w:val="clear" w:color="auto" w:fill="FFFFFF"/>
              <w:jc w:val="both"/>
              <w:rPr>
                <w:lang w:val="uk-UA"/>
              </w:rPr>
            </w:pPr>
            <w:r w:rsidRPr="00122B0C">
              <w:rPr>
                <w:lang w:val="uk-UA"/>
              </w:rPr>
              <w:t>Запит цінових пропозицій.</w:t>
            </w:r>
          </w:p>
          <w:p w14:paraId="08E51A85" w14:textId="77777777" w:rsidR="00122B0C" w:rsidRPr="00122B0C" w:rsidRDefault="00122B0C" w:rsidP="00122B0C">
            <w:pPr>
              <w:shd w:val="clear" w:color="auto" w:fill="FFFFFF"/>
              <w:jc w:val="both"/>
              <w:rPr>
                <w:iCs/>
                <w:lang w:val="uk-UA"/>
              </w:rPr>
            </w:pPr>
            <w:r w:rsidRPr="00122B0C">
              <w:rPr>
                <w:bCs/>
                <w:lang w:val="uk-UA"/>
              </w:rPr>
              <w:t xml:space="preserve">З метою отримання цінових пропозицій до страхових компаній було направлено запит ДП МА «Бориспіль» від 16.05.2025 № 50-22Е-4 та отримані цінові пропозиції від </w:t>
            </w:r>
            <w:r w:rsidRPr="00122B0C">
              <w:rPr>
                <w:iCs/>
                <w:lang w:val="uk-UA"/>
              </w:rPr>
              <w:t>ПрАТ «СК «</w:t>
            </w:r>
            <w:proofErr w:type="spellStart"/>
            <w:r w:rsidRPr="00122B0C">
              <w:rPr>
                <w:iCs/>
                <w:lang w:val="uk-UA"/>
              </w:rPr>
              <w:t>Євроінс</w:t>
            </w:r>
            <w:proofErr w:type="spellEnd"/>
            <w:r w:rsidRPr="00122B0C">
              <w:rPr>
                <w:iCs/>
                <w:lang w:val="uk-UA"/>
              </w:rPr>
              <w:t xml:space="preserve"> Україна»,</w:t>
            </w:r>
          </w:p>
          <w:p w14:paraId="08ED4BB4" w14:textId="583720D4" w:rsidR="00122B0C" w:rsidRPr="007101A5" w:rsidRDefault="00122B0C" w:rsidP="00122B0C">
            <w:pPr>
              <w:rPr>
                <w:i/>
                <w:lang w:val="uk-UA"/>
              </w:rPr>
            </w:pPr>
            <w:r w:rsidRPr="00122B0C">
              <w:rPr>
                <w:iCs/>
                <w:lang w:val="uk-UA"/>
              </w:rPr>
              <w:t>ТДВ «СК «</w:t>
            </w:r>
            <w:proofErr w:type="spellStart"/>
            <w:r w:rsidRPr="00122B0C">
              <w:rPr>
                <w:iCs/>
                <w:lang w:val="uk-UA"/>
              </w:rPr>
              <w:t>Гардіан</w:t>
            </w:r>
            <w:proofErr w:type="spellEnd"/>
            <w:r w:rsidRPr="00122B0C">
              <w:rPr>
                <w:iCs/>
                <w:lang w:val="uk-UA"/>
              </w:rPr>
              <w:t>», АТ «СК «Країна».</w:t>
            </w:r>
          </w:p>
        </w:tc>
      </w:tr>
    </w:tbl>
    <w:p w14:paraId="0538A507" w14:textId="77777777" w:rsidR="006F428D" w:rsidRPr="007101A5" w:rsidRDefault="006F428D" w:rsidP="00A12478">
      <w:pPr>
        <w:rPr>
          <w:b/>
          <w:lang w:val="uk-UA"/>
        </w:rPr>
      </w:pPr>
    </w:p>
    <w:p w14:paraId="691FC266" w14:textId="77777777" w:rsidR="006926A0" w:rsidRPr="0028324D" w:rsidRDefault="006926A0" w:rsidP="006926A0">
      <w:pPr>
        <w:ind w:firstLine="567"/>
        <w:jc w:val="both"/>
        <w:rPr>
          <w:lang w:val="uk-UA"/>
        </w:rPr>
      </w:pPr>
      <w:r w:rsidRPr="0028324D">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2BE667F" w14:textId="29E9E5A2" w:rsidR="00122B0C" w:rsidRDefault="00122B0C" w:rsidP="00122B0C">
      <w:pPr>
        <w:widowControl w:val="0"/>
        <w:jc w:val="center"/>
        <w:rPr>
          <w:b/>
          <w:sz w:val="22"/>
          <w:szCs w:val="22"/>
          <w:lang w:val="uk-UA"/>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992"/>
        <w:gridCol w:w="709"/>
        <w:gridCol w:w="4683"/>
        <w:gridCol w:w="10"/>
      </w:tblGrid>
      <w:tr w:rsidR="00122B0C" w:rsidRPr="00B200B2" w14:paraId="35CFC2C8" w14:textId="77777777" w:rsidTr="007D46B4">
        <w:trPr>
          <w:gridAfter w:val="1"/>
          <w:wAfter w:w="10" w:type="dxa"/>
        </w:trPr>
        <w:tc>
          <w:tcPr>
            <w:tcW w:w="568" w:type="dxa"/>
            <w:shd w:val="clear" w:color="auto" w:fill="C1E4F5"/>
          </w:tcPr>
          <w:p w14:paraId="2D6ED65A" w14:textId="77777777" w:rsidR="00122B0C" w:rsidRPr="00B200B2" w:rsidRDefault="00122B0C" w:rsidP="007D46B4">
            <w:pPr>
              <w:widowControl w:val="0"/>
              <w:jc w:val="center"/>
              <w:rPr>
                <w:bCs/>
                <w:sz w:val="22"/>
                <w:szCs w:val="22"/>
                <w:lang w:val="uk-UA"/>
              </w:rPr>
            </w:pPr>
            <w:r w:rsidRPr="00B200B2">
              <w:rPr>
                <w:bCs/>
                <w:sz w:val="22"/>
                <w:szCs w:val="22"/>
                <w:lang w:val="uk-UA"/>
              </w:rPr>
              <w:t>№ п/п</w:t>
            </w:r>
          </w:p>
        </w:tc>
        <w:tc>
          <w:tcPr>
            <w:tcW w:w="3260" w:type="dxa"/>
            <w:shd w:val="clear" w:color="auto" w:fill="C1E4F5"/>
          </w:tcPr>
          <w:p w14:paraId="102207BA" w14:textId="77777777" w:rsidR="00122B0C" w:rsidRPr="00B200B2" w:rsidRDefault="00122B0C" w:rsidP="007D46B4">
            <w:pPr>
              <w:widowControl w:val="0"/>
              <w:jc w:val="center"/>
              <w:rPr>
                <w:bCs/>
                <w:sz w:val="22"/>
                <w:szCs w:val="22"/>
                <w:lang w:val="uk-UA"/>
              </w:rPr>
            </w:pPr>
            <w:r w:rsidRPr="00B200B2">
              <w:rPr>
                <w:bCs/>
                <w:sz w:val="22"/>
                <w:szCs w:val="22"/>
                <w:lang w:val="uk-UA"/>
              </w:rPr>
              <w:t xml:space="preserve">Найменування послуги </w:t>
            </w:r>
          </w:p>
        </w:tc>
        <w:tc>
          <w:tcPr>
            <w:tcW w:w="992" w:type="dxa"/>
            <w:shd w:val="clear" w:color="auto" w:fill="C1E4F5"/>
            <w:hideMark/>
          </w:tcPr>
          <w:p w14:paraId="048F138F" w14:textId="77777777" w:rsidR="00122B0C" w:rsidRPr="00B200B2" w:rsidRDefault="00122B0C" w:rsidP="007D46B4">
            <w:pPr>
              <w:widowControl w:val="0"/>
              <w:jc w:val="center"/>
              <w:rPr>
                <w:bCs/>
                <w:sz w:val="22"/>
                <w:szCs w:val="22"/>
                <w:lang w:val="uk-UA"/>
              </w:rPr>
            </w:pPr>
            <w:r w:rsidRPr="00B200B2">
              <w:rPr>
                <w:bCs/>
                <w:sz w:val="22"/>
                <w:szCs w:val="22"/>
                <w:lang w:val="uk-UA"/>
              </w:rPr>
              <w:t>Од.</w:t>
            </w:r>
          </w:p>
          <w:p w14:paraId="7FEE1622" w14:textId="77777777" w:rsidR="00122B0C" w:rsidRPr="00B200B2" w:rsidRDefault="00122B0C" w:rsidP="007D46B4">
            <w:pPr>
              <w:widowControl w:val="0"/>
              <w:jc w:val="center"/>
              <w:rPr>
                <w:bCs/>
                <w:sz w:val="22"/>
                <w:szCs w:val="22"/>
                <w:lang w:val="uk-UA"/>
              </w:rPr>
            </w:pPr>
            <w:r w:rsidRPr="00B200B2">
              <w:rPr>
                <w:bCs/>
                <w:sz w:val="22"/>
                <w:szCs w:val="22"/>
                <w:lang w:val="uk-UA"/>
              </w:rPr>
              <w:t>виміру</w:t>
            </w:r>
          </w:p>
        </w:tc>
        <w:tc>
          <w:tcPr>
            <w:tcW w:w="709" w:type="dxa"/>
            <w:shd w:val="clear" w:color="auto" w:fill="C1E4F5"/>
          </w:tcPr>
          <w:p w14:paraId="6BD4179A" w14:textId="77777777" w:rsidR="00122B0C" w:rsidRPr="00B200B2" w:rsidRDefault="00122B0C" w:rsidP="007D46B4">
            <w:pPr>
              <w:widowControl w:val="0"/>
              <w:jc w:val="center"/>
              <w:rPr>
                <w:bCs/>
                <w:sz w:val="22"/>
                <w:szCs w:val="22"/>
                <w:lang w:val="uk-UA"/>
              </w:rPr>
            </w:pPr>
            <w:r w:rsidRPr="00B200B2">
              <w:rPr>
                <w:bCs/>
                <w:sz w:val="22"/>
                <w:szCs w:val="22"/>
                <w:lang w:val="uk-UA"/>
              </w:rPr>
              <w:t>Кількість</w:t>
            </w:r>
          </w:p>
        </w:tc>
        <w:tc>
          <w:tcPr>
            <w:tcW w:w="4683" w:type="dxa"/>
            <w:shd w:val="clear" w:color="auto" w:fill="C1E4F5"/>
            <w:hideMark/>
          </w:tcPr>
          <w:p w14:paraId="429A5586" w14:textId="77777777" w:rsidR="00122B0C" w:rsidRPr="00B200B2" w:rsidRDefault="00122B0C" w:rsidP="007D46B4">
            <w:pPr>
              <w:widowControl w:val="0"/>
              <w:jc w:val="center"/>
              <w:rPr>
                <w:bCs/>
                <w:sz w:val="22"/>
                <w:szCs w:val="22"/>
                <w:lang w:val="uk-UA"/>
              </w:rPr>
            </w:pPr>
            <w:r w:rsidRPr="00B200B2">
              <w:rPr>
                <w:bCs/>
                <w:sz w:val="22"/>
                <w:szCs w:val="22"/>
                <w:lang w:val="uk-UA"/>
              </w:rPr>
              <w:t xml:space="preserve">Технічні та якісні характеристики предмета закупівлі </w:t>
            </w:r>
          </w:p>
        </w:tc>
      </w:tr>
      <w:tr w:rsidR="00122B0C" w:rsidRPr="00B200B2" w14:paraId="34AC5BE3" w14:textId="77777777" w:rsidTr="007D46B4">
        <w:trPr>
          <w:trHeight w:val="335"/>
        </w:trPr>
        <w:tc>
          <w:tcPr>
            <w:tcW w:w="10222" w:type="dxa"/>
            <w:gridSpan w:val="6"/>
          </w:tcPr>
          <w:p w14:paraId="7E7048F8" w14:textId="77777777" w:rsidR="00122B0C" w:rsidRPr="00B200B2" w:rsidRDefault="00122B0C" w:rsidP="007D46B4">
            <w:pPr>
              <w:widowControl w:val="0"/>
              <w:jc w:val="both"/>
              <w:rPr>
                <w:iCs/>
                <w:color w:val="000000"/>
                <w:sz w:val="22"/>
                <w:szCs w:val="22"/>
                <w:lang w:val="uk-UA"/>
              </w:rPr>
            </w:pPr>
            <w:r w:rsidRPr="00B200B2">
              <w:rPr>
                <w:b/>
                <w:bCs/>
                <w:noProof/>
                <w:sz w:val="22"/>
                <w:szCs w:val="22"/>
                <w:lang w:val="uk-UA"/>
              </w:rPr>
              <w:t>Об’єкт страхування</w:t>
            </w:r>
            <w:r w:rsidRPr="00B200B2">
              <w:rPr>
                <w:noProof/>
                <w:sz w:val="22"/>
                <w:szCs w:val="22"/>
                <w:lang w:val="uk-UA"/>
              </w:rPr>
              <w:t xml:space="preserve"> - відповідальність ДП МА «Бориспіль» (оператор) за шкоду, заподіяну потерпілій третій особі або її майну, навколишньому природному середовищу внаслідок надзвичайних ситуацій.</w:t>
            </w:r>
          </w:p>
        </w:tc>
      </w:tr>
      <w:tr w:rsidR="00122B0C" w:rsidRPr="00B200B2" w14:paraId="3B928055" w14:textId="77777777" w:rsidTr="007D46B4">
        <w:trPr>
          <w:gridAfter w:val="1"/>
          <w:wAfter w:w="10" w:type="dxa"/>
          <w:trHeight w:val="335"/>
        </w:trPr>
        <w:tc>
          <w:tcPr>
            <w:tcW w:w="568" w:type="dxa"/>
          </w:tcPr>
          <w:p w14:paraId="534DEECD"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3260" w:type="dxa"/>
          </w:tcPr>
          <w:p w14:paraId="6FCF186B"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АЗС-1</w:t>
            </w:r>
            <w:r w:rsidRPr="00B200B2">
              <w:rPr>
                <w:noProof/>
                <w:sz w:val="22"/>
                <w:szCs w:val="22"/>
                <w:lang w:val="uk-UA"/>
              </w:rPr>
              <w:t>, який є об’єктом підвищеної небезпеки 3 класу та знаходиться за адресою: 08300, Київська обл., Бориспільський р-н, с. Гора, вул. Бориспіль-7</w:t>
            </w:r>
            <w:r w:rsidRPr="00B200B2">
              <w:rPr>
                <w:sz w:val="22"/>
                <w:szCs w:val="22"/>
                <w:lang w:val="uk-UA"/>
              </w:rPr>
              <w:t xml:space="preserve">, </w:t>
            </w:r>
            <w:r w:rsidRPr="00B200B2">
              <w:rPr>
                <w:noProof/>
                <w:sz w:val="22"/>
                <w:szCs w:val="22"/>
                <w:lang w:val="uk-UA"/>
              </w:rPr>
              <w:t>ДП МА «Бориспіль»</w:t>
            </w:r>
          </w:p>
        </w:tc>
        <w:tc>
          <w:tcPr>
            <w:tcW w:w="992" w:type="dxa"/>
          </w:tcPr>
          <w:p w14:paraId="76E8BAED"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59581241"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22C120B5"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АЗС-1.</w:t>
            </w:r>
          </w:p>
          <w:p w14:paraId="6610721B"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3 клас.</w:t>
            </w:r>
          </w:p>
          <w:p w14:paraId="1FF6520C"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(дизельне паливо, бензини), оливи.</w:t>
            </w:r>
          </w:p>
          <w:p w14:paraId="47B660D7"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w:t>
            </w:r>
            <w:r w:rsidRPr="00B200B2">
              <w:rPr>
                <w:b/>
                <w:iCs/>
                <w:color w:val="000000"/>
                <w:sz w:val="22"/>
                <w:szCs w:val="22"/>
                <w:lang w:val="uk-UA"/>
              </w:rPr>
              <w:t>– № 1202, № 1203.</w:t>
            </w:r>
          </w:p>
          <w:p w14:paraId="3AADE0B6"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w:t>
            </w:r>
            <w:r w:rsidRPr="00B200B2">
              <w:rPr>
                <w:b/>
                <w:iCs/>
                <w:color w:val="000000"/>
                <w:sz w:val="22"/>
                <w:szCs w:val="22"/>
                <w:lang w:val="uk-UA"/>
              </w:rPr>
              <w:t xml:space="preserve">100 </w:t>
            </w:r>
            <w:proofErr w:type="spellStart"/>
            <w:r w:rsidRPr="00B200B2">
              <w:rPr>
                <w:b/>
                <w:iCs/>
                <w:color w:val="000000"/>
                <w:sz w:val="22"/>
                <w:szCs w:val="22"/>
                <w:lang w:val="uk-UA"/>
              </w:rPr>
              <w:t>тонн</w:t>
            </w:r>
            <w:proofErr w:type="spellEnd"/>
            <w:r w:rsidRPr="00B200B2">
              <w:rPr>
                <w:b/>
                <w:iCs/>
                <w:color w:val="000000"/>
                <w:sz w:val="22"/>
                <w:szCs w:val="22"/>
                <w:lang w:val="uk-UA"/>
              </w:rPr>
              <w:t>.</w:t>
            </w:r>
          </w:p>
        </w:tc>
      </w:tr>
      <w:tr w:rsidR="00122B0C" w:rsidRPr="00B200B2" w14:paraId="6293F203" w14:textId="77777777" w:rsidTr="007D46B4">
        <w:trPr>
          <w:gridAfter w:val="1"/>
          <w:wAfter w:w="10" w:type="dxa"/>
          <w:trHeight w:val="335"/>
        </w:trPr>
        <w:tc>
          <w:tcPr>
            <w:tcW w:w="568" w:type="dxa"/>
          </w:tcPr>
          <w:p w14:paraId="7E520B07" w14:textId="77777777" w:rsidR="00122B0C" w:rsidRPr="00B200B2" w:rsidRDefault="00122B0C" w:rsidP="007D46B4">
            <w:pPr>
              <w:widowControl w:val="0"/>
              <w:jc w:val="center"/>
              <w:rPr>
                <w:sz w:val="22"/>
                <w:szCs w:val="22"/>
                <w:lang w:val="uk-UA"/>
              </w:rPr>
            </w:pPr>
            <w:r w:rsidRPr="00B200B2">
              <w:rPr>
                <w:color w:val="000000"/>
                <w:sz w:val="22"/>
                <w:szCs w:val="22"/>
                <w:lang w:val="uk-UA"/>
              </w:rPr>
              <w:t>2</w:t>
            </w:r>
          </w:p>
        </w:tc>
        <w:tc>
          <w:tcPr>
            <w:tcW w:w="3260" w:type="dxa"/>
          </w:tcPr>
          <w:p w14:paraId="2C7DF6B1"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АЗС-2</w:t>
            </w:r>
            <w:r w:rsidRPr="00B200B2">
              <w:rPr>
                <w:noProof/>
                <w:sz w:val="22"/>
                <w:szCs w:val="22"/>
                <w:lang w:val="uk-UA"/>
              </w:rPr>
              <w:t>, який є об’єктом підвищеної небезпеки 3 класу та знаходиться за адресою: 08300, Київська обл., Бориспільський р-н, с. Гора, вул. Бориспіль-7, ДП МА «Бориспіль»</w:t>
            </w:r>
          </w:p>
        </w:tc>
        <w:tc>
          <w:tcPr>
            <w:tcW w:w="992" w:type="dxa"/>
          </w:tcPr>
          <w:p w14:paraId="776DB48C"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46B44D4E"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0E06794A"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АЗС-2.</w:t>
            </w:r>
          </w:p>
          <w:p w14:paraId="2967B818"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3 клас.</w:t>
            </w:r>
          </w:p>
          <w:p w14:paraId="0B0E2AA4"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(дизельне паливо, авіаційне паливо).</w:t>
            </w:r>
          </w:p>
          <w:p w14:paraId="398698B7"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w:t>
            </w:r>
            <w:r w:rsidRPr="00B200B2">
              <w:rPr>
                <w:b/>
                <w:iCs/>
                <w:color w:val="000000"/>
                <w:sz w:val="22"/>
                <w:szCs w:val="22"/>
                <w:lang w:val="uk-UA"/>
              </w:rPr>
              <w:t>– № 1202, 1863.</w:t>
            </w:r>
          </w:p>
          <w:p w14:paraId="7B9D74BA"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60 </w:t>
            </w:r>
            <w:proofErr w:type="spellStart"/>
            <w:r w:rsidRPr="00B200B2">
              <w:rPr>
                <w:iCs/>
                <w:color w:val="000000"/>
                <w:sz w:val="22"/>
                <w:szCs w:val="22"/>
                <w:lang w:val="uk-UA"/>
              </w:rPr>
              <w:t>тонн</w:t>
            </w:r>
            <w:proofErr w:type="spellEnd"/>
            <w:r w:rsidRPr="00B200B2">
              <w:rPr>
                <w:iCs/>
                <w:color w:val="000000"/>
                <w:sz w:val="22"/>
                <w:szCs w:val="22"/>
                <w:lang w:val="uk-UA"/>
              </w:rPr>
              <w:t>.</w:t>
            </w:r>
          </w:p>
        </w:tc>
      </w:tr>
      <w:tr w:rsidR="00122B0C" w:rsidRPr="00B200B2" w14:paraId="72D9A6B1" w14:textId="77777777" w:rsidTr="007D46B4">
        <w:trPr>
          <w:gridAfter w:val="1"/>
          <w:wAfter w:w="10" w:type="dxa"/>
          <w:trHeight w:val="335"/>
        </w:trPr>
        <w:tc>
          <w:tcPr>
            <w:tcW w:w="568" w:type="dxa"/>
          </w:tcPr>
          <w:p w14:paraId="60B85366" w14:textId="77777777" w:rsidR="00122B0C" w:rsidRPr="00B200B2" w:rsidRDefault="00122B0C" w:rsidP="007D46B4">
            <w:pPr>
              <w:widowControl w:val="0"/>
              <w:jc w:val="center"/>
              <w:rPr>
                <w:sz w:val="22"/>
                <w:szCs w:val="22"/>
                <w:lang w:val="uk-UA"/>
              </w:rPr>
            </w:pPr>
            <w:r w:rsidRPr="00B200B2">
              <w:rPr>
                <w:color w:val="000000"/>
                <w:sz w:val="22"/>
                <w:szCs w:val="22"/>
                <w:lang w:val="uk-UA"/>
              </w:rPr>
              <w:t>3</w:t>
            </w:r>
          </w:p>
        </w:tc>
        <w:tc>
          <w:tcPr>
            <w:tcW w:w="3260" w:type="dxa"/>
          </w:tcPr>
          <w:p w14:paraId="1A6468FE"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АЗС-3</w:t>
            </w:r>
            <w:r w:rsidRPr="00B200B2">
              <w:rPr>
                <w:noProof/>
                <w:sz w:val="22"/>
                <w:szCs w:val="22"/>
                <w:lang w:val="uk-UA"/>
              </w:rPr>
              <w:t>, який є об’єктом підвищеної небезпеки 3 клас та знаходиться за адресою: 08300, Київська обл., Бориспільський р-н, с. Гора, вул. Бориспіль-7</w:t>
            </w:r>
            <w:r w:rsidRPr="00B200B2">
              <w:rPr>
                <w:sz w:val="22"/>
                <w:szCs w:val="22"/>
                <w:lang w:val="uk-UA"/>
              </w:rPr>
              <w:t xml:space="preserve">, </w:t>
            </w:r>
            <w:r w:rsidRPr="00B200B2">
              <w:rPr>
                <w:noProof/>
                <w:sz w:val="22"/>
                <w:szCs w:val="22"/>
                <w:lang w:val="uk-UA"/>
              </w:rPr>
              <w:t>ДП МА «Бориспіль».</w:t>
            </w:r>
          </w:p>
        </w:tc>
        <w:tc>
          <w:tcPr>
            <w:tcW w:w="992" w:type="dxa"/>
          </w:tcPr>
          <w:p w14:paraId="191C9232"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78214B4C"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30529939"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АЗС-3.</w:t>
            </w:r>
          </w:p>
          <w:p w14:paraId="6BCCE7DC"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3 клас.</w:t>
            </w:r>
          </w:p>
          <w:p w14:paraId="2EE7E00E"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(дизельне паливо).</w:t>
            </w:r>
          </w:p>
          <w:p w14:paraId="108B39C1"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 </w:t>
            </w:r>
            <w:r w:rsidRPr="00B200B2">
              <w:rPr>
                <w:b/>
                <w:iCs/>
                <w:color w:val="000000"/>
                <w:sz w:val="22"/>
                <w:szCs w:val="22"/>
                <w:lang w:val="uk-UA"/>
              </w:rPr>
              <w:t>№ 1202.</w:t>
            </w:r>
          </w:p>
          <w:p w14:paraId="48334B39"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w:t>
            </w:r>
            <w:r w:rsidRPr="00B200B2">
              <w:rPr>
                <w:b/>
                <w:iCs/>
                <w:color w:val="000000"/>
                <w:sz w:val="22"/>
                <w:szCs w:val="22"/>
                <w:lang w:val="uk-UA"/>
              </w:rPr>
              <w:t xml:space="preserve">50 </w:t>
            </w:r>
            <w:proofErr w:type="spellStart"/>
            <w:r w:rsidRPr="00B200B2">
              <w:rPr>
                <w:b/>
                <w:iCs/>
                <w:color w:val="000000"/>
                <w:sz w:val="22"/>
                <w:szCs w:val="22"/>
                <w:lang w:val="uk-UA"/>
              </w:rPr>
              <w:t>тонн</w:t>
            </w:r>
            <w:proofErr w:type="spellEnd"/>
            <w:r w:rsidRPr="00B200B2">
              <w:rPr>
                <w:b/>
                <w:iCs/>
                <w:color w:val="000000"/>
                <w:sz w:val="22"/>
                <w:szCs w:val="22"/>
                <w:lang w:val="uk-UA"/>
              </w:rPr>
              <w:t>.</w:t>
            </w:r>
          </w:p>
        </w:tc>
      </w:tr>
      <w:tr w:rsidR="00122B0C" w:rsidRPr="00B200B2" w14:paraId="0CDD6D90" w14:textId="77777777" w:rsidTr="007D46B4">
        <w:trPr>
          <w:gridAfter w:val="1"/>
          <w:wAfter w:w="10" w:type="dxa"/>
          <w:trHeight w:val="335"/>
        </w:trPr>
        <w:tc>
          <w:tcPr>
            <w:tcW w:w="568" w:type="dxa"/>
          </w:tcPr>
          <w:p w14:paraId="22DCBE1A" w14:textId="77777777" w:rsidR="00122B0C" w:rsidRPr="00B200B2" w:rsidRDefault="00122B0C" w:rsidP="007D46B4">
            <w:pPr>
              <w:widowControl w:val="0"/>
              <w:jc w:val="center"/>
              <w:rPr>
                <w:sz w:val="22"/>
                <w:szCs w:val="22"/>
                <w:lang w:val="uk-UA"/>
              </w:rPr>
            </w:pPr>
            <w:r w:rsidRPr="00B200B2">
              <w:rPr>
                <w:color w:val="000000"/>
                <w:sz w:val="22"/>
                <w:szCs w:val="22"/>
                <w:lang w:val="uk-UA"/>
              </w:rPr>
              <w:lastRenderedPageBreak/>
              <w:t>4</w:t>
            </w:r>
          </w:p>
        </w:tc>
        <w:tc>
          <w:tcPr>
            <w:tcW w:w="3260" w:type="dxa"/>
          </w:tcPr>
          <w:p w14:paraId="0975B135" w14:textId="77777777" w:rsidR="00122B0C" w:rsidRPr="00B200B2" w:rsidRDefault="00122B0C" w:rsidP="007D46B4">
            <w:pPr>
              <w:widowControl w:val="0"/>
              <w:jc w:val="both"/>
              <w:rPr>
                <w:sz w:val="22"/>
                <w:szCs w:val="22"/>
                <w:lang w:val="uk-UA"/>
              </w:rPr>
            </w:pPr>
            <w:r w:rsidRPr="00B200B2">
              <w:rPr>
                <w:noProof/>
                <w:sz w:val="22"/>
                <w:szCs w:val="22"/>
                <w:lang w:val="uk-UA"/>
              </w:rPr>
              <w:t xml:space="preserve">Страхування відповідальності ДП МА «Бориспіль» на об'єкті підвищеної небезпеки - </w:t>
            </w:r>
            <w:r w:rsidRPr="00B200B2">
              <w:rPr>
                <w:b/>
                <w:noProof/>
                <w:sz w:val="22"/>
                <w:szCs w:val="22"/>
                <w:lang w:val="uk-UA"/>
              </w:rPr>
              <w:t>Склад ПММ</w:t>
            </w:r>
            <w:r w:rsidRPr="00B200B2">
              <w:rPr>
                <w:noProof/>
                <w:sz w:val="22"/>
                <w:szCs w:val="22"/>
                <w:lang w:val="uk-UA"/>
              </w:rPr>
              <w:t>, який є об’єктом підвищеної небезпеки 2 класу та знаходиться за адресою: 08303, Київська обл., Бориспільський р-н, м. Бориспіль, вул. Запорізька, буд.16 а</w:t>
            </w:r>
          </w:p>
        </w:tc>
        <w:tc>
          <w:tcPr>
            <w:tcW w:w="992" w:type="dxa"/>
          </w:tcPr>
          <w:p w14:paraId="031BF5DB" w14:textId="77777777" w:rsidR="00122B0C" w:rsidRPr="00B200B2" w:rsidRDefault="00122B0C" w:rsidP="007D46B4">
            <w:pPr>
              <w:widowControl w:val="0"/>
              <w:rPr>
                <w:sz w:val="22"/>
                <w:szCs w:val="22"/>
                <w:lang w:val="uk-UA"/>
              </w:rPr>
            </w:pPr>
            <w:r w:rsidRPr="00B200B2">
              <w:rPr>
                <w:color w:val="000000"/>
                <w:sz w:val="22"/>
                <w:szCs w:val="22"/>
                <w:lang w:val="uk-UA"/>
              </w:rPr>
              <w:t>послуга</w:t>
            </w:r>
          </w:p>
        </w:tc>
        <w:tc>
          <w:tcPr>
            <w:tcW w:w="709" w:type="dxa"/>
          </w:tcPr>
          <w:p w14:paraId="62B37D7E" w14:textId="77777777" w:rsidR="00122B0C" w:rsidRPr="00B200B2" w:rsidRDefault="00122B0C" w:rsidP="007D46B4">
            <w:pPr>
              <w:widowControl w:val="0"/>
              <w:jc w:val="center"/>
              <w:rPr>
                <w:sz w:val="22"/>
                <w:szCs w:val="22"/>
                <w:lang w:val="uk-UA"/>
              </w:rPr>
            </w:pPr>
            <w:r w:rsidRPr="00B200B2">
              <w:rPr>
                <w:color w:val="000000"/>
                <w:sz w:val="22"/>
                <w:szCs w:val="22"/>
                <w:lang w:val="uk-UA"/>
              </w:rPr>
              <w:t>1</w:t>
            </w:r>
          </w:p>
        </w:tc>
        <w:tc>
          <w:tcPr>
            <w:tcW w:w="4683" w:type="dxa"/>
          </w:tcPr>
          <w:p w14:paraId="1AE227B0" w14:textId="77777777" w:rsidR="00122B0C" w:rsidRPr="00B200B2" w:rsidRDefault="00122B0C" w:rsidP="007D46B4">
            <w:pPr>
              <w:widowControl w:val="0"/>
              <w:tabs>
                <w:tab w:val="left" w:pos="1134"/>
              </w:tabs>
              <w:overflowPunct w:val="0"/>
              <w:autoSpaceDE w:val="0"/>
              <w:autoSpaceDN w:val="0"/>
              <w:adjustRightInd w:val="0"/>
              <w:jc w:val="both"/>
              <w:textAlignment w:val="baseline"/>
              <w:rPr>
                <w:b/>
                <w:iCs/>
                <w:color w:val="000000"/>
                <w:sz w:val="22"/>
                <w:szCs w:val="22"/>
                <w:lang w:val="uk-UA"/>
              </w:rPr>
            </w:pPr>
            <w:r w:rsidRPr="00B200B2">
              <w:rPr>
                <w:iCs/>
                <w:color w:val="000000"/>
                <w:sz w:val="22"/>
                <w:szCs w:val="22"/>
                <w:lang w:val="uk-UA"/>
              </w:rPr>
              <w:t xml:space="preserve">Найменування об’єкту підвищеної небезпеки – </w:t>
            </w:r>
            <w:r w:rsidRPr="00B200B2">
              <w:rPr>
                <w:b/>
                <w:iCs/>
                <w:color w:val="000000"/>
                <w:sz w:val="22"/>
                <w:szCs w:val="22"/>
                <w:lang w:val="uk-UA"/>
              </w:rPr>
              <w:t>Склад ПММ.</w:t>
            </w:r>
          </w:p>
          <w:p w14:paraId="71195E68"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об’єкту підвищеної небезпеки – </w:t>
            </w:r>
            <w:r w:rsidRPr="00B200B2">
              <w:rPr>
                <w:b/>
                <w:iCs/>
                <w:color w:val="000000"/>
                <w:sz w:val="22"/>
                <w:szCs w:val="22"/>
                <w:lang w:val="uk-UA"/>
              </w:rPr>
              <w:t>2 клас.</w:t>
            </w:r>
          </w:p>
          <w:p w14:paraId="7547A2F4"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Найменування небезпечної рідини - </w:t>
            </w:r>
            <w:r w:rsidRPr="00B200B2">
              <w:rPr>
                <w:b/>
                <w:iCs/>
                <w:color w:val="000000"/>
                <w:sz w:val="22"/>
                <w:szCs w:val="22"/>
                <w:lang w:val="uk-UA"/>
              </w:rPr>
              <w:t>світлі нафтопродукти (авіаційне паливо), оливи.</w:t>
            </w:r>
          </w:p>
          <w:p w14:paraId="58436F7D" w14:textId="77777777" w:rsidR="00122B0C" w:rsidRPr="00B200B2" w:rsidRDefault="00122B0C" w:rsidP="007D46B4">
            <w:pPr>
              <w:widowControl w:val="0"/>
              <w:tabs>
                <w:tab w:val="left" w:pos="1134"/>
              </w:tabs>
              <w:overflowPunct w:val="0"/>
              <w:autoSpaceDE w:val="0"/>
              <w:autoSpaceDN w:val="0"/>
              <w:adjustRightInd w:val="0"/>
              <w:jc w:val="both"/>
              <w:textAlignment w:val="baseline"/>
              <w:rPr>
                <w:iCs/>
                <w:color w:val="000000"/>
                <w:sz w:val="22"/>
                <w:szCs w:val="22"/>
                <w:lang w:val="uk-UA"/>
              </w:rPr>
            </w:pPr>
            <w:r w:rsidRPr="00B200B2">
              <w:rPr>
                <w:iCs/>
                <w:color w:val="000000"/>
                <w:sz w:val="22"/>
                <w:szCs w:val="22"/>
                <w:lang w:val="uk-UA"/>
              </w:rPr>
              <w:t xml:space="preserve">Клас, підклас небезпечної речовини (порядковий номер виробу або речовини згідно прийнятих ООН системою) – </w:t>
            </w:r>
            <w:r w:rsidRPr="00B200B2">
              <w:rPr>
                <w:b/>
                <w:iCs/>
                <w:color w:val="000000"/>
                <w:sz w:val="22"/>
                <w:szCs w:val="22"/>
                <w:lang w:val="uk-UA"/>
              </w:rPr>
              <w:t>№ 1863.</w:t>
            </w:r>
          </w:p>
          <w:p w14:paraId="2E18EA33" w14:textId="77777777" w:rsidR="00122B0C" w:rsidRPr="00B200B2" w:rsidRDefault="00122B0C" w:rsidP="007D46B4">
            <w:pPr>
              <w:jc w:val="both"/>
              <w:rPr>
                <w:iCs/>
                <w:sz w:val="22"/>
                <w:szCs w:val="22"/>
                <w:lang w:val="uk-UA"/>
              </w:rPr>
            </w:pPr>
            <w:r w:rsidRPr="00B200B2">
              <w:rPr>
                <w:iCs/>
                <w:color w:val="000000"/>
                <w:sz w:val="22"/>
                <w:szCs w:val="22"/>
                <w:lang w:val="uk-UA"/>
              </w:rPr>
              <w:t xml:space="preserve">Максимальна кількість небезпечних речовин на об’єкті підвищеної небезпеки – </w:t>
            </w:r>
            <w:r w:rsidRPr="00B200B2">
              <w:rPr>
                <w:b/>
                <w:iCs/>
                <w:color w:val="000000"/>
                <w:sz w:val="22"/>
                <w:szCs w:val="22"/>
                <w:lang w:val="uk-UA"/>
              </w:rPr>
              <w:t xml:space="preserve">16 000 </w:t>
            </w:r>
            <w:proofErr w:type="spellStart"/>
            <w:r w:rsidRPr="00B200B2">
              <w:rPr>
                <w:b/>
                <w:iCs/>
                <w:color w:val="000000"/>
                <w:sz w:val="22"/>
                <w:szCs w:val="22"/>
                <w:lang w:val="uk-UA"/>
              </w:rPr>
              <w:t>тонн</w:t>
            </w:r>
            <w:proofErr w:type="spellEnd"/>
            <w:r w:rsidRPr="00B200B2">
              <w:rPr>
                <w:b/>
                <w:iCs/>
                <w:color w:val="000000"/>
                <w:sz w:val="22"/>
                <w:szCs w:val="22"/>
                <w:lang w:val="uk-UA"/>
              </w:rPr>
              <w:t>.</w:t>
            </w:r>
          </w:p>
        </w:tc>
      </w:tr>
    </w:tbl>
    <w:p w14:paraId="25C0E848" w14:textId="77777777" w:rsidR="00122B0C" w:rsidRDefault="00122B0C" w:rsidP="00122B0C">
      <w:pPr>
        <w:rPr>
          <w:bCs/>
          <w:noProof/>
          <w:lang w:val="uk-UA"/>
        </w:rPr>
      </w:pPr>
    </w:p>
    <w:p w14:paraId="749BEA1F" w14:textId="77777777" w:rsidR="00122B0C" w:rsidRPr="00037C27" w:rsidRDefault="00122B0C" w:rsidP="00122B0C">
      <w:pPr>
        <w:rPr>
          <w:bCs/>
          <w:noProof/>
        </w:rPr>
      </w:pPr>
      <w:r w:rsidRPr="00037C27">
        <w:rPr>
          <w:bCs/>
          <w:noProof/>
        </w:rPr>
        <w:t>Розрахунок страхової суми</w:t>
      </w:r>
      <w:r>
        <w:rPr>
          <w:bCs/>
          <w:noProof/>
        </w:rPr>
        <w:t xml:space="preserve"> - </w:t>
      </w:r>
      <w:r w:rsidRPr="00037C27">
        <w:rPr>
          <w:bCs/>
          <w:noProof/>
        </w:rPr>
        <w:t>відповідно до наступного:</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8056"/>
      </w:tblGrid>
      <w:tr w:rsidR="00122B0C" w:rsidRPr="008A688F" w14:paraId="12541A63" w14:textId="77777777" w:rsidTr="007D46B4">
        <w:trPr>
          <w:trHeight w:val="253"/>
        </w:trPr>
        <w:tc>
          <w:tcPr>
            <w:tcW w:w="2292" w:type="dxa"/>
            <w:tcBorders>
              <w:top w:val="single" w:sz="4" w:space="0" w:color="auto"/>
              <w:left w:val="single" w:sz="4" w:space="0" w:color="auto"/>
              <w:bottom w:val="single" w:sz="4" w:space="0" w:color="auto"/>
              <w:right w:val="single" w:sz="4" w:space="0" w:color="auto"/>
            </w:tcBorders>
            <w:shd w:val="clear" w:color="auto" w:fill="C1E4F5"/>
          </w:tcPr>
          <w:p w14:paraId="1C718A8B" w14:textId="77777777" w:rsidR="00122B0C" w:rsidRPr="008A688F" w:rsidRDefault="00122B0C" w:rsidP="007D46B4">
            <w:pPr>
              <w:jc w:val="center"/>
              <w:rPr>
                <w:bCs/>
                <w:noProof/>
                <w:sz w:val="22"/>
                <w:szCs w:val="22"/>
                <w:lang w:eastAsia="en-US"/>
              </w:rPr>
            </w:pPr>
            <w:r w:rsidRPr="008A688F">
              <w:rPr>
                <w:bCs/>
                <w:noProof/>
                <w:sz w:val="22"/>
                <w:szCs w:val="22"/>
                <w:lang w:eastAsia="en-US"/>
              </w:rPr>
              <w:t>Об’єкт підвищеної небезпеки</w:t>
            </w:r>
          </w:p>
        </w:tc>
        <w:tc>
          <w:tcPr>
            <w:tcW w:w="8056" w:type="dxa"/>
            <w:tcBorders>
              <w:top w:val="single" w:sz="4" w:space="0" w:color="auto"/>
              <w:left w:val="single" w:sz="4" w:space="0" w:color="auto"/>
              <w:bottom w:val="single" w:sz="4" w:space="0" w:color="auto"/>
              <w:right w:val="single" w:sz="4" w:space="0" w:color="auto"/>
            </w:tcBorders>
            <w:shd w:val="clear" w:color="auto" w:fill="C1E4F5"/>
            <w:hideMark/>
          </w:tcPr>
          <w:p w14:paraId="4ADCC3E6" w14:textId="77777777" w:rsidR="00122B0C" w:rsidRPr="008A688F" w:rsidRDefault="00122B0C" w:rsidP="007D46B4">
            <w:pPr>
              <w:jc w:val="center"/>
              <w:rPr>
                <w:bCs/>
                <w:noProof/>
                <w:sz w:val="22"/>
                <w:szCs w:val="22"/>
                <w:lang w:eastAsia="en-US"/>
              </w:rPr>
            </w:pPr>
            <w:r w:rsidRPr="008A688F">
              <w:rPr>
                <w:bCs/>
                <w:noProof/>
                <w:sz w:val="22"/>
                <w:szCs w:val="22"/>
                <w:lang w:eastAsia="en-US"/>
              </w:rPr>
              <w:t>Страхова сума (загальна) грн без ПДВ</w:t>
            </w:r>
          </w:p>
        </w:tc>
      </w:tr>
      <w:tr w:rsidR="00122B0C" w:rsidRPr="008A688F" w14:paraId="0FE157A9" w14:textId="77777777" w:rsidTr="007D46B4">
        <w:trPr>
          <w:trHeight w:val="308"/>
        </w:trPr>
        <w:tc>
          <w:tcPr>
            <w:tcW w:w="2292" w:type="dxa"/>
            <w:tcBorders>
              <w:top w:val="single" w:sz="4" w:space="0" w:color="auto"/>
              <w:left w:val="single" w:sz="4" w:space="0" w:color="auto"/>
              <w:right w:val="single" w:sz="4" w:space="0" w:color="auto"/>
            </w:tcBorders>
            <w:shd w:val="clear" w:color="auto" w:fill="FFFFFF"/>
            <w:vAlign w:val="center"/>
          </w:tcPr>
          <w:p w14:paraId="3F84F48C" w14:textId="77777777" w:rsidR="00122B0C" w:rsidRPr="008A688F" w:rsidRDefault="00122B0C" w:rsidP="007D46B4">
            <w:pPr>
              <w:jc w:val="center"/>
              <w:rPr>
                <w:bCs/>
                <w:noProof/>
                <w:sz w:val="22"/>
                <w:szCs w:val="22"/>
                <w:lang w:eastAsia="en-US"/>
              </w:rPr>
            </w:pPr>
            <w:r w:rsidRPr="008A688F">
              <w:rPr>
                <w:bCs/>
                <w:noProof/>
                <w:sz w:val="22"/>
                <w:szCs w:val="22"/>
                <w:lang w:eastAsia="en-US"/>
              </w:rPr>
              <w:t>АЗС-1</w:t>
            </w:r>
          </w:p>
        </w:tc>
        <w:tc>
          <w:tcPr>
            <w:tcW w:w="8056" w:type="dxa"/>
            <w:vMerge w:val="restart"/>
            <w:tcBorders>
              <w:top w:val="single" w:sz="4" w:space="0" w:color="auto"/>
              <w:left w:val="single" w:sz="4" w:space="0" w:color="auto"/>
              <w:right w:val="single" w:sz="4" w:space="0" w:color="auto"/>
            </w:tcBorders>
            <w:shd w:val="clear" w:color="auto" w:fill="FFFFFF"/>
            <w:vAlign w:val="center"/>
          </w:tcPr>
          <w:p w14:paraId="6AA67B9E" w14:textId="77777777" w:rsidR="00122B0C" w:rsidRPr="008A688F" w:rsidRDefault="00122B0C" w:rsidP="007D46B4">
            <w:pPr>
              <w:jc w:val="both"/>
              <w:rPr>
                <w:bCs/>
                <w:noProof/>
                <w:sz w:val="22"/>
                <w:szCs w:val="22"/>
                <w:lang w:eastAsia="en-US"/>
              </w:rPr>
            </w:pPr>
            <w:r w:rsidRPr="008A688F">
              <w:rPr>
                <w:bCs/>
                <w:noProof/>
                <w:sz w:val="22"/>
                <w:szCs w:val="22"/>
                <w:lang w:eastAsia="en-US"/>
              </w:rPr>
              <w:t>3500 мінімальних заробітних плат у місячному розмірі, встановленому законом на 01 січня 2025 року по кожному об’єкту</w:t>
            </w:r>
          </w:p>
        </w:tc>
      </w:tr>
      <w:tr w:rsidR="00122B0C" w:rsidRPr="008A688F" w14:paraId="672DAD39" w14:textId="77777777" w:rsidTr="007D46B4">
        <w:trPr>
          <w:trHeight w:val="308"/>
        </w:trPr>
        <w:tc>
          <w:tcPr>
            <w:tcW w:w="2292" w:type="dxa"/>
            <w:tcBorders>
              <w:left w:val="single" w:sz="4" w:space="0" w:color="auto"/>
              <w:right w:val="single" w:sz="4" w:space="0" w:color="auto"/>
            </w:tcBorders>
            <w:shd w:val="clear" w:color="auto" w:fill="FFFFFF"/>
            <w:vAlign w:val="center"/>
          </w:tcPr>
          <w:p w14:paraId="52EC9A27" w14:textId="77777777" w:rsidR="00122B0C" w:rsidRPr="008A688F" w:rsidRDefault="00122B0C" w:rsidP="007D46B4">
            <w:pPr>
              <w:jc w:val="center"/>
              <w:rPr>
                <w:bCs/>
                <w:i/>
                <w:iCs/>
                <w:noProof/>
                <w:sz w:val="22"/>
                <w:szCs w:val="22"/>
                <w:lang w:eastAsia="en-US"/>
              </w:rPr>
            </w:pPr>
            <w:r w:rsidRPr="008A688F">
              <w:rPr>
                <w:bCs/>
                <w:noProof/>
                <w:sz w:val="22"/>
                <w:szCs w:val="22"/>
                <w:lang w:eastAsia="en-US"/>
              </w:rPr>
              <w:t>АЗС-2</w:t>
            </w:r>
          </w:p>
        </w:tc>
        <w:tc>
          <w:tcPr>
            <w:tcW w:w="8056" w:type="dxa"/>
            <w:vMerge/>
            <w:tcBorders>
              <w:left w:val="single" w:sz="4" w:space="0" w:color="auto"/>
              <w:right w:val="single" w:sz="4" w:space="0" w:color="auto"/>
            </w:tcBorders>
            <w:shd w:val="clear" w:color="auto" w:fill="FFFFFF"/>
            <w:vAlign w:val="center"/>
          </w:tcPr>
          <w:p w14:paraId="59E2A701" w14:textId="77777777" w:rsidR="00122B0C" w:rsidRPr="008A688F" w:rsidRDefault="00122B0C" w:rsidP="007D46B4">
            <w:pPr>
              <w:jc w:val="both"/>
              <w:rPr>
                <w:bCs/>
                <w:i/>
                <w:iCs/>
                <w:noProof/>
                <w:sz w:val="22"/>
                <w:szCs w:val="22"/>
                <w:lang w:eastAsia="en-US"/>
              </w:rPr>
            </w:pPr>
          </w:p>
        </w:tc>
      </w:tr>
      <w:tr w:rsidR="00122B0C" w:rsidRPr="008A688F" w14:paraId="6CBAA917" w14:textId="77777777" w:rsidTr="007D46B4">
        <w:trPr>
          <w:trHeight w:val="308"/>
        </w:trPr>
        <w:tc>
          <w:tcPr>
            <w:tcW w:w="2292" w:type="dxa"/>
            <w:tcBorders>
              <w:left w:val="single" w:sz="4" w:space="0" w:color="auto"/>
              <w:bottom w:val="single" w:sz="4" w:space="0" w:color="auto"/>
              <w:right w:val="single" w:sz="4" w:space="0" w:color="auto"/>
            </w:tcBorders>
            <w:shd w:val="clear" w:color="auto" w:fill="FFFFFF"/>
          </w:tcPr>
          <w:p w14:paraId="5E5B5812" w14:textId="77777777" w:rsidR="00122B0C" w:rsidRPr="008A688F" w:rsidRDefault="00122B0C" w:rsidP="007D46B4">
            <w:pPr>
              <w:jc w:val="center"/>
              <w:rPr>
                <w:bCs/>
                <w:i/>
                <w:iCs/>
                <w:noProof/>
                <w:sz w:val="22"/>
                <w:szCs w:val="22"/>
                <w:lang w:eastAsia="en-US"/>
              </w:rPr>
            </w:pPr>
            <w:r w:rsidRPr="008A688F">
              <w:rPr>
                <w:bCs/>
                <w:noProof/>
                <w:sz w:val="22"/>
                <w:szCs w:val="22"/>
                <w:lang w:eastAsia="en-US"/>
              </w:rPr>
              <w:t>АЗС-3</w:t>
            </w:r>
          </w:p>
        </w:tc>
        <w:tc>
          <w:tcPr>
            <w:tcW w:w="8056" w:type="dxa"/>
            <w:vMerge/>
            <w:tcBorders>
              <w:left w:val="single" w:sz="4" w:space="0" w:color="auto"/>
              <w:bottom w:val="single" w:sz="4" w:space="0" w:color="auto"/>
              <w:right w:val="single" w:sz="4" w:space="0" w:color="auto"/>
            </w:tcBorders>
            <w:shd w:val="clear" w:color="auto" w:fill="FFFFFF"/>
            <w:vAlign w:val="center"/>
          </w:tcPr>
          <w:p w14:paraId="714E87BF" w14:textId="77777777" w:rsidR="00122B0C" w:rsidRPr="008A688F" w:rsidRDefault="00122B0C" w:rsidP="007D46B4">
            <w:pPr>
              <w:jc w:val="both"/>
              <w:rPr>
                <w:bCs/>
                <w:i/>
                <w:iCs/>
                <w:noProof/>
                <w:sz w:val="22"/>
                <w:szCs w:val="22"/>
                <w:lang w:eastAsia="en-US"/>
              </w:rPr>
            </w:pPr>
          </w:p>
        </w:tc>
      </w:tr>
      <w:tr w:rsidR="00122B0C" w:rsidRPr="008A688F" w14:paraId="25E08E42" w14:textId="77777777" w:rsidTr="007D46B4">
        <w:trPr>
          <w:trHeight w:val="308"/>
        </w:trPr>
        <w:tc>
          <w:tcPr>
            <w:tcW w:w="2292" w:type="dxa"/>
            <w:tcBorders>
              <w:top w:val="single" w:sz="4" w:space="0" w:color="auto"/>
              <w:left w:val="single" w:sz="4" w:space="0" w:color="auto"/>
              <w:bottom w:val="single" w:sz="4" w:space="0" w:color="auto"/>
              <w:right w:val="single" w:sz="4" w:space="0" w:color="auto"/>
            </w:tcBorders>
            <w:shd w:val="clear" w:color="auto" w:fill="FFFFFF"/>
          </w:tcPr>
          <w:p w14:paraId="4FF5B730" w14:textId="77777777" w:rsidR="00122B0C" w:rsidRPr="008A688F" w:rsidRDefault="00122B0C" w:rsidP="007D46B4">
            <w:pPr>
              <w:jc w:val="center"/>
              <w:rPr>
                <w:bCs/>
                <w:i/>
                <w:iCs/>
                <w:noProof/>
                <w:sz w:val="22"/>
                <w:szCs w:val="22"/>
                <w:lang w:eastAsia="en-US"/>
              </w:rPr>
            </w:pPr>
            <w:r w:rsidRPr="008A688F">
              <w:rPr>
                <w:bCs/>
                <w:noProof/>
                <w:sz w:val="22"/>
                <w:szCs w:val="22"/>
                <w:lang w:eastAsia="en-US"/>
              </w:rPr>
              <w:t>Склад ПММ</w:t>
            </w:r>
          </w:p>
        </w:tc>
        <w:tc>
          <w:tcPr>
            <w:tcW w:w="8056" w:type="dxa"/>
            <w:tcBorders>
              <w:top w:val="single" w:sz="4" w:space="0" w:color="auto"/>
              <w:left w:val="single" w:sz="4" w:space="0" w:color="auto"/>
              <w:bottom w:val="single" w:sz="4" w:space="0" w:color="auto"/>
              <w:right w:val="single" w:sz="4" w:space="0" w:color="auto"/>
            </w:tcBorders>
            <w:shd w:val="clear" w:color="auto" w:fill="FFFFFF"/>
            <w:vAlign w:val="center"/>
          </w:tcPr>
          <w:p w14:paraId="20819291" w14:textId="77777777" w:rsidR="00122B0C" w:rsidRPr="008A688F" w:rsidRDefault="00122B0C" w:rsidP="007D46B4">
            <w:pPr>
              <w:jc w:val="both"/>
              <w:rPr>
                <w:bCs/>
                <w:i/>
                <w:iCs/>
                <w:noProof/>
                <w:sz w:val="22"/>
                <w:szCs w:val="22"/>
                <w:lang w:eastAsia="en-US"/>
              </w:rPr>
            </w:pPr>
            <w:r w:rsidRPr="008A688F">
              <w:rPr>
                <w:bCs/>
                <w:noProof/>
                <w:sz w:val="22"/>
                <w:szCs w:val="22"/>
                <w:lang w:eastAsia="en-US"/>
              </w:rPr>
              <w:t>4500 мінімальних заробітних плат у місячному розмірі, встановленому законом на 01 січня 2025 року</w:t>
            </w:r>
          </w:p>
        </w:tc>
      </w:tr>
    </w:tbl>
    <w:p w14:paraId="32BE3BB1" w14:textId="77777777" w:rsidR="00122B0C" w:rsidRPr="008A688F" w:rsidRDefault="00122B0C" w:rsidP="00122B0C">
      <w:pPr>
        <w:widowControl w:val="0"/>
        <w:jc w:val="center"/>
        <w:rPr>
          <w:b/>
          <w:sz w:val="22"/>
          <w:szCs w:val="22"/>
          <w:lang w:val="uk-UA"/>
        </w:rPr>
      </w:pPr>
    </w:p>
    <w:tbl>
      <w:tblPr>
        <w:tblW w:w="1034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3313"/>
        <w:gridCol w:w="7035"/>
      </w:tblGrid>
      <w:tr w:rsidR="00122B0C" w:rsidRPr="008A688F" w14:paraId="1A83782E" w14:textId="77777777" w:rsidTr="007D46B4">
        <w:trPr>
          <w:trHeight w:val="109"/>
        </w:trPr>
        <w:tc>
          <w:tcPr>
            <w:tcW w:w="10348" w:type="dxa"/>
            <w:gridSpan w:val="2"/>
            <w:shd w:val="clear" w:color="auto" w:fill="C1E4F5"/>
          </w:tcPr>
          <w:p w14:paraId="4704B43E" w14:textId="77777777" w:rsidR="00122B0C" w:rsidRPr="008A688F" w:rsidRDefault="00122B0C" w:rsidP="007D46B4">
            <w:pPr>
              <w:suppressAutoHyphens/>
              <w:ind w:right="105"/>
              <w:jc w:val="both"/>
              <w:rPr>
                <w:b/>
                <w:sz w:val="22"/>
                <w:szCs w:val="22"/>
              </w:rPr>
            </w:pPr>
            <w:r w:rsidRPr="008A688F">
              <w:rPr>
                <w:rFonts w:cs="Times New Roman CYR"/>
                <w:b/>
                <w:noProof/>
                <w:sz w:val="22"/>
                <w:szCs w:val="22"/>
                <w:lang w:val="uk-UA"/>
              </w:rPr>
              <w:t xml:space="preserve">Інші вимоги </w:t>
            </w:r>
            <w:r w:rsidRPr="008A688F">
              <w:rPr>
                <w:b/>
                <w:noProof/>
                <w:sz w:val="22"/>
                <w:szCs w:val="22"/>
                <w:lang w:val="uk-UA"/>
              </w:rPr>
              <w:t>(умови технічної специфікації)</w:t>
            </w:r>
            <w:r w:rsidRPr="008A688F">
              <w:rPr>
                <w:rFonts w:cs="Times New Roman CYR"/>
                <w:b/>
                <w:noProof/>
                <w:sz w:val="22"/>
                <w:szCs w:val="22"/>
                <w:lang w:val="uk-UA"/>
              </w:rPr>
              <w:t>:</w:t>
            </w:r>
          </w:p>
        </w:tc>
      </w:tr>
      <w:tr w:rsidR="00122B0C" w:rsidRPr="008A688F" w14:paraId="3C45C7F7" w14:textId="77777777" w:rsidTr="007D46B4">
        <w:tc>
          <w:tcPr>
            <w:tcW w:w="3313" w:type="dxa"/>
            <w:shd w:val="clear" w:color="auto" w:fill="auto"/>
          </w:tcPr>
          <w:p w14:paraId="40A64564" w14:textId="77777777" w:rsidR="00122B0C" w:rsidRPr="008A688F" w:rsidRDefault="00122B0C" w:rsidP="007D46B4">
            <w:pPr>
              <w:widowControl w:val="0"/>
              <w:rPr>
                <w:sz w:val="22"/>
                <w:szCs w:val="22"/>
                <w:lang w:val="uk-UA"/>
              </w:rPr>
            </w:pPr>
            <w:r w:rsidRPr="008A688F">
              <w:rPr>
                <w:sz w:val="22"/>
                <w:szCs w:val="22"/>
                <w:lang w:val="uk-UA"/>
              </w:rPr>
              <w:t>Документ, якому відповідає предмет закупівлі</w:t>
            </w:r>
          </w:p>
        </w:tc>
        <w:tc>
          <w:tcPr>
            <w:tcW w:w="7035" w:type="dxa"/>
            <w:shd w:val="clear" w:color="auto" w:fill="auto"/>
          </w:tcPr>
          <w:p w14:paraId="45C0EE83" w14:textId="77777777" w:rsidR="00122B0C" w:rsidRPr="008A688F" w:rsidRDefault="00122B0C" w:rsidP="00122B0C">
            <w:pPr>
              <w:pStyle w:val="af6"/>
              <w:numPr>
                <w:ilvl w:val="0"/>
                <w:numId w:val="26"/>
              </w:numPr>
              <w:tabs>
                <w:tab w:val="left" w:pos="456"/>
              </w:tabs>
              <w:spacing w:after="0" w:line="240" w:lineRule="auto"/>
              <w:ind w:right="168"/>
              <w:jc w:val="both"/>
              <w:rPr>
                <w:rFonts w:ascii="Times New Roman" w:hAnsi="Times New Roman"/>
                <w:noProof/>
              </w:rPr>
            </w:pPr>
            <w:r w:rsidRPr="008A688F">
              <w:rPr>
                <w:rFonts w:ascii="Times New Roman" w:hAnsi="Times New Roman"/>
                <w:noProof/>
              </w:rPr>
              <w:t xml:space="preserve">Закон України «Про страхування» від 18.11.2021 № 1909-IX, </w:t>
            </w:r>
          </w:p>
          <w:p w14:paraId="158AE19F" w14:textId="77777777" w:rsidR="00122B0C" w:rsidRPr="008A688F" w:rsidRDefault="00122B0C" w:rsidP="00122B0C">
            <w:pPr>
              <w:pStyle w:val="af6"/>
              <w:numPr>
                <w:ilvl w:val="0"/>
                <w:numId w:val="26"/>
              </w:numPr>
              <w:tabs>
                <w:tab w:val="left" w:pos="456"/>
              </w:tabs>
              <w:spacing w:after="0" w:line="240" w:lineRule="auto"/>
              <w:ind w:right="168"/>
              <w:jc w:val="both"/>
              <w:rPr>
                <w:rFonts w:ascii="Times New Roman" w:hAnsi="Times New Roman"/>
                <w:noProof/>
              </w:rPr>
            </w:pPr>
            <w:r w:rsidRPr="008A688F">
              <w:rPr>
                <w:rFonts w:ascii="Times New Roman" w:hAnsi="Times New Roman"/>
                <w:noProof/>
              </w:rPr>
              <w:t>«Положення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затверджене Постановою Правління НБУ від 25.12.2023 № 182,</w:t>
            </w:r>
          </w:p>
          <w:p w14:paraId="0BFE55ED" w14:textId="77777777" w:rsidR="00122B0C" w:rsidRPr="008A688F" w:rsidRDefault="00122B0C" w:rsidP="00122B0C">
            <w:pPr>
              <w:pStyle w:val="af6"/>
              <w:numPr>
                <w:ilvl w:val="0"/>
                <w:numId w:val="26"/>
              </w:numPr>
              <w:tabs>
                <w:tab w:val="left" w:pos="456"/>
              </w:tabs>
              <w:spacing w:after="0" w:line="240" w:lineRule="auto"/>
              <w:ind w:right="168"/>
              <w:jc w:val="both"/>
              <w:rPr>
                <w:rFonts w:ascii="Times New Roman" w:hAnsi="Times New Roman"/>
                <w:noProof/>
              </w:rPr>
            </w:pPr>
            <w:r w:rsidRPr="008A688F">
              <w:rPr>
                <w:rFonts w:ascii="Times New Roman" w:hAnsi="Times New Roman"/>
                <w:noProof/>
              </w:rPr>
              <w:t xml:space="preserve"> Закон України «Про об’єкти підвищеної небезпеки» від 18.01.2021 № 2245-IІІ</w:t>
            </w:r>
          </w:p>
          <w:p w14:paraId="37330B50" w14:textId="77777777" w:rsidR="00122B0C" w:rsidRPr="008A688F" w:rsidRDefault="00122B0C" w:rsidP="00122B0C">
            <w:pPr>
              <w:pStyle w:val="af6"/>
              <w:widowControl w:val="0"/>
              <w:numPr>
                <w:ilvl w:val="0"/>
                <w:numId w:val="26"/>
              </w:numPr>
              <w:tabs>
                <w:tab w:val="left" w:pos="456"/>
              </w:tabs>
              <w:spacing w:after="0" w:line="240" w:lineRule="auto"/>
              <w:ind w:right="168"/>
              <w:jc w:val="both"/>
            </w:pPr>
            <w:r w:rsidRPr="008A688F">
              <w:rPr>
                <w:rFonts w:ascii="Times New Roman" w:hAnsi="Times New Roman"/>
                <w:noProof/>
              </w:rPr>
              <w:t>Наказ Міністерства внутрішніх справ України від 28.12.2023 № 1081 «Про затвердження Порядку та умов страхування відповідальності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w:t>
            </w:r>
          </w:p>
        </w:tc>
      </w:tr>
      <w:tr w:rsidR="00122B0C" w:rsidRPr="008A688F" w14:paraId="4E999B66" w14:textId="77777777" w:rsidTr="007D46B4">
        <w:trPr>
          <w:trHeight w:val="195"/>
        </w:trPr>
        <w:tc>
          <w:tcPr>
            <w:tcW w:w="3313" w:type="dxa"/>
            <w:shd w:val="clear" w:color="auto" w:fill="auto"/>
          </w:tcPr>
          <w:p w14:paraId="5C1528A5" w14:textId="77777777" w:rsidR="00122B0C" w:rsidRPr="008A688F" w:rsidRDefault="00122B0C" w:rsidP="007D46B4">
            <w:pPr>
              <w:widowControl w:val="0"/>
              <w:rPr>
                <w:sz w:val="22"/>
                <w:szCs w:val="22"/>
                <w:lang w:val="uk-UA"/>
              </w:rPr>
            </w:pPr>
            <w:r w:rsidRPr="008A688F">
              <w:rPr>
                <w:bCs/>
                <w:color w:val="000000"/>
                <w:sz w:val="22"/>
                <w:szCs w:val="22"/>
                <w:lang w:val="uk-UA"/>
              </w:rPr>
              <w:t>Термін страхування</w:t>
            </w:r>
          </w:p>
        </w:tc>
        <w:tc>
          <w:tcPr>
            <w:tcW w:w="7035" w:type="dxa"/>
            <w:shd w:val="clear" w:color="auto" w:fill="auto"/>
          </w:tcPr>
          <w:p w14:paraId="32C51A95" w14:textId="77777777" w:rsidR="00122B0C" w:rsidRPr="008A688F" w:rsidRDefault="00122B0C" w:rsidP="007D46B4">
            <w:pPr>
              <w:widowControl w:val="0"/>
              <w:spacing w:after="200" w:line="276" w:lineRule="auto"/>
              <w:ind w:left="83"/>
              <w:rPr>
                <w:sz w:val="22"/>
                <w:szCs w:val="22"/>
                <w:lang w:val="uk-UA"/>
              </w:rPr>
            </w:pPr>
            <w:r w:rsidRPr="008A688F">
              <w:rPr>
                <w:b/>
                <w:sz w:val="22"/>
                <w:szCs w:val="22"/>
                <w:lang w:val="uk-UA"/>
              </w:rPr>
              <w:t>365 календарних днів</w:t>
            </w:r>
          </w:p>
        </w:tc>
      </w:tr>
      <w:tr w:rsidR="00122B0C" w:rsidRPr="008A688F" w14:paraId="12B35E0C" w14:textId="77777777" w:rsidTr="007D46B4">
        <w:trPr>
          <w:trHeight w:val="381"/>
        </w:trPr>
        <w:tc>
          <w:tcPr>
            <w:tcW w:w="3313" w:type="dxa"/>
            <w:shd w:val="clear" w:color="auto" w:fill="auto"/>
          </w:tcPr>
          <w:p w14:paraId="75EB66A7" w14:textId="77777777" w:rsidR="00122B0C" w:rsidRPr="008A688F" w:rsidRDefault="00122B0C" w:rsidP="007D46B4">
            <w:pPr>
              <w:widowControl w:val="0"/>
              <w:rPr>
                <w:sz w:val="22"/>
                <w:szCs w:val="22"/>
                <w:lang w:val="uk-UA"/>
              </w:rPr>
            </w:pPr>
            <w:r>
              <w:rPr>
                <w:sz w:val="22"/>
                <w:szCs w:val="22"/>
                <w:lang w:val="uk-UA"/>
              </w:rPr>
              <w:t>Період страхування</w:t>
            </w:r>
          </w:p>
        </w:tc>
        <w:tc>
          <w:tcPr>
            <w:tcW w:w="7035" w:type="dxa"/>
            <w:shd w:val="clear" w:color="auto" w:fill="auto"/>
          </w:tcPr>
          <w:p w14:paraId="62CE0343" w14:textId="77777777" w:rsidR="00122B0C" w:rsidRPr="008A688F" w:rsidRDefault="00122B0C" w:rsidP="007D46B4">
            <w:pPr>
              <w:pStyle w:val="af6"/>
              <w:widowControl w:val="0"/>
              <w:spacing w:after="0"/>
              <w:ind w:left="85"/>
              <w:rPr>
                <w:rFonts w:ascii="Times New Roman" w:hAnsi="Times New Roman"/>
              </w:rPr>
            </w:pPr>
            <w:r w:rsidRPr="008A688F">
              <w:rPr>
                <w:rFonts w:ascii="Times New Roman" w:hAnsi="Times New Roman"/>
                <w:b/>
                <w:bCs/>
              </w:rPr>
              <w:t>АЗС-1</w:t>
            </w:r>
            <w:r w:rsidRPr="008A688F">
              <w:rPr>
                <w:rFonts w:ascii="Times New Roman" w:hAnsi="Times New Roman"/>
              </w:rPr>
              <w:t xml:space="preserve"> – 31.08.2025 -</w:t>
            </w:r>
            <w:r>
              <w:rPr>
                <w:rFonts w:ascii="Times New Roman" w:hAnsi="Times New Roman"/>
                <w:lang w:val="en-US"/>
              </w:rPr>
              <w:t xml:space="preserve"> </w:t>
            </w:r>
            <w:r w:rsidRPr="008A688F">
              <w:rPr>
                <w:rFonts w:ascii="Times New Roman" w:hAnsi="Times New Roman"/>
              </w:rPr>
              <w:t>30.08.2026</w:t>
            </w:r>
          </w:p>
          <w:p w14:paraId="145FFF14" w14:textId="77777777" w:rsidR="00122B0C" w:rsidRPr="008A688F" w:rsidRDefault="00122B0C" w:rsidP="007D46B4">
            <w:pPr>
              <w:pStyle w:val="af6"/>
              <w:widowControl w:val="0"/>
              <w:spacing w:after="0"/>
              <w:ind w:left="85"/>
              <w:rPr>
                <w:rFonts w:ascii="Times New Roman" w:hAnsi="Times New Roman"/>
              </w:rPr>
            </w:pPr>
            <w:r w:rsidRPr="008A688F">
              <w:rPr>
                <w:rFonts w:ascii="Times New Roman" w:hAnsi="Times New Roman"/>
                <w:b/>
                <w:bCs/>
              </w:rPr>
              <w:t>АЗС-2</w:t>
            </w:r>
            <w:r w:rsidRPr="008A688F">
              <w:rPr>
                <w:rFonts w:ascii="Times New Roman" w:hAnsi="Times New Roman"/>
              </w:rPr>
              <w:t xml:space="preserve"> – 31.08.2025 - 30.08.2026</w:t>
            </w:r>
          </w:p>
          <w:p w14:paraId="41C95EA8" w14:textId="77777777" w:rsidR="00122B0C" w:rsidRPr="008A688F" w:rsidRDefault="00122B0C" w:rsidP="007D46B4">
            <w:pPr>
              <w:pStyle w:val="af6"/>
              <w:widowControl w:val="0"/>
              <w:spacing w:after="0"/>
              <w:ind w:left="85"/>
              <w:rPr>
                <w:rFonts w:ascii="Times New Roman" w:hAnsi="Times New Roman"/>
              </w:rPr>
            </w:pPr>
            <w:r w:rsidRPr="008A688F">
              <w:rPr>
                <w:rFonts w:ascii="Times New Roman" w:hAnsi="Times New Roman"/>
                <w:b/>
                <w:bCs/>
              </w:rPr>
              <w:t>Склад ПММ</w:t>
            </w:r>
            <w:r w:rsidRPr="008A688F">
              <w:rPr>
                <w:rFonts w:ascii="Times New Roman" w:hAnsi="Times New Roman"/>
              </w:rPr>
              <w:t xml:space="preserve"> – 31.08.2025 - 30.08.2026</w:t>
            </w:r>
          </w:p>
          <w:p w14:paraId="65413C4E" w14:textId="77777777" w:rsidR="00122B0C" w:rsidRPr="008A688F" w:rsidRDefault="00122B0C" w:rsidP="007D46B4">
            <w:pPr>
              <w:pStyle w:val="af6"/>
              <w:widowControl w:val="0"/>
              <w:spacing w:after="0"/>
              <w:ind w:left="85"/>
            </w:pPr>
            <w:r w:rsidRPr="008A688F">
              <w:rPr>
                <w:rFonts w:ascii="Times New Roman" w:hAnsi="Times New Roman"/>
                <w:b/>
                <w:bCs/>
              </w:rPr>
              <w:t>АЗС-3</w:t>
            </w:r>
            <w:r w:rsidRPr="008A688F">
              <w:rPr>
                <w:rFonts w:ascii="Times New Roman" w:hAnsi="Times New Roman"/>
              </w:rPr>
              <w:t xml:space="preserve"> – 01.10.2025 - 30.09.2026</w:t>
            </w:r>
          </w:p>
        </w:tc>
      </w:tr>
      <w:tr w:rsidR="00122B0C" w:rsidRPr="008A688F" w14:paraId="123339D8" w14:textId="77777777" w:rsidTr="007D46B4">
        <w:tc>
          <w:tcPr>
            <w:tcW w:w="3313" w:type="dxa"/>
            <w:shd w:val="clear" w:color="auto" w:fill="auto"/>
          </w:tcPr>
          <w:p w14:paraId="062BA072" w14:textId="77777777" w:rsidR="00122B0C" w:rsidRPr="008A688F" w:rsidRDefault="00122B0C" w:rsidP="007D46B4">
            <w:pPr>
              <w:widowControl w:val="0"/>
              <w:rPr>
                <w:sz w:val="22"/>
                <w:szCs w:val="22"/>
                <w:lang w:val="uk-UA"/>
              </w:rPr>
            </w:pPr>
            <w:r w:rsidRPr="008A688F">
              <w:rPr>
                <w:noProof/>
                <w:sz w:val="22"/>
                <w:szCs w:val="22"/>
                <w:lang w:val="uk-UA"/>
              </w:rPr>
              <w:t>Страховий ризик, страховий випадок та обмеження страхування</w:t>
            </w:r>
          </w:p>
        </w:tc>
        <w:tc>
          <w:tcPr>
            <w:tcW w:w="7035" w:type="dxa"/>
            <w:shd w:val="clear" w:color="auto" w:fill="auto"/>
          </w:tcPr>
          <w:p w14:paraId="52B6DDBA" w14:textId="77777777" w:rsidR="00122B0C" w:rsidRPr="008A688F" w:rsidRDefault="00122B0C" w:rsidP="007D46B4">
            <w:pPr>
              <w:ind w:right="105"/>
              <w:jc w:val="both"/>
              <w:rPr>
                <w:noProof/>
                <w:sz w:val="22"/>
                <w:szCs w:val="22"/>
              </w:rPr>
            </w:pPr>
            <w:r w:rsidRPr="008A688F">
              <w:rPr>
                <w:b/>
                <w:bCs/>
                <w:noProof/>
                <w:sz w:val="22"/>
                <w:szCs w:val="22"/>
              </w:rPr>
              <w:t>Страховий ризик</w:t>
            </w:r>
            <w:r w:rsidRPr="008A688F">
              <w:rPr>
                <w:noProof/>
                <w:sz w:val="22"/>
                <w:szCs w:val="22"/>
              </w:rPr>
              <w:t xml:space="preserve"> - будь-яка небезпечна подія, на випадок виникнення якої проводиться страхування, яка має ознаки ймовірності та випадковості настання (надзвичайна ситуація, в тому числі, пожежі та аварії на об’єктах підвищеної небезпеки, екологічно небезпечні аварії та надзвичайні ситуації техногенного та природного характеру, аварії, що становлять загрозу санітарному чи епідемічному здоров’ю населення).</w:t>
            </w:r>
          </w:p>
          <w:p w14:paraId="4C64F7C5" w14:textId="77777777" w:rsidR="00122B0C" w:rsidRPr="008A688F" w:rsidRDefault="00122B0C" w:rsidP="007D46B4">
            <w:pPr>
              <w:ind w:right="105"/>
              <w:jc w:val="both"/>
              <w:rPr>
                <w:b/>
                <w:bCs/>
                <w:noProof/>
                <w:sz w:val="22"/>
                <w:szCs w:val="22"/>
              </w:rPr>
            </w:pPr>
            <w:r w:rsidRPr="008A688F">
              <w:rPr>
                <w:b/>
                <w:bCs/>
                <w:noProof/>
                <w:sz w:val="22"/>
                <w:szCs w:val="22"/>
              </w:rPr>
              <w:t xml:space="preserve">Страховим випадком </w:t>
            </w:r>
            <w:r w:rsidRPr="008A688F">
              <w:rPr>
                <w:noProof/>
                <w:sz w:val="22"/>
                <w:szCs w:val="22"/>
              </w:rPr>
              <w:t>є</w:t>
            </w:r>
            <w:r w:rsidRPr="008A688F">
              <w:rPr>
                <w:b/>
                <w:bCs/>
                <w:noProof/>
                <w:sz w:val="22"/>
                <w:szCs w:val="22"/>
              </w:rPr>
              <w:t xml:space="preserve"> </w:t>
            </w:r>
            <w:r w:rsidRPr="008A688F">
              <w:rPr>
                <w:noProof/>
                <w:sz w:val="22"/>
                <w:szCs w:val="22"/>
              </w:rPr>
              <w:t xml:space="preserve">подія, ризик виникнення якої застрахований, з настанням якої виникає обов’язок страховика здійснити страхову виплату, а саме: заподіяння потерпілим третім особам, включаючи шкоду навколишньому природному середовищу, шкоди, </w:t>
            </w:r>
            <w:r w:rsidRPr="008A688F">
              <w:rPr>
                <w:b/>
                <w:bCs/>
                <w:noProof/>
                <w:sz w:val="22"/>
                <w:szCs w:val="22"/>
              </w:rPr>
              <w:t xml:space="preserve">відповідальність за відшкодування якої несе страхувальник, внаслідок надзвичайної ситуації. </w:t>
            </w:r>
          </w:p>
          <w:p w14:paraId="58821A2E" w14:textId="77777777" w:rsidR="00122B0C" w:rsidRPr="008A688F" w:rsidRDefault="00122B0C" w:rsidP="007D46B4">
            <w:pPr>
              <w:ind w:right="105"/>
              <w:jc w:val="both"/>
              <w:rPr>
                <w:sz w:val="22"/>
                <w:szCs w:val="22"/>
              </w:rPr>
            </w:pPr>
            <w:r w:rsidRPr="008A688F">
              <w:rPr>
                <w:noProof/>
                <w:sz w:val="22"/>
                <w:szCs w:val="22"/>
              </w:rPr>
              <w:lastRenderedPageBreak/>
              <w:t>Страховий випадок вважається таким, що настав, за умови, що надзвичайна ситуація, яка призвела до настання страхового випадку, виникла протягом строку дії договору страхування відповідальності.</w:t>
            </w:r>
          </w:p>
        </w:tc>
      </w:tr>
      <w:tr w:rsidR="00122B0C" w:rsidRPr="00BF53F0" w14:paraId="68492F7F" w14:textId="77777777" w:rsidTr="007D46B4">
        <w:tc>
          <w:tcPr>
            <w:tcW w:w="3313" w:type="dxa"/>
            <w:shd w:val="clear" w:color="auto" w:fill="auto"/>
          </w:tcPr>
          <w:p w14:paraId="523ED2DB" w14:textId="77777777" w:rsidR="00122B0C" w:rsidRPr="000C4A75" w:rsidRDefault="00122B0C" w:rsidP="007D46B4">
            <w:pPr>
              <w:widowControl w:val="0"/>
              <w:rPr>
                <w:noProof/>
                <w:sz w:val="22"/>
                <w:szCs w:val="22"/>
                <w:lang w:val="uk-UA"/>
              </w:rPr>
            </w:pPr>
            <w:r w:rsidRPr="00A627B4">
              <w:rPr>
                <w:sz w:val="22"/>
                <w:szCs w:val="22"/>
                <w:lang w:val="uk-UA"/>
              </w:rPr>
              <w:lastRenderedPageBreak/>
              <w:t>Франшиза</w:t>
            </w:r>
          </w:p>
        </w:tc>
        <w:tc>
          <w:tcPr>
            <w:tcW w:w="7035" w:type="dxa"/>
            <w:shd w:val="clear" w:color="auto" w:fill="auto"/>
          </w:tcPr>
          <w:p w14:paraId="4F2C0F06" w14:textId="77777777" w:rsidR="00122B0C" w:rsidRPr="000C4A75" w:rsidRDefault="00122B0C" w:rsidP="007D46B4">
            <w:pPr>
              <w:ind w:right="105"/>
              <w:jc w:val="both"/>
              <w:rPr>
                <w:b/>
                <w:bCs/>
                <w:noProof/>
                <w:sz w:val="22"/>
                <w:szCs w:val="22"/>
              </w:rPr>
            </w:pPr>
            <w:r w:rsidRPr="00A627B4">
              <w:rPr>
                <w:sz w:val="22"/>
                <w:szCs w:val="22"/>
                <w:lang w:val="uk-UA"/>
              </w:rPr>
              <w:t>не передбачена</w:t>
            </w:r>
          </w:p>
        </w:tc>
      </w:tr>
      <w:tr w:rsidR="00122B0C" w:rsidRPr="00BF53F0" w14:paraId="52379408" w14:textId="77777777" w:rsidTr="007D46B4">
        <w:tc>
          <w:tcPr>
            <w:tcW w:w="3313" w:type="dxa"/>
            <w:shd w:val="clear" w:color="auto" w:fill="auto"/>
          </w:tcPr>
          <w:p w14:paraId="5AAFFE91" w14:textId="77777777" w:rsidR="00122B0C" w:rsidRPr="007A4528" w:rsidRDefault="00122B0C" w:rsidP="007D46B4">
            <w:pPr>
              <w:rPr>
                <w:sz w:val="22"/>
                <w:szCs w:val="22"/>
                <w:lang w:val="uk-UA"/>
              </w:rPr>
            </w:pPr>
            <w:r w:rsidRPr="007A4528">
              <w:rPr>
                <w:sz w:val="22"/>
                <w:szCs w:val="22"/>
                <w:lang w:val="uk-UA"/>
              </w:rPr>
              <w:t>Розмір страхової премії та страхового тарифу</w:t>
            </w:r>
          </w:p>
          <w:p w14:paraId="2CC5DBF1" w14:textId="77777777" w:rsidR="00122B0C" w:rsidRPr="00A627B4" w:rsidRDefault="00122B0C" w:rsidP="007D46B4">
            <w:pPr>
              <w:widowControl w:val="0"/>
              <w:rPr>
                <w:sz w:val="22"/>
                <w:szCs w:val="22"/>
                <w:lang w:val="uk-UA"/>
              </w:rPr>
            </w:pPr>
          </w:p>
        </w:tc>
        <w:tc>
          <w:tcPr>
            <w:tcW w:w="7035" w:type="dxa"/>
            <w:shd w:val="clear" w:color="auto" w:fill="auto"/>
          </w:tcPr>
          <w:p w14:paraId="3D93692B" w14:textId="77777777" w:rsidR="00122B0C" w:rsidRPr="007A4528" w:rsidRDefault="00122B0C" w:rsidP="007D46B4">
            <w:pPr>
              <w:jc w:val="both"/>
              <w:rPr>
                <w:noProof/>
                <w:sz w:val="22"/>
                <w:szCs w:val="22"/>
              </w:rPr>
            </w:pPr>
            <w:r w:rsidRPr="008A688F">
              <w:rPr>
                <w:noProof/>
                <w:sz w:val="22"/>
                <w:szCs w:val="22"/>
              </w:rPr>
              <w:t>Страхова премія</w:t>
            </w:r>
            <w:r w:rsidRPr="007A4528">
              <w:rPr>
                <w:noProof/>
                <w:sz w:val="22"/>
                <w:szCs w:val="22"/>
              </w:rPr>
              <w:t xml:space="preserve"> </w:t>
            </w:r>
            <w:r>
              <w:rPr>
                <w:noProof/>
                <w:sz w:val="22"/>
                <w:szCs w:val="22"/>
                <w:lang w:val="uk-UA"/>
              </w:rPr>
              <w:t>по кожному об’єкту підвищеної небезпеки</w:t>
            </w:r>
            <w:r w:rsidRPr="007A4528">
              <w:rPr>
                <w:noProof/>
                <w:sz w:val="22"/>
                <w:szCs w:val="22"/>
              </w:rPr>
              <w:t xml:space="preserve"> розраховується Страховиком шляхом множення страхового тарифу на розмір страхової суми.</w:t>
            </w:r>
          </w:p>
          <w:p w14:paraId="5B366E70" w14:textId="77777777" w:rsidR="00122B0C" w:rsidRPr="007A4528" w:rsidRDefault="00122B0C" w:rsidP="007D46B4">
            <w:pPr>
              <w:pStyle w:val="Standard"/>
              <w:widowControl w:val="0"/>
              <w:ind w:right="66"/>
              <w:jc w:val="both"/>
              <w:rPr>
                <w:noProof/>
                <w:sz w:val="22"/>
                <w:szCs w:val="22"/>
                <w:lang w:val="uk-UA"/>
              </w:rPr>
            </w:pPr>
            <w:r w:rsidRPr="008A688F">
              <w:rPr>
                <w:noProof/>
                <w:sz w:val="22"/>
                <w:szCs w:val="22"/>
              </w:rPr>
              <w:t>Розмір страхового тарифу</w:t>
            </w:r>
            <w:r w:rsidRPr="007A4528">
              <w:rPr>
                <w:noProof/>
                <w:sz w:val="22"/>
                <w:szCs w:val="22"/>
              </w:rPr>
              <w:t xml:space="preserve"> встановлюється </w:t>
            </w:r>
            <w:r w:rsidRPr="007D2496">
              <w:rPr>
                <w:noProof/>
                <w:sz w:val="22"/>
                <w:szCs w:val="22"/>
              </w:rPr>
              <w:t>для кожного об</w:t>
            </w:r>
            <w:r w:rsidRPr="007D2496">
              <w:rPr>
                <w:noProof/>
                <w:sz w:val="22"/>
                <w:szCs w:val="22"/>
                <w:lang w:val="uk-UA"/>
              </w:rPr>
              <w:t>’</w:t>
            </w:r>
            <w:r w:rsidRPr="007D2496">
              <w:rPr>
                <w:noProof/>
                <w:sz w:val="22"/>
                <w:szCs w:val="22"/>
              </w:rPr>
              <w:t>єкта підвищеної небезпеки та</w:t>
            </w:r>
            <w:r w:rsidRPr="007A4528">
              <w:rPr>
                <w:noProof/>
                <w:sz w:val="22"/>
                <w:szCs w:val="22"/>
              </w:rPr>
              <w:t xml:space="preserve"> залежить від класу окремого об’єкта підвищеної небезпеки та факторів, що впливають на ступінь страхового ризику.</w:t>
            </w:r>
          </w:p>
        </w:tc>
      </w:tr>
    </w:tbl>
    <w:p w14:paraId="0271C07D" w14:textId="77777777" w:rsidR="006F428D" w:rsidRPr="007101A5" w:rsidRDefault="006F428D" w:rsidP="00A12478">
      <w:pPr>
        <w:rPr>
          <w:b/>
          <w:lang w:val="uk-UA"/>
        </w:rPr>
      </w:pPr>
    </w:p>
    <w:p w14:paraId="2C379D3A" w14:textId="77777777" w:rsidR="006F428D" w:rsidRPr="007101A5" w:rsidRDefault="006F428D" w:rsidP="00A12478">
      <w:pPr>
        <w:rPr>
          <w:b/>
          <w:lang w:val="uk-UA"/>
        </w:rPr>
      </w:pPr>
    </w:p>
    <w:p w14:paraId="6C978200"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0B63223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7524D805"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8CDE" w14:textId="77777777" w:rsidR="0027590A" w:rsidRDefault="0027590A">
      <w:r>
        <w:separator/>
      </w:r>
    </w:p>
  </w:endnote>
  <w:endnote w:type="continuationSeparator" w:id="0">
    <w:p w14:paraId="06DAF028" w14:textId="77777777" w:rsidR="0027590A" w:rsidRDefault="0027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4CE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42A7" w14:textId="3D517916" w:rsidR="00A256E7" w:rsidRPr="00A256E7" w:rsidRDefault="00F1609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555BDC3" wp14:editId="0631BDF8">
              <wp:simplePos x="0" y="0"/>
              <wp:positionH relativeFrom="column">
                <wp:posOffset>-180340</wp:posOffset>
              </wp:positionH>
              <wp:positionV relativeFrom="paragraph">
                <wp:posOffset>7620</wp:posOffset>
              </wp:positionV>
              <wp:extent cx="6357620" cy="14605"/>
              <wp:effectExtent l="10160" t="7620" r="13970" b="6350"/>
              <wp:wrapNone/>
              <wp:docPr id="169223058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BA85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66ED8">
      <w:rPr>
        <w:sz w:val="20"/>
        <w:szCs w:val="20"/>
        <w:lang w:val="uk-UA"/>
      </w:rPr>
      <w:t xml:space="preserve">Страхування відповідальності суб’єктів господарювання на об’єктах підвищеної небезпеки, код ДК 021:2015 - 66510000-8 - Страхові послуги </w:t>
    </w:r>
  </w:p>
  <w:p w14:paraId="7AFAECC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1AA5"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F3AE6" w14:textId="77777777" w:rsidR="0027590A" w:rsidRDefault="0027590A">
      <w:r>
        <w:separator/>
      </w:r>
    </w:p>
  </w:footnote>
  <w:footnote w:type="continuationSeparator" w:id="0">
    <w:p w14:paraId="3C78C1C1" w14:textId="77777777" w:rsidR="0027590A" w:rsidRDefault="0027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E293"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23CE49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AB93" w14:textId="42CF444B" w:rsidR="002D6492" w:rsidRPr="003C4B6B" w:rsidRDefault="00F1609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8AF8F33" wp14:editId="19F0B7FE">
              <wp:simplePos x="0" y="0"/>
              <wp:positionH relativeFrom="column">
                <wp:posOffset>-17145</wp:posOffset>
              </wp:positionH>
              <wp:positionV relativeFrom="paragraph">
                <wp:posOffset>476885</wp:posOffset>
              </wp:positionV>
              <wp:extent cx="6329045" cy="13970"/>
              <wp:effectExtent l="11430" t="10160" r="12700" b="13970"/>
              <wp:wrapNone/>
              <wp:docPr id="12735708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6CC4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215471B" wp14:editId="35094693">
          <wp:extent cx="145034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046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00A4DB3"/>
    <w:multiLevelType w:val="hybridMultilevel"/>
    <w:tmpl w:val="36BAF134"/>
    <w:lvl w:ilvl="0" w:tplc="E9E23D26">
      <w:numFmt w:val="bullet"/>
      <w:lvlText w:val="-"/>
      <w:lvlJc w:val="left"/>
      <w:pPr>
        <w:ind w:left="443" w:hanging="360"/>
      </w:pPr>
      <w:rPr>
        <w:rFonts w:ascii="Times New Roman" w:eastAsia="Times New Roman" w:hAnsi="Times New Roman" w:cs="Times New Roman" w:hint="default"/>
        <w:sz w:val="24"/>
      </w:rPr>
    </w:lvl>
    <w:lvl w:ilvl="1" w:tplc="04190003" w:tentative="1">
      <w:start w:val="1"/>
      <w:numFmt w:val="bullet"/>
      <w:lvlText w:val="o"/>
      <w:lvlJc w:val="left"/>
      <w:pPr>
        <w:ind w:left="1163" w:hanging="360"/>
      </w:pPr>
      <w:rPr>
        <w:rFonts w:ascii="Courier New" w:hAnsi="Courier New" w:cs="Courier New" w:hint="default"/>
      </w:rPr>
    </w:lvl>
    <w:lvl w:ilvl="2" w:tplc="04190005" w:tentative="1">
      <w:start w:val="1"/>
      <w:numFmt w:val="bullet"/>
      <w:lvlText w:val=""/>
      <w:lvlJc w:val="left"/>
      <w:pPr>
        <w:ind w:left="1883" w:hanging="360"/>
      </w:pPr>
      <w:rPr>
        <w:rFonts w:ascii="Wingdings" w:hAnsi="Wingdings" w:hint="default"/>
      </w:rPr>
    </w:lvl>
    <w:lvl w:ilvl="3" w:tplc="04190001" w:tentative="1">
      <w:start w:val="1"/>
      <w:numFmt w:val="bullet"/>
      <w:lvlText w:val=""/>
      <w:lvlJc w:val="left"/>
      <w:pPr>
        <w:ind w:left="2603" w:hanging="360"/>
      </w:pPr>
      <w:rPr>
        <w:rFonts w:ascii="Symbol" w:hAnsi="Symbol" w:hint="default"/>
      </w:rPr>
    </w:lvl>
    <w:lvl w:ilvl="4" w:tplc="04190003" w:tentative="1">
      <w:start w:val="1"/>
      <w:numFmt w:val="bullet"/>
      <w:lvlText w:val="o"/>
      <w:lvlJc w:val="left"/>
      <w:pPr>
        <w:ind w:left="3323" w:hanging="360"/>
      </w:pPr>
      <w:rPr>
        <w:rFonts w:ascii="Courier New" w:hAnsi="Courier New" w:cs="Courier New" w:hint="default"/>
      </w:rPr>
    </w:lvl>
    <w:lvl w:ilvl="5" w:tplc="04190005" w:tentative="1">
      <w:start w:val="1"/>
      <w:numFmt w:val="bullet"/>
      <w:lvlText w:val=""/>
      <w:lvlJc w:val="left"/>
      <w:pPr>
        <w:ind w:left="4043" w:hanging="360"/>
      </w:pPr>
      <w:rPr>
        <w:rFonts w:ascii="Wingdings" w:hAnsi="Wingdings" w:hint="default"/>
      </w:rPr>
    </w:lvl>
    <w:lvl w:ilvl="6" w:tplc="04190001" w:tentative="1">
      <w:start w:val="1"/>
      <w:numFmt w:val="bullet"/>
      <w:lvlText w:val=""/>
      <w:lvlJc w:val="left"/>
      <w:pPr>
        <w:ind w:left="4763" w:hanging="360"/>
      </w:pPr>
      <w:rPr>
        <w:rFonts w:ascii="Symbol" w:hAnsi="Symbol" w:hint="default"/>
      </w:rPr>
    </w:lvl>
    <w:lvl w:ilvl="7" w:tplc="04190003" w:tentative="1">
      <w:start w:val="1"/>
      <w:numFmt w:val="bullet"/>
      <w:lvlText w:val="o"/>
      <w:lvlJc w:val="left"/>
      <w:pPr>
        <w:ind w:left="5483" w:hanging="360"/>
      </w:pPr>
      <w:rPr>
        <w:rFonts w:ascii="Courier New" w:hAnsi="Courier New" w:cs="Courier New" w:hint="default"/>
      </w:rPr>
    </w:lvl>
    <w:lvl w:ilvl="8" w:tplc="04190005" w:tentative="1">
      <w:start w:val="1"/>
      <w:numFmt w:val="bullet"/>
      <w:lvlText w:val=""/>
      <w:lvlJc w:val="left"/>
      <w:pPr>
        <w:ind w:left="6203" w:hanging="360"/>
      </w:pPr>
      <w:rPr>
        <w:rFonts w:ascii="Wingdings" w:hAnsi="Wingdings" w:hint="default"/>
      </w:r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41247151">
    <w:abstractNumId w:val="21"/>
  </w:num>
  <w:num w:numId="2" w16cid:durableId="1857385532">
    <w:abstractNumId w:val="23"/>
  </w:num>
  <w:num w:numId="3" w16cid:durableId="64382676">
    <w:abstractNumId w:val="0"/>
  </w:num>
  <w:num w:numId="4" w16cid:durableId="358120222">
    <w:abstractNumId w:val="24"/>
  </w:num>
  <w:num w:numId="5" w16cid:durableId="154762727">
    <w:abstractNumId w:val="7"/>
  </w:num>
  <w:num w:numId="6" w16cid:durableId="1599215556">
    <w:abstractNumId w:val="5"/>
  </w:num>
  <w:num w:numId="7" w16cid:durableId="2137987351">
    <w:abstractNumId w:val="6"/>
  </w:num>
  <w:num w:numId="8" w16cid:durableId="827404426">
    <w:abstractNumId w:val="20"/>
  </w:num>
  <w:num w:numId="9" w16cid:durableId="1648705959">
    <w:abstractNumId w:val="1"/>
  </w:num>
  <w:num w:numId="10" w16cid:durableId="1815101234">
    <w:abstractNumId w:val="17"/>
  </w:num>
  <w:num w:numId="11" w16cid:durableId="783352718">
    <w:abstractNumId w:val="15"/>
  </w:num>
  <w:num w:numId="12" w16cid:durableId="416175920">
    <w:abstractNumId w:val="12"/>
  </w:num>
  <w:num w:numId="13" w16cid:durableId="533463160">
    <w:abstractNumId w:val="14"/>
  </w:num>
  <w:num w:numId="14" w16cid:durableId="802430022">
    <w:abstractNumId w:val="3"/>
  </w:num>
  <w:num w:numId="15" w16cid:durableId="1803385012">
    <w:abstractNumId w:val="16"/>
  </w:num>
  <w:num w:numId="16" w16cid:durableId="1782147686">
    <w:abstractNumId w:val="2"/>
  </w:num>
  <w:num w:numId="17" w16cid:durableId="706492515">
    <w:abstractNumId w:val="11"/>
  </w:num>
  <w:num w:numId="18" w16cid:durableId="1568221357">
    <w:abstractNumId w:val="4"/>
  </w:num>
  <w:num w:numId="19" w16cid:durableId="518088699">
    <w:abstractNumId w:val="8"/>
  </w:num>
  <w:num w:numId="20" w16cid:durableId="1506558407">
    <w:abstractNumId w:val="19"/>
  </w:num>
  <w:num w:numId="21" w16cid:durableId="767576947">
    <w:abstractNumId w:val="9"/>
  </w:num>
  <w:num w:numId="22" w16cid:durableId="1024088281">
    <w:abstractNumId w:val="18"/>
  </w:num>
  <w:num w:numId="23" w16cid:durableId="1362512259">
    <w:abstractNumId w:val="10"/>
  </w:num>
  <w:num w:numId="24" w16cid:durableId="1839997353">
    <w:abstractNumId w:val="22"/>
  </w:num>
  <w:num w:numId="25" w16cid:durableId="2001037085">
    <w:abstractNumId w:val="22"/>
  </w:num>
  <w:num w:numId="26" w16cid:durableId="476999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3354"/>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2B0C"/>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2FDE"/>
    <w:rsid w:val="00153D4B"/>
    <w:rsid w:val="0015459A"/>
    <w:rsid w:val="00154804"/>
    <w:rsid w:val="00154BC0"/>
    <w:rsid w:val="00156733"/>
    <w:rsid w:val="00157737"/>
    <w:rsid w:val="00160142"/>
    <w:rsid w:val="00166CD2"/>
    <w:rsid w:val="00166ED8"/>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393D"/>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590A"/>
    <w:rsid w:val="002767FC"/>
    <w:rsid w:val="00277BE6"/>
    <w:rsid w:val="00281372"/>
    <w:rsid w:val="0028324D"/>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3B85"/>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A3308"/>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48F0"/>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50E"/>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4A24"/>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6090"/>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2E39"/>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33013"/>
  <w15:chartTrackingRefBased/>
  <w15:docId w15:val="{FE1357DD-772F-4C2F-8862-A384CB89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aliases w:val="Список уровня 2,название табл/рис,заголовок 1.1"/>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aliases w:val="Список уровня 2 Знак,название табл/рис Знак,заголовок 1.1 Знак"/>
    <w:link w:val="af6"/>
    <w:uiPriority w:val="34"/>
    <w:locked/>
    <w:rsid w:val="006F0757"/>
    <w:rPr>
      <w:rFonts w:ascii="Calibri" w:eastAsia="Calibri" w:hAnsi="Calibri"/>
      <w:sz w:val="22"/>
      <w:szCs w:val="22"/>
      <w:lang w:val="ru-RU" w:eastAsia="en-US"/>
    </w:rPr>
  </w:style>
  <w:style w:type="paragraph" w:customStyle="1" w:styleId="Standard">
    <w:name w:val="Standard"/>
    <w:rsid w:val="00122B0C"/>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2325796">
      <w:bodyDiv w:val="1"/>
      <w:marLeft w:val="0"/>
      <w:marRight w:val="0"/>
      <w:marTop w:val="0"/>
      <w:marBottom w:val="0"/>
      <w:divBdr>
        <w:top w:val="none" w:sz="0" w:space="0" w:color="auto"/>
        <w:left w:val="none" w:sz="0" w:space="0" w:color="auto"/>
        <w:bottom w:val="none" w:sz="0" w:space="0" w:color="auto"/>
        <w:right w:val="none" w:sz="0" w:space="0" w:color="auto"/>
      </w:divBdr>
      <w:divsChild>
        <w:div w:id="90317192">
          <w:marLeft w:val="0"/>
          <w:marRight w:val="0"/>
          <w:marTop w:val="0"/>
          <w:marBottom w:val="0"/>
          <w:divBdr>
            <w:top w:val="none" w:sz="0" w:space="0" w:color="auto"/>
            <w:left w:val="none" w:sz="0" w:space="0" w:color="auto"/>
            <w:bottom w:val="none" w:sz="0" w:space="0" w:color="auto"/>
            <w:right w:val="none" w:sz="0" w:space="0" w:color="auto"/>
          </w:divBdr>
        </w:div>
      </w:divsChild>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zorro.gov.ua/tender/UA-2025-07-10-009894-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7649</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2025-07-10T13:17:00Z</dcterms:created>
  <dcterms:modified xsi:type="dcterms:W3CDTF">2025-07-10T13:17:00Z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