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CF7654" w14:paraId="6DC14255" w14:textId="77777777" w:rsidTr="001021AF">
        <w:tc>
          <w:tcPr>
            <w:tcW w:w="4683" w:type="dxa"/>
          </w:tcPr>
          <w:p w14:paraId="1511FB46" w14:textId="638D596B" w:rsidR="00825A6B" w:rsidRPr="00CF7654" w:rsidRDefault="00032C15" w:rsidP="006926A0">
            <w:pPr>
              <w:pStyle w:val="a4"/>
              <w:widowControl w:val="0"/>
              <w:rPr>
                <w:szCs w:val="17"/>
                <w:lang w:val="uk-UA"/>
              </w:rPr>
            </w:pPr>
            <w:r w:rsidRPr="00CF7654">
              <w:rPr>
                <w:noProof/>
                <w:lang w:val="uk-UA"/>
              </w:rPr>
              <w:drawing>
                <wp:inline distT="0" distB="0" distL="0" distR="0" wp14:anchorId="7A8957C1" wp14:editId="5ACE8580">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6DE17ACD" w14:textId="77777777" w:rsidR="006926A0" w:rsidRPr="00CF7654" w:rsidRDefault="006926A0" w:rsidP="006926A0">
            <w:pPr>
              <w:widowControl w:val="0"/>
              <w:autoSpaceDE w:val="0"/>
              <w:autoSpaceDN w:val="0"/>
              <w:adjustRightInd w:val="0"/>
              <w:rPr>
                <w:rFonts w:ascii="Times New Roman CYR" w:hAnsi="Times New Roman CYR"/>
                <w:b/>
                <w:lang w:val="uk-UA"/>
              </w:rPr>
            </w:pPr>
            <w:r w:rsidRPr="00CF7654">
              <w:rPr>
                <w:rFonts w:ascii="Times New Roman CYR" w:hAnsi="Times New Roman CYR"/>
                <w:b/>
                <w:lang w:val="uk-UA"/>
              </w:rPr>
              <w:t>ДЕРЖАВНЕ ПІДПРИЄМСТВО</w:t>
            </w:r>
          </w:p>
          <w:p w14:paraId="7E310A86" w14:textId="77777777" w:rsidR="00DD71E4" w:rsidRPr="00CF7654" w:rsidRDefault="006926A0" w:rsidP="006926A0">
            <w:pPr>
              <w:widowControl w:val="0"/>
              <w:autoSpaceDE w:val="0"/>
              <w:autoSpaceDN w:val="0"/>
              <w:adjustRightInd w:val="0"/>
              <w:rPr>
                <w:lang w:val="uk-UA"/>
              </w:rPr>
            </w:pPr>
            <w:r w:rsidRPr="00CF7654">
              <w:rPr>
                <w:rFonts w:ascii="Times New Roman CYR" w:hAnsi="Times New Roman CYR"/>
                <w:b/>
                <w:lang w:val="uk-UA"/>
              </w:rPr>
              <w:t>«</w:t>
            </w:r>
            <w:r w:rsidRPr="00CF7654">
              <w:rPr>
                <w:b/>
                <w:lang w:val="uk-UA"/>
              </w:rPr>
              <w:t>МІЖНАРОДНИЙ АЕРОПОРТ «БОРИСПІЛЬ»</w:t>
            </w:r>
            <w:r w:rsidRPr="00CF7654">
              <w:rPr>
                <w:lang w:val="uk-UA"/>
              </w:rPr>
              <w:t xml:space="preserve"> </w:t>
            </w:r>
          </w:p>
          <w:p w14:paraId="3A6DA0DB" w14:textId="77777777" w:rsidR="006926A0" w:rsidRPr="00CF7654" w:rsidRDefault="006926A0" w:rsidP="006926A0">
            <w:pPr>
              <w:widowControl w:val="0"/>
              <w:autoSpaceDE w:val="0"/>
              <w:autoSpaceDN w:val="0"/>
              <w:adjustRightInd w:val="0"/>
              <w:rPr>
                <w:sz w:val="20"/>
                <w:szCs w:val="20"/>
                <w:lang w:val="uk-UA"/>
              </w:rPr>
            </w:pPr>
            <w:r w:rsidRPr="00CF7654">
              <w:rPr>
                <w:sz w:val="20"/>
                <w:szCs w:val="20"/>
                <w:lang w:val="uk-UA"/>
              </w:rPr>
              <w:t xml:space="preserve">08300, Україна, Київська обл., Бориспільський район, село Гора, вулиця Бориспіль -7, код 20572069, </w:t>
            </w:r>
          </w:p>
          <w:p w14:paraId="1AC0B3DF" w14:textId="77777777" w:rsidR="00825A6B" w:rsidRPr="00CF7654" w:rsidRDefault="006926A0" w:rsidP="006926A0">
            <w:pPr>
              <w:pStyle w:val="4"/>
              <w:keepNext w:val="0"/>
              <w:widowControl w:val="0"/>
              <w:ind w:left="0"/>
              <w:jc w:val="left"/>
            </w:pPr>
            <w:r w:rsidRPr="00CF7654">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CF7654">
              <w:rPr>
                <w:color w:val="000000"/>
                <w:sz w:val="20"/>
                <w:szCs w:val="20"/>
              </w:rPr>
              <w:t>»</w:t>
            </w:r>
          </w:p>
        </w:tc>
      </w:tr>
      <w:tr w:rsidR="001021AF" w:rsidRPr="00CF7654" w14:paraId="180B1CFB" w14:textId="77777777" w:rsidTr="00C62708">
        <w:tc>
          <w:tcPr>
            <w:tcW w:w="9854" w:type="dxa"/>
            <w:gridSpan w:val="2"/>
          </w:tcPr>
          <w:p w14:paraId="2A1AAC4B" w14:textId="77777777" w:rsidR="003C4B6B" w:rsidRPr="00CF7654" w:rsidRDefault="003C4B6B" w:rsidP="007D7B6F">
            <w:pPr>
              <w:pStyle w:val="1"/>
              <w:keepNext w:val="0"/>
              <w:widowControl w:val="0"/>
              <w:rPr>
                <w:sz w:val="28"/>
                <w:szCs w:val="28"/>
              </w:rPr>
            </w:pPr>
          </w:p>
          <w:p w14:paraId="5C5084FF" w14:textId="77777777" w:rsidR="001021AF" w:rsidRPr="00CF7654" w:rsidRDefault="007D7B6F" w:rsidP="007D7B6F">
            <w:pPr>
              <w:pStyle w:val="1"/>
              <w:keepNext w:val="0"/>
              <w:widowControl w:val="0"/>
            </w:pPr>
            <w:r w:rsidRPr="00CF7654">
              <w:rPr>
                <w:sz w:val="28"/>
                <w:szCs w:val="28"/>
              </w:rPr>
              <w:t>Обґрунтування технічних та якісних характеристик предмета закупівлі та очікуваної вартості предмета закупівлі</w:t>
            </w:r>
          </w:p>
        </w:tc>
      </w:tr>
    </w:tbl>
    <w:p w14:paraId="7D6383B3" w14:textId="77777777" w:rsidR="005F3529" w:rsidRPr="00CF7654" w:rsidRDefault="005F3529" w:rsidP="0063471D">
      <w:pPr>
        <w:pStyle w:val="a4"/>
        <w:widowControl w:val="0"/>
        <w:jc w:val="both"/>
        <w:rPr>
          <w:sz w:val="24"/>
          <w:szCs w:val="24"/>
          <w:lang w:val="uk-UA"/>
        </w:rPr>
      </w:pPr>
    </w:p>
    <w:p w14:paraId="6DC064E8" w14:textId="77777777" w:rsidR="007D7B6F" w:rsidRPr="00CF7654" w:rsidRDefault="003C4B6B" w:rsidP="0063471D">
      <w:pPr>
        <w:pStyle w:val="a4"/>
        <w:widowControl w:val="0"/>
        <w:jc w:val="both"/>
        <w:rPr>
          <w:sz w:val="24"/>
          <w:szCs w:val="24"/>
          <w:lang w:val="uk-UA"/>
        </w:rPr>
      </w:pPr>
      <w:r w:rsidRPr="00CF7654">
        <w:rPr>
          <w:sz w:val="24"/>
          <w:szCs w:val="24"/>
          <w:lang w:val="uk-UA"/>
        </w:rPr>
        <w:t xml:space="preserve">Підстава: </w:t>
      </w:r>
      <w:r w:rsidR="007D7B6F" w:rsidRPr="00CF7654">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CF7654" w14:paraId="430E669D" w14:textId="77777777" w:rsidTr="00C62708">
        <w:tc>
          <w:tcPr>
            <w:tcW w:w="487" w:type="pct"/>
            <w:shd w:val="clear" w:color="auto" w:fill="DEEAF6"/>
          </w:tcPr>
          <w:p w14:paraId="63D32609" w14:textId="77777777" w:rsidR="00A76484" w:rsidRPr="00CF7654" w:rsidRDefault="00A76484" w:rsidP="002D4D30">
            <w:pPr>
              <w:widowControl w:val="0"/>
              <w:contextualSpacing/>
              <w:jc w:val="center"/>
              <w:rPr>
                <w:b/>
                <w:sz w:val="22"/>
                <w:szCs w:val="22"/>
                <w:lang w:val="uk-UA"/>
              </w:rPr>
            </w:pPr>
            <w:r w:rsidRPr="00CF7654">
              <w:rPr>
                <w:b/>
                <w:sz w:val="22"/>
                <w:szCs w:val="22"/>
                <w:lang w:val="uk-UA"/>
              </w:rPr>
              <w:t>Пункт Кошторису</w:t>
            </w:r>
          </w:p>
        </w:tc>
        <w:tc>
          <w:tcPr>
            <w:tcW w:w="1527" w:type="pct"/>
            <w:shd w:val="clear" w:color="auto" w:fill="DEEAF6"/>
          </w:tcPr>
          <w:p w14:paraId="3667083A" w14:textId="77777777" w:rsidR="00A76484" w:rsidRPr="00CF7654" w:rsidRDefault="00A76484" w:rsidP="002D4D30">
            <w:pPr>
              <w:widowControl w:val="0"/>
              <w:contextualSpacing/>
              <w:jc w:val="center"/>
              <w:rPr>
                <w:b/>
                <w:sz w:val="22"/>
                <w:szCs w:val="22"/>
                <w:lang w:val="uk-UA"/>
              </w:rPr>
            </w:pPr>
            <w:r w:rsidRPr="00CF7654">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29B3748F" w14:textId="77777777" w:rsidR="00A76484" w:rsidRPr="00CF7654" w:rsidRDefault="00A76484" w:rsidP="00DB2D70">
            <w:pPr>
              <w:widowControl w:val="0"/>
              <w:contextualSpacing/>
              <w:jc w:val="center"/>
              <w:rPr>
                <w:b/>
                <w:sz w:val="22"/>
                <w:szCs w:val="22"/>
                <w:lang w:val="uk-UA"/>
              </w:rPr>
            </w:pPr>
            <w:r w:rsidRPr="00CF7654">
              <w:rPr>
                <w:b/>
                <w:sz w:val="22"/>
                <w:szCs w:val="22"/>
                <w:lang w:val="uk-UA"/>
              </w:rPr>
              <w:t>Очікувана варт</w:t>
            </w:r>
            <w:r w:rsidR="00DB2D70" w:rsidRPr="00CF7654">
              <w:rPr>
                <w:b/>
                <w:sz w:val="22"/>
                <w:szCs w:val="22"/>
                <w:lang w:val="uk-UA"/>
              </w:rPr>
              <w:t>ість предмета закупівлі згідно р</w:t>
            </w:r>
            <w:r w:rsidRPr="00CF7654">
              <w:rPr>
                <w:b/>
                <w:sz w:val="22"/>
                <w:szCs w:val="22"/>
                <w:lang w:val="uk-UA"/>
              </w:rPr>
              <w:t>ічного плану закупівель</w:t>
            </w:r>
          </w:p>
        </w:tc>
        <w:tc>
          <w:tcPr>
            <w:tcW w:w="1102" w:type="pct"/>
            <w:shd w:val="clear" w:color="auto" w:fill="DEEAF6"/>
          </w:tcPr>
          <w:p w14:paraId="648B6378" w14:textId="77777777" w:rsidR="00A76484" w:rsidRPr="00CF7654" w:rsidRDefault="00A76484" w:rsidP="002D4D30">
            <w:pPr>
              <w:widowControl w:val="0"/>
              <w:contextualSpacing/>
              <w:jc w:val="center"/>
              <w:rPr>
                <w:b/>
                <w:sz w:val="22"/>
                <w:szCs w:val="22"/>
                <w:lang w:val="uk-UA"/>
              </w:rPr>
            </w:pPr>
            <w:r w:rsidRPr="00CF7654">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273E469" w14:textId="77777777" w:rsidR="00A76484" w:rsidRPr="00CF7654" w:rsidRDefault="00A355EA" w:rsidP="002D4D30">
            <w:pPr>
              <w:widowControl w:val="0"/>
              <w:contextualSpacing/>
              <w:jc w:val="center"/>
              <w:rPr>
                <w:b/>
                <w:sz w:val="22"/>
                <w:szCs w:val="22"/>
                <w:lang w:val="uk-UA"/>
              </w:rPr>
            </w:pPr>
            <w:r w:rsidRPr="00CF7654">
              <w:rPr>
                <w:b/>
                <w:sz w:val="22"/>
                <w:szCs w:val="22"/>
                <w:lang w:val="uk-UA"/>
              </w:rPr>
              <w:t>Ідентифікатор процедури закупівлі</w:t>
            </w:r>
          </w:p>
        </w:tc>
      </w:tr>
      <w:tr w:rsidR="00A76484" w:rsidRPr="00CF7654" w14:paraId="5E684769" w14:textId="77777777" w:rsidTr="00212515">
        <w:tc>
          <w:tcPr>
            <w:tcW w:w="487" w:type="pct"/>
          </w:tcPr>
          <w:p w14:paraId="48D99FDE" w14:textId="77777777" w:rsidR="0059474D" w:rsidRPr="00CF7654" w:rsidRDefault="0059474D" w:rsidP="005469FD">
            <w:pPr>
              <w:widowControl w:val="0"/>
              <w:ind w:right="-11"/>
              <w:jc w:val="center"/>
              <w:rPr>
                <w:sz w:val="22"/>
                <w:szCs w:val="22"/>
                <w:lang w:val="uk-UA"/>
              </w:rPr>
            </w:pPr>
            <w:r w:rsidRPr="00CF7654">
              <w:rPr>
                <w:sz w:val="22"/>
                <w:szCs w:val="22"/>
                <w:lang w:val="uk-UA"/>
              </w:rPr>
              <w:t>24.09</w:t>
            </w:r>
          </w:p>
          <w:p w14:paraId="1A83600A" w14:textId="51111008" w:rsidR="00A76484" w:rsidRPr="00CF7654" w:rsidRDefault="00BD6E95" w:rsidP="005469FD">
            <w:pPr>
              <w:widowControl w:val="0"/>
              <w:ind w:right="-11"/>
              <w:jc w:val="center"/>
              <w:rPr>
                <w:sz w:val="22"/>
                <w:szCs w:val="22"/>
                <w:lang w:val="uk-UA" w:eastAsia="uk-UA"/>
              </w:rPr>
            </w:pPr>
            <w:r w:rsidRPr="00CF7654">
              <w:rPr>
                <w:sz w:val="22"/>
                <w:szCs w:val="22"/>
                <w:lang w:val="uk-UA" w:eastAsia="uk-UA"/>
              </w:rPr>
              <w:t>(202</w:t>
            </w:r>
            <w:r w:rsidR="0059474D" w:rsidRPr="00CF7654">
              <w:rPr>
                <w:sz w:val="22"/>
                <w:szCs w:val="22"/>
                <w:lang w:val="uk-UA" w:eastAsia="uk-UA"/>
              </w:rPr>
              <w:t>5</w:t>
            </w:r>
            <w:r w:rsidR="00A76484" w:rsidRPr="00CF7654">
              <w:rPr>
                <w:sz w:val="22"/>
                <w:szCs w:val="22"/>
                <w:lang w:val="uk-UA" w:eastAsia="uk-UA"/>
              </w:rPr>
              <w:t>)</w:t>
            </w:r>
          </w:p>
        </w:tc>
        <w:tc>
          <w:tcPr>
            <w:tcW w:w="1527" w:type="pct"/>
          </w:tcPr>
          <w:p w14:paraId="3D0832A7" w14:textId="4F686303" w:rsidR="00A76484" w:rsidRPr="00CF7654" w:rsidRDefault="00F1091F" w:rsidP="00A12478">
            <w:pPr>
              <w:widowControl w:val="0"/>
              <w:rPr>
                <w:bCs/>
                <w:sz w:val="22"/>
                <w:szCs w:val="22"/>
                <w:lang w:val="uk-UA"/>
              </w:rPr>
            </w:pPr>
            <w:r w:rsidRPr="00CF7654">
              <w:rPr>
                <w:b/>
                <w:sz w:val="22"/>
                <w:szCs w:val="22"/>
                <w:lang w:val="uk-UA"/>
              </w:rPr>
              <w:t xml:space="preserve">Навчання відповідно до Нормативно-правових актів з охорони праці та Правил технічної експлуатації теплових установок і мереж, </w:t>
            </w:r>
            <w:r w:rsidRPr="00CF7654">
              <w:rPr>
                <w:bCs/>
                <w:sz w:val="22"/>
                <w:szCs w:val="22"/>
                <w:lang w:val="uk-UA"/>
              </w:rPr>
              <w:t>код ДК 021:2015: 80510000-2 — Послуги з професійної підготовки спеціалістів</w:t>
            </w:r>
          </w:p>
        </w:tc>
        <w:tc>
          <w:tcPr>
            <w:tcW w:w="947" w:type="pct"/>
          </w:tcPr>
          <w:p w14:paraId="7E8C1465" w14:textId="774D7AA3" w:rsidR="00A76484" w:rsidRPr="00CF7654" w:rsidRDefault="00F1091F" w:rsidP="002D4D30">
            <w:pPr>
              <w:widowControl w:val="0"/>
              <w:jc w:val="center"/>
              <w:rPr>
                <w:sz w:val="22"/>
                <w:szCs w:val="22"/>
                <w:lang w:val="uk-UA"/>
              </w:rPr>
            </w:pPr>
            <w:r w:rsidRPr="00CF7654">
              <w:rPr>
                <w:sz w:val="22"/>
                <w:szCs w:val="22"/>
                <w:lang w:val="uk-UA"/>
              </w:rPr>
              <w:t>30 000,00</w:t>
            </w:r>
            <w:r w:rsidR="00A76484" w:rsidRPr="00CF7654">
              <w:rPr>
                <w:sz w:val="22"/>
                <w:szCs w:val="22"/>
                <w:lang w:val="uk-UA"/>
              </w:rPr>
              <w:t xml:space="preserve"> </w:t>
            </w:r>
          </w:p>
          <w:p w14:paraId="5EF75DD3" w14:textId="77777777" w:rsidR="00A76484" w:rsidRPr="00CF7654" w:rsidRDefault="00A76484" w:rsidP="002D4D30">
            <w:pPr>
              <w:widowControl w:val="0"/>
              <w:jc w:val="center"/>
              <w:rPr>
                <w:sz w:val="22"/>
                <w:szCs w:val="22"/>
                <w:lang w:val="uk-UA"/>
              </w:rPr>
            </w:pPr>
            <w:r w:rsidRPr="00CF7654">
              <w:rPr>
                <w:sz w:val="22"/>
                <w:szCs w:val="22"/>
                <w:lang w:val="uk-UA"/>
              </w:rPr>
              <w:t>грн. з ПДВ</w:t>
            </w:r>
          </w:p>
        </w:tc>
        <w:tc>
          <w:tcPr>
            <w:tcW w:w="1102" w:type="pct"/>
          </w:tcPr>
          <w:p w14:paraId="52D760A9" w14:textId="48B4FDC6" w:rsidR="00A76484" w:rsidRPr="00CF7654" w:rsidRDefault="0059474D" w:rsidP="002D4D30">
            <w:pPr>
              <w:widowControl w:val="0"/>
              <w:jc w:val="center"/>
              <w:rPr>
                <w:sz w:val="22"/>
                <w:szCs w:val="22"/>
                <w:lang w:val="uk-UA"/>
              </w:rPr>
            </w:pPr>
            <w:r w:rsidRPr="00CF7654">
              <w:rPr>
                <w:sz w:val="22"/>
                <w:szCs w:val="22"/>
                <w:lang w:val="uk-UA"/>
              </w:rPr>
              <w:t>25</w:t>
            </w:r>
            <w:r w:rsidR="00F1091F" w:rsidRPr="00CF7654">
              <w:rPr>
                <w:sz w:val="22"/>
                <w:szCs w:val="22"/>
                <w:lang w:val="uk-UA"/>
              </w:rPr>
              <w:t> 000,00</w:t>
            </w:r>
          </w:p>
          <w:p w14:paraId="2BA41AA6" w14:textId="77777777" w:rsidR="00A76484" w:rsidRPr="00CF7654" w:rsidRDefault="00A76484" w:rsidP="002D4D30">
            <w:pPr>
              <w:widowControl w:val="0"/>
              <w:jc w:val="center"/>
              <w:rPr>
                <w:sz w:val="22"/>
                <w:szCs w:val="22"/>
                <w:lang w:val="uk-UA"/>
              </w:rPr>
            </w:pPr>
            <w:r w:rsidRPr="00CF7654">
              <w:rPr>
                <w:sz w:val="22"/>
                <w:szCs w:val="22"/>
                <w:lang w:val="uk-UA"/>
              </w:rPr>
              <w:t xml:space="preserve">грн. без ПДВ </w:t>
            </w:r>
          </w:p>
        </w:tc>
        <w:tc>
          <w:tcPr>
            <w:tcW w:w="936" w:type="pct"/>
          </w:tcPr>
          <w:p w14:paraId="519F1152" w14:textId="1BC50F75" w:rsidR="00A76484" w:rsidRPr="00CF7654" w:rsidRDefault="00153C6A" w:rsidP="002D4D30">
            <w:pPr>
              <w:widowControl w:val="0"/>
              <w:jc w:val="center"/>
              <w:rPr>
                <w:color w:val="0000FF"/>
                <w:sz w:val="22"/>
                <w:szCs w:val="22"/>
                <w:lang w:val="uk-UA"/>
              </w:rPr>
            </w:pPr>
            <w:r w:rsidRPr="00153C6A">
              <w:rPr>
                <w:b/>
                <w:sz w:val="22"/>
                <w:szCs w:val="22"/>
                <w:lang w:val="uk-UA"/>
              </w:rPr>
              <w:t>UA-2025-08-18-005037-a</w:t>
            </w:r>
          </w:p>
        </w:tc>
      </w:tr>
    </w:tbl>
    <w:p w14:paraId="61887211" w14:textId="77777777" w:rsidR="00A12478" w:rsidRPr="00CF7654" w:rsidRDefault="00A12478" w:rsidP="0063471D">
      <w:pPr>
        <w:pStyle w:val="a4"/>
        <w:widowControl w:val="0"/>
        <w:jc w:val="both"/>
        <w:rPr>
          <w:sz w:val="24"/>
          <w:szCs w:val="24"/>
          <w:lang w:val="uk-UA"/>
        </w:rPr>
      </w:pPr>
    </w:p>
    <w:p w14:paraId="4A8CD7BB" w14:textId="77777777" w:rsidR="00A355EA" w:rsidRPr="00CF7654" w:rsidRDefault="00A355EA" w:rsidP="00C62708">
      <w:pPr>
        <w:widowControl w:val="0"/>
        <w:shd w:val="clear" w:color="auto" w:fill="DEEAF6"/>
        <w:jc w:val="center"/>
        <w:rPr>
          <w:lang w:val="uk-UA"/>
        </w:rPr>
      </w:pPr>
      <w:r w:rsidRPr="00CF7654">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DB230D" w:rsidRPr="00CF7654" w14:paraId="525B43F1" w14:textId="77777777" w:rsidTr="00DB230D">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79476EC0" w14:textId="77777777" w:rsidR="00DB230D" w:rsidRPr="00CF7654" w:rsidRDefault="00DB230D" w:rsidP="00DB230D">
            <w:pPr>
              <w:rPr>
                <w:lang w:val="uk-UA"/>
              </w:rPr>
            </w:pPr>
            <w:r w:rsidRPr="00CF7654">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470B090" w14:textId="77777777" w:rsidR="00DB230D" w:rsidRPr="00CF7654" w:rsidRDefault="00DB230D" w:rsidP="00DB230D">
            <w:pPr>
              <w:rPr>
                <w:lang w:val="uk-UA"/>
              </w:rPr>
            </w:pPr>
            <w:r w:rsidRPr="00CF7654">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2278CA0A" w14:textId="77777777" w:rsidR="00DB230D" w:rsidRPr="00CF7654" w:rsidRDefault="00DB230D" w:rsidP="00DB230D">
            <w:pPr>
              <w:widowControl w:val="0"/>
              <w:jc w:val="both"/>
              <w:rPr>
                <w:lang w:val="uk-UA"/>
              </w:rPr>
            </w:pPr>
            <w:r w:rsidRPr="00CF7654">
              <w:rPr>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9C52D2D" w14:textId="0EEBAE96" w:rsidR="00DB230D" w:rsidRPr="00CF7654" w:rsidRDefault="00DB230D" w:rsidP="00DB230D">
            <w:pPr>
              <w:rPr>
                <w:iCs/>
                <w:lang w:val="uk-UA"/>
              </w:rPr>
            </w:pPr>
            <w:r w:rsidRPr="00CF7654">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DB230D" w:rsidRPr="00CF7654" w14:paraId="3D63CE81" w14:textId="77777777" w:rsidTr="00DB230D">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24A5270" w14:textId="77777777" w:rsidR="00DB230D" w:rsidRPr="00CF7654" w:rsidRDefault="00DB230D" w:rsidP="00DB230D">
            <w:pPr>
              <w:rPr>
                <w:lang w:val="uk-UA"/>
              </w:rPr>
            </w:pPr>
            <w:r w:rsidRPr="00CF7654">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8495D04" w14:textId="77777777" w:rsidR="00DB230D" w:rsidRPr="00CF7654" w:rsidRDefault="00DB230D" w:rsidP="00DB230D">
            <w:pPr>
              <w:rPr>
                <w:lang w:val="uk-UA"/>
              </w:rPr>
            </w:pPr>
            <w:r w:rsidRPr="00CF7654">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6A6DFD5" w14:textId="029578E1" w:rsidR="00DB230D" w:rsidRPr="00E36F4A" w:rsidRDefault="00DB230D" w:rsidP="00DB230D">
            <w:pPr>
              <w:rPr>
                <w:b/>
                <w:bCs/>
                <w:i/>
                <w:lang w:val="uk-UA"/>
              </w:rPr>
            </w:pPr>
            <w:r w:rsidRPr="00E36F4A">
              <w:rPr>
                <w:rStyle w:val="FontStyle24"/>
                <w:b w:val="0"/>
                <w:bCs/>
                <w:sz w:val="24"/>
                <w:lang w:val="uk-UA" w:eastAsia="uk-UA"/>
              </w:rPr>
              <w:t>Кількість людей, яким необхідно пройти навчання зазначена в Переліку осіб від 19.03.2025 №63-25-12 та від 20.03.2025 №63-25-13.</w:t>
            </w:r>
          </w:p>
        </w:tc>
      </w:tr>
      <w:tr w:rsidR="00DB230D" w:rsidRPr="00CF7654" w14:paraId="5387F175" w14:textId="77777777" w:rsidTr="00DB230D">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8F5F844" w14:textId="77777777" w:rsidR="00DB230D" w:rsidRPr="00CF7654" w:rsidRDefault="00DB230D" w:rsidP="00DB230D">
            <w:pPr>
              <w:rPr>
                <w:bCs/>
                <w:lang w:val="uk-UA"/>
              </w:rPr>
            </w:pPr>
            <w:r w:rsidRPr="00CF7654">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F421488" w14:textId="77777777" w:rsidR="00DB230D" w:rsidRPr="00CF7654" w:rsidRDefault="00DB230D" w:rsidP="00DB230D">
            <w:pPr>
              <w:rPr>
                <w:lang w:val="uk-UA"/>
              </w:rPr>
            </w:pPr>
            <w:r w:rsidRPr="00CF7654">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3B4AEEAF" w14:textId="77777777" w:rsidR="00DB230D" w:rsidRPr="00CF7654" w:rsidRDefault="00DB230D" w:rsidP="00DB230D">
            <w:pPr>
              <w:widowControl w:val="0"/>
              <w:jc w:val="both"/>
              <w:rPr>
                <w:lang w:val="uk-UA"/>
              </w:rPr>
            </w:pPr>
            <w:r w:rsidRPr="00CF7654">
              <w:rPr>
                <w:lang w:val="uk-UA"/>
              </w:rPr>
              <w:t xml:space="preserve">Метод визначення очікуваної вартості предмета закупівлі: </w:t>
            </w:r>
          </w:p>
          <w:p w14:paraId="2A19D6B8" w14:textId="7362CB1B" w:rsidR="00DB230D" w:rsidRPr="00CF7654" w:rsidRDefault="00DB230D" w:rsidP="007B6F13">
            <w:pPr>
              <w:widowControl w:val="0"/>
              <w:jc w:val="both"/>
              <w:rPr>
                <w:i/>
                <w:lang w:val="uk-UA"/>
              </w:rPr>
            </w:pPr>
            <w:r w:rsidRPr="00CF7654">
              <w:rPr>
                <w:lang w:val="uk-UA"/>
              </w:rPr>
              <w:t>Надсилались запити навчальним закладам, на підставі яких визначена середня очікувана варт</w:t>
            </w:r>
            <w:r w:rsidR="007B6F13">
              <w:rPr>
                <w:lang w:val="uk-UA"/>
              </w:rPr>
              <w:t>і</w:t>
            </w:r>
            <w:r w:rsidRPr="00CF7654">
              <w:rPr>
                <w:lang w:val="uk-UA"/>
              </w:rPr>
              <w:t>сть</w:t>
            </w:r>
            <w:r w:rsidR="007B6F13">
              <w:rPr>
                <w:lang w:val="uk-UA"/>
              </w:rPr>
              <w:t>.</w:t>
            </w:r>
          </w:p>
        </w:tc>
      </w:tr>
    </w:tbl>
    <w:p w14:paraId="389B1D2D" w14:textId="77777777" w:rsidR="006926A0" w:rsidRPr="00CF7654" w:rsidRDefault="006926A0" w:rsidP="006926A0">
      <w:pPr>
        <w:ind w:firstLine="567"/>
        <w:jc w:val="both"/>
        <w:rPr>
          <w:lang w:val="uk-UA"/>
        </w:rPr>
      </w:pPr>
      <w:r w:rsidRPr="00CF7654">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3F1F856B" w14:textId="77777777" w:rsidR="0075389F" w:rsidRDefault="0075389F" w:rsidP="00F46737">
      <w:pPr>
        <w:widowControl w:val="0"/>
        <w:jc w:val="center"/>
        <w:rPr>
          <w:b/>
          <w:sz w:val="22"/>
          <w:szCs w:val="22"/>
          <w:lang w:val="uk-UA"/>
        </w:rPr>
      </w:pPr>
    </w:p>
    <w:p w14:paraId="1BBF68A2" w14:textId="597380C2" w:rsidR="00F46737" w:rsidRPr="00CF7654" w:rsidRDefault="00F46737" w:rsidP="00F46737">
      <w:pPr>
        <w:widowControl w:val="0"/>
        <w:jc w:val="center"/>
        <w:rPr>
          <w:b/>
          <w:sz w:val="22"/>
          <w:szCs w:val="22"/>
          <w:lang w:val="uk-UA"/>
        </w:rPr>
      </w:pPr>
      <w:r w:rsidRPr="00CF7654">
        <w:rPr>
          <w:b/>
          <w:sz w:val="22"/>
          <w:szCs w:val="22"/>
          <w:lang w:val="uk-UA"/>
        </w:rPr>
        <w:t>Технічна специфікація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771"/>
        <w:gridCol w:w="1091"/>
        <w:gridCol w:w="805"/>
        <w:gridCol w:w="2356"/>
      </w:tblGrid>
      <w:tr w:rsidR="00F46737" w:rsidRPr="00CF7654" w14:paraId="6647852C" w14:textId="77777777" w:rsidTr="00697D57">
        <w:tc>
          <w:tcPr>
            <w:tcW w:w="645" w:type="dxa"/>
            <w:shd w:val="clear" w:color="auto" w:fill="C1E4F5" w:themeFill="accent1" w:themeFillTint="33"/>
          </w:tcPr>
          <w:p w14:paraId="191DE2B3" w14:textId="77777777" w:rsidR="00F46737" w:rsidRPr="00CF7654" w:rsidRDefault="00F46737" w:rsidP="00697D57">
            <w:pPr>
              <w:jc w:val="both"/>
              <w:rPr>
                <w:b/>
                <w:sz w:val="22"/>
                <w:szCs w:val="22"/>
                <w:lang w:val="uk-UA"/>
              </w:rPr>
            </w:pPr>
            <w:r w:rsidRPr="00CF7654">
              <w:rPr>
                <w:b/>
                <w:sz w:val="22"/>
                <w:szCs w:val="22"/>
                <w:lang w:val="uk-UA"/>
              </w:rPr>
              <w:t>№ п/п</w:t>
            </w:r>
          </w:p>
        </w:tc>
        <w:tc>
          <w:tcPr>
            <w:tcW w:w="4771" w:type="dxa"/>
            <w:shd w:val="clear" w:color="auto" w:fill="C1E4F5" w:themeFill="accent1" w:themeFillTint="33"/>
          </w:tcPr>
          <w:p w14:paraId="2A8EAA52" w14:textId="77777777" w:rsidR="00F46737" w:rsidRPr="00CF7654" w:rsidRDefault="00F46737" w:rsidP="00697D57">
            <w:pPr>
              <w:jc w:val="center"/>
              <w:rPr>
                <w:b/>
                <w:sz w:val="22"/>
                <w:szCs w:val="22"/>
                <w:lang w:val="uk-UA"/>
              </w:rPr>
            </w:pPr>
            <w:r w:rsidRPr="00CF7654">
              <w:rPr>
                <w:b/>
                <w:bCs/>
                <w:color w:val="000000"/>
                <w:sz w:val="22"/>
                <w:szCs w:val="22"/>
                <w:lang w:val="uk-UA"/>
              </w:rPr>
              <w:t>Найменування послуги, технічні, якісні характеристики предмета закупівлі (умови технічної специфікації)</w:t>
            </w:r>
          </w:p>
        </w:tc>
        <w:tc>
          <w:tcPr>
            <w:tcW w:w="1091" w:type="dxa"/>
            <w:shd w:val="clear" w:color="auto" w:fill="C1E4F5" w:themeFill="accent1" w:themeFillTint="33"/>
          </w:tcPr>
          <w:p w14:paraId="3E28D598" w14:textId="77777777" w:rsidR="00F46737" w:rsidRPr="00CF7654" w:rsidRDefault="00F46737" w:rsidP="00697D57">
            <w:pPr>
              <w:widowControl w:val="0"/>
              <w:jc w:val="center"/>
              <w:rPr>
                <w:b/>
                <w:sz w:val="22"/>
                <w:szCs w:val="22"/>
                <w:lang w:val="uk-UA"/>
              </w:rPr>
            </w:pPr>
            <w:r w:rsidRPr="00CF7654">
              <w:rPr>
                <w:b/>
                <w:sz w:val="22"/>
                <w:szCs w:val="22"/>
                <w:lang w:val="uk-UA"/>
              </w:rPr>
              <w:t>Од.</w:t>
            </w:r>
          </w:p>
          <w:p w14:paraId="3F96FED6" w14:textId="77777777" w:rsidR="00F46737" w:rsidRPr="00CF7654" w:rsidRDefault="00F46737" w:rsidP="00697D57">
            <w:pPr>
              <w:widowControl w:val="0"/>
              <w:jc w:val="center"/>
              <w:rPr>
                <w:b/>
                <w:sz w:val="22"/>
                <w:szCs w:val="22"/>
                <w:lang w:val="uk-UA"/>
              </w:rPr>
            </w:pPr>
            <w:r w:rsidRPr="00CF7654">
              <w:rPr>
                <w:b/>
                <w:sz w:val="22"/>
                <w:szCs w:val="22"/>
                <w:lang w:val="uk-UA"/>
              </w:rPr>
              <w:t>виміру</w:t>
            </w:r>
          </w:p>
        </w:tc>
        <w:tc>
          <w:tcPr>
            <w:tcW w:w="805" w:type="dxa"/>
            <w:shd w:val="clear" w:color="auto" w:fill="C1E4F5" w:themeFill="accent1" w:themeFillTint="33"/>
          </w:tcPr>
          <w:p w14:paraId="1EBB30AF" w14:textId="77777777" w:rsidR="00F46737" w:rsidRPr="00CF7654" w:rsidRDefault="00F46737" w:rsidP="00697D57">
            <w:pPr>
              <w:widowControl w:val="0"/>
              <w:jc w:val="center"/>
              <w:rPr>
                <w:b/>
                <w:sz w:val="22"/>
                <w:szCs w:val="22"/>
                <w:lang w:val="uk-UA"/>
              </w:rPr>
            </w:pPr>
            <w:r w:rsidRPr="00CF7654">
              <w:rPr>
                <w:b/>
                <w:sz w:val="22"/>
                <w:szCs w:val="22"/>
                <w:lang w:val="uk-UA"/>
              </w:rPr>
              <w:t>Кіль-кість</w:t>
            </w:r>
          </w:p>
        </w:tc>
        <w:tc>
          <w:tcPr>
            <w:tcW w:w="2356" w:type="dxa"/>
            <w:shd w:val="clear" w:color="auto" w:fill="C1E4F5" w:themeFill="accent1" w:themeFillTint="33"/>
          </w:tcPr>
          <w:p w14:paraId="0E47745B" w14:textId="77777777" w:rsidR="00F46737" w:rsidRPr="00CF7654" w:rsidRDefault="00F46737" w:rsidP="00697D57">
            <w:pPr>
              <w:widowControl w:val="0"/>
              <w:jc w:val="center"/>
              <w:rPr>
                <w:b/>
                <w:sz w:val="22"/>
                <w:szCs w:val="22"/>
                <w:lang w:val="uk-UA"/>
              </w:rPr>
            </w:pPr>
            <w:r w:rsidRPr="00CF7654">
              <w:rPr>
                <w:b/>
                <w:sz w:val="22"/>
                <w:szCs w:val="22"/>
                <w:lang w:val="uk-UA"/>
              </w:rPr>
              <w:t>Примітка</w:t>
            </w:r>
          </w:p>
        </w:tc>
      </w:tr>
      <w:tr w:rsidR="00F46737" w:rsidRPr="00CF7654" w14:paraId="570FC580" w14:textId="77777777" w:rsidTr="00697D57">
        <w:tc>
          <w:tcPr>
            <w:tcW w:w="645" w:type="dxa"/>
          </w:tcPr>
          <w:p w14:paraId="60CCD913" w14:textId="77777777" w:rsidR="00F46737" w:rsidRPr="00CF7654" w:rsidRDefault="00F46737" w:rsidP="00697D57">
            <w:pPr>
              <w:jc w:val="both"/>
              <w:rPr>
                <w:sz w:val="22"/>
                <w:szCs w:val="22"/>
                <w:lang w:val="uk-UA"/>
              </w:rPr>
            </w:pPr>
            <w:r w:rsidRPr="00CF7654">
              <w:rPr>
                <w:sz w:val="22"/>
                <w:szCs w:val="22"/>
                <w:lang w:val="uk-UA"/>
              </w:rPr>
              <w:t>1</w:t>
            </w:r>
          </w:p>
        </w:tc>
        <w:tc>
          <w:tcPr>
            <w:tcW w:w="4771" w:type="dxa"/>
          </w:tcPr>
          <w:p w14:paraId="2DB0A3EA" w14:textId="77777777" w:rsidR="00F46737" w:rsidRPr="00CF7654" w:rsidRDefault="00F46737" w:rsidP="00697D57">
            <w:pPr>
              <w:suppressAutoHyphens/>
              <w:rPr>
                <w:sz w:val="22"/>
                <w:szCs w:val="22"/>
                <w:lang w:val="uk-UA" w:eastAsia="uk-UA"/>
              </w:rPr>
            </w:pPr>
            <w:r w:rsidRPr="00CF7654">
              <w:rPr>
                <w:sz w:val="22"/>
                <w:szCs w:val="22"/>
                <w:lang w:val="uk-UA"/>
              </w:rPr>
              <w:t>Навчання відповідно до Нормативно-правових актів з охорони праці та Правил технічної експлуатації теплових установок і мереж</w:t>
            </w:r>
            <w:r w:rsidRPr="00CF7654">
              <w:rPr>
                <w:color w:val="000000"/>
                <w:sz w:val="22"/>
                <w:szCs w:val="22"/>
                <w:lang w:val="uk-UA" w:eastAsia="uk-UA"/>
              </w:rPr>
              <w:t>»</w:t>
            </w:r>
          </w:p>
        </w:tc>
        <w:tc>
          <w:tcPr>
            <w:tcW w:w="1091" w:type="dxa"/>
          </w:tcPr>
          <w:p w14:paraId="6C8D2511" w14:textId="77777777" w:rsidR="00F46737" w:rsidRPr="00CF7654" w:rsidRDefault="00F46737" w:rsidP="00697D57">
            <w:pPr>
              <w:widowControl w:val="0"/>
              <w:jc w:val="center"/>
              <w:rPr>
                <w:sz w:val="22"/>
                <w:szCs w:val="22"/>
                <w:lang w:val="uk-UA"/>
              </w:rPr>
            </w:pPr>
            <w:r w:rsidRPr="00CF7654">
              <w:rPr>
                <w:sz w:val="22"/>
                <w:szCs w:val="22"/>
                <w:lang w:val="uk-UA"/>
              </w:rPr>
              <w:t>людина</w:t>
            </w:r>
          </w:p>
        </w:tc>
        <w:tc>
          <w:tcPr>
            <w:tcW w:w="805" w:type="dxa"/>
          </w:tcPr>
          <w:p w14:paraId="7DD3EDF0" w14:textId="77777777" w:rsidR="00F46737" w:rsidRPr="00CF7654" w:rsidRDefault="00F46737" w:rsidP="00697D57">
            <w:pPr>
              <w:widowControl w:val="0"/>
              <w:jc w:val="center"/>
              <w:rPr>
                <w:sz w:val="22"/>
                <w:szCs w:val="22"/>
                <w:lang w:val="uk-UA"/>
              </w:rPr>
            </w:pPr>
            <w:r w:rsidRPr="00CF7654">
              <w:rPr>
                <w:sz w:val="22"/>
                <w:szCs w:val="22"/>
                <w:lang w:val="uk-UA"/>
              </w:rPr>
              <w:t>23</w:t>
            </w:r>
          </w:p>
        </w:tc>
        <w:tc>
          <w:tcPr>
            <w:tcW w:w="2356" w:type="dxa"/>
          </w:tcPr>
          <w:p w14:paraId="465C1EA0" w14:textId="77777777" w:rsidR="00F46737" w:rsidRPr="00CF7654" w:rsidRDefault="00F46737" w:rsidP="00697D57">
            <w:pPr>
              <w:widowControl w:val="0"/>
              <w:jc w:val="center"/>
              <w:rPr>
                <w:sz w:val="22"/>
                <w:szCs w:val="22"/>
                <w:lang w:val="uk-UA"/>
              </w:rPr>
            </w:pPr>
          </w:p>
        </w:tc>
      </w:tr>
      <w:tr w:rsidR="00F46737" w:rsidRPr="00CF7654" w14:paraId="6F437927" w14:textId="77777777" w:rsidTr="00697D57">
        <w:tc>
          <w:tcPr>
            <w:tcW w:w="645" w:type="dxa"/>
          </w:tcPr>
          <w:p w14:paraId="1318B67D" w14:textId="77777777" w:rsidR="00F46737" w:rsidRPr="00CF7654" w:rsidRDefault="00F46737" w:rsidP="00697D57">
            <w:pPr>
              <w:jc w:val="both"/>
              <w:rPr>
                <w:sz w:val="22"/>
                <w:szCs w:val="22"/>
                <w:lang w:val="uk-UA"/>
              </w:rPr>
            </w:pPr>
          </w:p>
        </w:tc>
        <w:tc>
          <w:tcPr>
            <w:tcW w:w="4771" w:type="dxa"/>
          </w:tcPr>
          <w:p w14:paraId="361D9DF8" w14:textId="77777777" w:rsidR="00F46737" w:rsidRPr="00CF7654" w:rsidRDefault="00F46737" w:rsidP="00697D57">
            <w:pPr>
              <w:suppressAutoHyphens/>
              <w:jc w:val="center"/>
              <w:rPr>
                <w:b/>
                <w:sz w:val="22"/>
                <w:szCs w:val="22"/>
                <w:lang w:val="uk-UA"/>
              </w:rPr>
            </w:pPr>
            <w:r w:rsidRPr="00CF7654">
              <w:rPr>
                <w:b/>
                <w:sz w:val="22"/>
                <w:szCs w:val="22"/>
                <w:lang w:val="uk-UA"/>
              </w:rPr>
              <w:t>Перелік правил</w:t>
            </w:r>
          </w:p>
        </w:tc>
        <w:tc>
          <w:tcPr>
            <w:tcW w:w="1091" w:type="dxa"/>
          </w:tcPr>
          <w:p w14:paraId="294214A7" w14:textId="77777777" w:rsidR="00F46737" w:rsidRPr="00CF7654" w:rsidRDefault="00F46737" w:rsidP="00697D57">
            <w:pPr>
              <w:widowControl w:val="0"/>
              <w:jc w:val="center"/>
              <w:rPr>
                <w:sz w:val="22"/>
                <w:szCs w:val="22"/>
                <w:lang w:val="uk-UA"/>
              </w:rPr>
            </w:pPr>
          </w:p>
        </w:tc>
        <w:tc>
          <w:tcPr>
            <w:tcW w:w="805" w:type="dxa"/>
          </w:tcPr>
          <w:p w14:paraId="671F112C" w14:textId="77777777" w:rsidR="00F46737" w:rsidRPr="00CF7654" w:rsidRDefault="00F46737" w:rsidP="00697D57">
            <w:pPr>
              <w:widowControl w:val="0"/>
              <w:jc w:val="center"/>
              <w:rPr>
                <w:sz w:val="22"/>
                <w:szCs w:val="22"/>
                <w:lang w:val="uk-UA"/>
              </w:rPr>
            </w:pPr>
          </w:p>
        </w:tc>
        <w:tc>
          <w:tcPr>
            <w:tcW w:w="2356" w:type="dxa"/>
          </w:tcPr>
          <w:p w14:paraId="2DE2C244" w14:textId="77777777" w:rsidR="00F46737" w:rsidRPr="00CF7654" w:rsidRDefault="00F46737" w:rsidP="00697D57">
            <w:pPr>
              <w:widowControl w:val="0"/>
              <w:jc w:val="center"/>
              <w:rPr>
                <w:sz w:val="22"/>
                <w:szCs w:val="22"/>
                <w:lang w:val="uk-UA"/>
              </w:rPr>
            </w:pPr>
          </w:p>
        </w:tc>
      </w:tr>
      <w:tr w:rsidR="00F46737" w:rsidRPr="00CF7654" w14:paraId="7E428114" w14:textId="77777777" w:rsidTr="00697D57">
        <w:tc>
          <w:tcPr>
            <w:tcW w:w="645" w:type="dxa"/>
          </w:tcPr>
          <w:p w14:paraId="0A8BADD4" w14:textId="77777777" w:rsidR="00F46737" w:rsidRPr="00CF7654" w:rsidRDefault="00F46737" w:rsidP="00697D57">
            <w:pPr>
              <w:jc w:val="both"/>
              <w:rPr>
                <w:sz w:val="22"/>
                <w:szCs w:val="22"/>
                <w:lang w:val="uk-UA"/>
              </w:rPr>
            </w:pPr>
            <w:r w:rsidRPr="00CF7654">
              <w:rPr>
                <w:sz w:val="22"/>
                <w:szCs w:val="22"/>
                <w:lang w:val="uk-UA"/>
              </w:rPr>
              <w:t>1.1</w:t>
            </w:r>
          </w:p>
        </w:tc>
        <w:tc>
          <w:tcPr>
            <w:tcW w:w="4771" w:type="dxa"/>
          </w:tcPr>
          <w:p w14:paraId="2B985DC8" w14:textId="77777777" w:rsidR="00F46737" w:rsidRPr="00CF7654" w:rsidRDefault="00F46737" w:rsidP="00697D57">
            <w:pPr>
              <w:suppressAutoHyphens/>
              <w:rPr>
                <w:sz w:val="22"/>
                <w:szCs w:val="22"/>
                <w:lang w:val="uk-UA" w:eastAsia="uk-UA"/>
              </w:rPr>
            </w:pPr>
            <w:r w:rsidRPr="00CF7654">
              <w:rPr>
                <w:sz w:val="22"/>
                <w:szCs w:val="22"/>
                <w:lang w:val="uk-UA" w:eastAsia="uk-UA"/>
              </w:rPr>
              <w:t xml:space="preserve">Проведення навчання та перевірки знань з питань охорони праці: </w:t>
            </w:r>
            <w:r w:rsidRPr="00CF7654">
              <w:rPr>
                <w:color w:val="333333"/>
                <w:sz w:val="22"/>
                <w:szCs w:val="22"/>
                <w:lang w:val="uk-UA"/>
              </w:rPr>
              <w:t>НПАОП 0.00-1.76-15 Правила безпеки систем газопостачання</w:t>
            </w:r>
          </w:p>
        </w:tc>
        <w:tc>
          <w:tcPr>
            <w:tcW w:w="1091" w:type="dxa"/>
          </w:tcPr>
          <w:p w14:paraId="0F528B3D" w14:textId="77777777" w:rsidR="00F46737" w:rsidRPr="00CF7654" w:rsidRDefault="00F46737" w:rsidP="00697D57">
            <w:pPr>
              <w:widowControl w:val="0"/>
              <w:jc w:val="center"/>
              <w:rPr>
                <w:sz w:val="22"/>
                <w:szCs w:val="22"/>
                <w:lang w:val="uk-UA"/>
              </w:rPr>
            </w:pPr>
            <w:r w:rsidRPr="00CF7654">
              <w:rPr>
                <w:sz w:val="22"/>
                <w:szCs w:val="22"/>
                <w:lang w:val="uk-UA"/>
              </w:rPr>
              <w:t>людина</w:t>
            </w:r>
          </w:p>
        </w:tc>
        <w:tc>
          <w:tcPr>
            <w:tcW w:w="805" w:type="dxa"/>
          </w:tcPr>
          <w:p w14:paraId="6CB464DF" w14:textId="77777777" w:rsidR="00F46737" w:rsidRPr="00CF7654" w:rsidRDefault="00F46737" w:rsidP="00697D57">
            <w:pPr>
              <w:widowControl w:val="0"/>
              <w:jc w:val="center"/>
              <w:rPr>
                <w:sz w:val="22"/>
                <w:szCs w:val="22"/>
                <w:lang w:val="uk-UA"/>
              </w:rPr>
            </w:pPr>
            <w:r w:rsidRPr="00CF7654">
              <w:rPr>
                <w:sz w:val="22"/>
                <w:szCs w:val="22"/>
                <w:lang w:val="uk-UA"/>
              </w:rPr>
              <w:t>9</w:t>
            </w:r>
          </w:p>
        </w:tc>
        <w:tc>
          <w:tcPr>
            <w:tcW w:w="2356" w:type="dxa"/>
          </w:tcPr>
          <w:p w14:paraId="5F8EA450" w14:textId="77777777" w:rsidR="00F46737" w:rsidRPr="00CF7654" w:rsidRDefault="00F46737" w:rsidP="00697D57">
            <w:pPr>
              <w:widowControl w:val="0"/>
              <w:jc w:val="center"/>
              <w:rPr>
                <w:sz w:val="22"/>
                <w:szCs w:val="22"/>
                <w:lang w:val="uk-UA"/>
              </w:rPr>
            </w:pPr>
            <w:r w:rsidRPr="00CF7654">
              <w:rPr>
                <w:rFonts w:eastAsiaTheme="minorHAnsi"/>
                <w:sz w:val="22"/>
                <w:szCs w:val="22"/>
                <w:lang w:val="uk-UA" w:eastAsia="en-US"/>
              </w:rPr>
              <w:t>всі керівники</w:t>
            </w:r>
          </w:p>
        </w:tc>
      </w:tr>
      <w:tr w:rsidR="00F46737" w:rsidRPr="00CF7654" w14:paraId="7015FC2A" w14:textId="77777777" w:rsidTr="00697D57">
        <w:tc>
          <w:tcPr>
            <w:tcW w:w="645" w:type="dxa"/>
          </w:tcPr>
          <w:p w14:paraId="585ECB4F" w14:textId="77777777" w:rsidR="00F46737" w:rsidRPr="00CF7654" w:rsidRDefault="00F46737" w:rsidP="00697D57">
            <w:pPr>
              <w:jc w:val="both"/>
              <w:rPr>
                <w:sz w:val="22"/>
                <w:szCs w:val="22"/>
                <w:lang w:val="uk-UA"/>
              </w:rPr>
            </w:pPr>
            <w:r w:rsidRPr="00CF7654">
              <w:rPr>
                <w:sz w:val="22"/>
                <w:szCs w:val="22"/>
                <w:lang w:val="uk-UA"/>
              </w:rPr>
              <w:t>1.2</w:t>
            </w:r>
          </w:p>
        </w:tc>
        <w:tc>
          <w:tcPr>
            <w:tcW w:w="4771" w:type="dxa"/>
          </w:tcPr>
          <w:p w14:paraId="47AA7708" w14:textId="77777777" w:rsidR="00F46737" w:rsidRPr="00CF7654" w:rsidRDefault="00F46737" w:rsidP="00697D57">
            <w:pPr>
              <w:suppressAutoHyphens/>
              <w:rPr>
                <w:sz w:val="22"/>
                <w:szCs w:val="22"/>
                <w:lang w:val="uk-UA" w:eastAsia="uk-UA"/>
              </w:rPr>
            </w:pPr>
            <w:r w:rsidRPr="00CF7654">
              <w:rPr>
                <w:sz w:val="22"/>
                <w:szCs w:val="22"/>
                <w:lang w:val="uk-UA" w:eastAsia="uk-UA"/>
              </w:rPr>
              <w:t xml:space="preserve">Проведення навчання та перевірки знань з питань охорони праці: </w:t>
            </w:r>
            <w:r w:rsidRPr="00CF7654">
              <w:rPr>
                <w:rFonts w:eastAsiaTheme="minorHAnsi"/>
                <w:sz w:val="22"/>
                <w:szCs w:val="22"/>
                <w:lang w:val="uk-UA" w:eastAsia="en-US"/>
              </w:rPr>
              <w:t>НПАОП 40.1-1.21-98 Правила безпечної експлуатації електроустановок споживачів (ПБЕЕС)</w:t>
            </w:r>
          </w:p>
        </w:tc>
        <w:tc>
          <w:tcPr>
            <w:tcW w:w="1091" w:type="dxa"/>
          </w:tcPr>
          <w:p w14:paraId="71A545DF" w14:textId="77777777" w:rsidR="00F46737" w:rsidRPr="00CF7654" w:rsidRDefault="00F46737" w:rsidP="00697D57">
            <w:pPr>
              <w:widowControl w:val="0"/>
              <w:jc w:val="center"/>
              <w:rPr>
                <w:sz w:val="22"/>
                <w:szCs w:val="22"/>
                <w:lang w:val="uk-UA"/>
              </w:rPr>
            </w:pPr>
            <w:r w:rsidRPr="00CF7654">
              <w:rPr>
                <w:sz w:val="22"/>
                <w:szCs w:val="22"/>
                <w:lang w:val="uk-UA"/>
              </w:rPr>
              <w:t>людина</w:t>
            </w:r>
          </w:p>
        </w:tc>
        <w:tc>
          <w:tcPr>
            <w:tcW w:w="805" w:type="dxa"/>
          </w:tcPr>
          <w:p w14:paraId="6C765F4A" w14:textId="77777777" w:rsidR="00F46737" w:rsidRPr="00CF7654" w:rsidRDefault="00F46737" w:rsidP="00697D57">
            <w:pPr>
              <w:widowControl w:val="0"/>
              <w:jc w:val="center"/>
              <w:rPr>
                <w:sz w:val="22"/>
                <w:szCs w:val="22"/>
                <w:lang w:val="uk-UA"/>
              </w:rPr>
            </w:pPr>
            <w:r w:rsidRPr="00CF7654">
              <w:rPr>
                <w:sz w:val="22"/>
                <w:szCs w:val="22"/>
                <w:lang w:val="uk-UA"/>
              </w:rPr>
              <w:t>8</w:t>
            </w:r>
          </w:p>
        </w:tc>
        <w:tc>
          <w:tcPr>
            <w:tcW w:w="2356" w:type="dxa"/>
          </w:tcPr>
          <w:p w14:paraId="14328DA6" w14:textId="77777777" w:rsidR="00F46737" w:rsidRPr="00CF7654" w:rsidRDefault="00F46737" w:rsidP="00697D57">
            <w:pPr>
              <w:autoSpaceDE w:val="0"/>
              <w:autoSpaceDN w:val="0"/>
              <w:adjustRightInd w:val="0"/>
              <w:rPr>
                <w:rFonts w:eastAsiaTheme="minorHAnsi"/>
                <w:sz w:val="22"/>
                <w:szCs w:val="22"/>
                <w:lang w:val="uk-UA" w:eastAsia="en-US"/>
              </w:rPr>
            </w:pPr>
            <w:r w:rsidRPr="00CF7654">
              <w:rPr>
                <w:rFonts w:eastAsiaTheme="minorHAnsi"/>
                <w:sz w:val="22"/>
                <w:szCs w:val="22"/>
                <w:lang w:val="uk-UA" w:eastAsia="en-US"/>
              </w:rPr>
              <w:t>4 – керівника та</w:t>
            </w:r>
          </w:p>
          <w:p w14:paraId="7270E534" w14:textId="77777777" w:rsidR="00F46737" w:rsidRPr="00CF7654" w:rsidRDefault="00F46737" w:rsidP="00697D57">
            <w:pPr>
              <w:widowControl w:val="0"/>
              <w:rPr>
                <w:sz w:val="22"/>
                <w:szCs w:val="22"/>
                <w:lang w:val="uk-UA"/>
              </w:rPr>
            </w:pPr>
            <w:r w:rsidRPr="00CF7654">
              <w:rPr>
                <w:rFonts w:eastAsiaTheme="minorHAnsi"/>
                <w:sz w:val="22"/>
                <w:szCs w:val="22"/>
                <w:lang w:val="uk-UA" w:eastAsia="en-US"/>
              </w:rPr>
              <w:t>4 - електромонтери</w:t>
            </w:r>
          </w:p>
        </w:tc>
      </w:tr>
      <w:tr w:rsidR="00F46737" w:rsidRPr="00CF7654" w14:paraId="27EE9E18" w14:textId="77777777" w:rsidTr="00697D57">
        <w:tc>
          <w:tcPr>
            <w:tcW w:w="645" w:type="dxa"/>
          </w:tcPr>
          <w:p w14:paraId="1677D644" w14:textId="77777777" w:rsidR="00F46737" w:rsidRPr="00CF7654" w:rsidRDefault="00F46737" w:rsidP="00697D57">
            <w:pPr>
              <w:jc w:val="both"/>
              <w:rPr>
                <w:sz w:val="22"/>
                <w:szCs w:val="22"/>
                <w:lang w:val="uk-UA"/>
              </w:rPr>
            </w:pPr>
            <w:r w:rsidRPr="00CF7654">
              <w:rPr>
                <w:sz w:val="22"/>
                <w:szCs w:val="22"/>
                <w:lang w:val="uk-UA"/>
              </w:rPr>
              <w:t>1.3</w:t>
            </w:r>
          </w:p>
        </w:tc>
        <w:tc>
          <w:tcPr>
            <w:tcW w:w="4771" w:type="dxa"/>
          </w:tcPr>
          <w:p w14:paraId="0E639DB0" w14:textId="77777777" w:rsidR="00F46737" w:rsidRPr="00CF7654" w:rsidRDefault="00F46737" w:rsidP="00697D57">
            <w:pPr>
              <w:suppressAutoHyphens/>
              <w:rPr>
                <w:sz w:val="22"/>
                <w:szCs w:val="22"/>
                <w:lang w:val="uk-UA" w:eastAsia="uk-UA"/>
              </w:rPr>
            </w:pPr>
            <w:r w:rsidRPr="00CF7654">
              <w:rPr>
                <w:sz w:val="22"/>
                <w:szCs w:val="22"/>
                <w:lang w:val="uk-UA" w:eastAsia="uk-UA"/>
              </w:rPr>
              <w:t>Проведення навчання та перевірки знань: Правила технічної експлуатації теплових установок і мереж:</w:t>
            </w:r>
          </w:p>
          <w:p w14:paraId="1EA51825" w14:textId="77777777" w:rsidR="00F46737" w:rsidRPr="00CF7654" w:rsidRDefault="00F46737" w:rsidP="00F46737">
            <w:pPr>
              <w:pStyle w:val="af6"/>
              <w:numPr>
                <w:ilvl w:val="0"/>
                <w:numId w:val="26"/>
              </w:numPr>
              <w:suppressAutoHyphens/>
              <w:spacing w:after="0" w:line="240" w:lineRule="auto"/>
              <w:rPr>
                <w:rFonts w:ascii="Times New Roman" w:hAnsi="Times New Roman"/>
                <w:lang w:val="uk-UA"/>
              </w:rPr>
            </w:pPr>
            <w:r w:rsidRPr="00CF7654">
              <w:rPr>
                <w:rFonts w:ascii="Times New Roman" w:hAnsi="Times New Roman"/>
                <w:kern w:val="1"/>
                <w:lang w:val="uk-UA"/>
              </w:rPr>
              <w:t>Правила технічної експлуатації теплових установок і мереж;</w:t>
            </w:r>
          </w:p>
          <w:p w14:paraId="3E9C078D" w14:textId="77777777" w:rsidR="00F46737" w:rsidRPr="00CF7654" w:rsidRDefault="00F46737" w:rsidP="00F46737">
            <w:pPr>
              <w:pStyle w:val="af6"/>
              <w:numPr>
                <w:ilvl w:val="0"/>
                <w:numId w:val="26"/>
              </w:numPr>
              <w:suppressAutoHyphens/>
              <w:spacing w:after="0" w:line="240" w:lineRule="auto"/>
              <w:rPr>
                <w:rFonts w:ascii="Times New Roman" w:hAnsi="Times New Roman"/>
                <w:kern w:val="1"/>
                <w:lang w:val="uk-UA"/>
              </w:rPr>
            </w:pPr>
            <w:r w:rsidRPr="00CF7654">
              <w:rPr>
                <w:rFonts w:ascii="Times New Roman" w:hAnsi="Times New Roman"/>
                <w:kern w:val="1"/>
                <w:lang w:val="uk-UA"/>
              </w:rPr>
              <w:t xml:space="preserve"> Правила підготовки теплового господарства до опалювального періоду; </w:t>
            </w:r>
          </w:p>
          <w:p w14:paraId="02DA8A56" w14:textId="77777777" w:rsidR="00F46737" w:rsidRPr="00CF7654" w:rsidRDefault="00F46737" w:rsidP="00F46737">
            <w:pPr>
              <w:pStyle w:val="af6"/>
              <w:numPr>
                <w:ilvl w:val="0"/>
                <w:numId w:val="26"/>
              </w:numPr>
              <w:suppressAutoHyphens/>
              <w:rPr>
                <w:lang w:val="uk-UA" w:eastAsia="uk-UA"/>
              </w:rPr>
            </w:pPr>
            <w:r w:rsidRPr="00CF7654">
              <w:rPr>
                <w:rFonts w:ascii="Times New Roman" w:hAnsi="Times New Roman"/>
                <w:kern w:val="1"/>
                <w:lang w:val="uk-UA"/>
              </w:rPr>
              <w:t>Правила користування теплової енергією).</w:t>
            </w:r>
          </w:p>
        </w:tc>
        <w:tc>
          <w:tcPr>
            <w:tcW w:w="1091" w:type="dxa"/>
          </w:tcPr>
          <w:p w14:paraId="14F9BE1E" w14:textId="77777777" w:rsidR="00F46737" w:rsidRPr="00CF7654" w:rsidRDefault="00F46737" w:rsidP="00697D57">
            <w:pPr>
              <w:widowControl w:val="0"/>
              <w:jc w:val="center"/>
              <w:rPr>
                <w:sz w:val="22"/>
                <w:szCs w:val="22"/>
                <w:lang w:val="uk-UA"/>
              </w:rPr>
            </w:pPr>
            <w:r w:rsidRPr="00CF7654">
              <w:rPr>
                <w:sz w:val="22"/>
                <w:szCs w:val="22"/>
                <w:lang w:val="uk-UA"/>
              </w:rPr>
              <w:t>людина</w:t>
            </w:r>
          </w:p>
        </w:tc>
        <w:tc>
          <w:tcPr>
            <w:tcW w:w="805" w:type="dxa"/>
          </w:tcPr>
          <w:p w14:paraId="4BFF3335" w14:textId="77777777" w:rsidR="00F46737" w:rsidRPr="00CF7654" w:rsidRDefault="00F46737" w:rsidP="00697D57">
            <w:pPr>
              <w:widowControl w:val="0"/>
              <w:jc w:val="center"/>
              <w:rPr>
                <w:sz w:val="22"/>
                <w:szCs w:val="22"/>
                <w:lang w:val="uk-UA"/>
              </w:rPr>
            </w:pPr>
            <w:r w:rsidRPr="00CF7654">
              <w:rPr>
                <w:sz w:val="22"/>
                <w:szCs w:val="22"/>
                <w:lang w:val="uk-UA"/>
              </w:rPr>
              <w:t>6</w:t>
            </w:r>
          </w:p>
        </w:tc>
        <w:tc>
          <w:tcPr>
            <w:tcW w:w="2356" w:type="dxa"/>
          </w:tcPr>
          <w:p w14:paraId="185C4C7A" w14:textId="77777777" w:rsidR="00F46737" w:rsidRPr="00CF7654" w:rsidRDefault="00F46737" w:rsidP="00697D57">
            <w:pPr>
              <w:widowControl w:val="0"/>
              <w:jc w:val="center"/>
              <w:rPr>
                <w:sz w:val="22"/>
                <w:szCs w:val="22"/>
                <w:lang w:val="uk-UA"/>
              </w:rPr>
            </w:pPr>
            <w:r w:rsidRPr="00CF7654">
              <w:rPr>
                <w:rFonts w:eastAsiaTheme="minorHAnsi"/>
                <w:sz w:val="22"/>
                <w:szCs w:val="22"/>
                <w:lang w:val="uk-UA" w:eastAsia="en-US"/>
              </w:rPr>
              <w:t>всі керівники</w:t>
            </w:r>
          </w:p>
        </w:tc>
      </w:tr>
    </w:tbl>
    <w:p w14:paraId="0833B3EC" w14:textId="77777777" w:rsidR="00F46737" w:rsidRPr="00CF7654" w:rsidRDefault="00F46737" w:rsidP="0075389F">
      <w:pPr>
        <w:widowControl w:val="0"/>
        <w:jc w:val="center"/>
        <w:rPr>
          <w:b/>
          <w:sz w:val="22"/>
          <w:szCs w:val="22"/>
          <w:lang w:val="uk-UA"/>
        </w:rPr>
      </w:pPr>
    </w:p>
    <w:sectPr w:rsidR="00F46737" w:rsidRPr="00CF7654"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DC56" w14:textId="77777777" w:rsidR="00194281" w:rsidRDefault="00194281">
      <w:r>
        <w:separator/>
      </w:r>
    </w:p>
  </w:endnote>
  <w:endnote w:type="continuationSeparator" w:id="0">
    <w:p w14:paraId="691C2654" w14:textId="77777777" w:rsidR="00194281" w:rsidRDefault="0019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349"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3A6C" w14:textId="7129F4C6" w:rsidR="00A256E7" w:rsidRPr="00A256E7" w:rsidRDefault="00032C15"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F71EE1A" wp14:editId="3C7860E5">
              <wp:simplePos x="0" y="0"/>
              <wp:positionH relativeFrom="column">
                <wp:posOffset>-180340</wp:posOffset>
              </wp:positionH>
              <wp:positionV relativeFrom="paragraph">
                <wp:posOffset>7620</wp:posOffset>
              </wp:positionV>
              <wp:extent cx="6357620" cy="14605"/>
              <wp:effectExtent l="10160" t="7620" r="13970" b="6350"/>
              <wp:wrapNone/>
              <wp:docPr id="125945208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ABBC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F1091F">
      <w:rPr>
        <w:sz w:val="20"/>
        <w:szCs w:val="20"/>
        <w:lang w:val="uk-UA"/>
      </w:rPr>
      <w:t>Навчання відповідно до Нормативно-правових актів з охорони праці та Правил технічної експлуатації теплових установок і мереж, код ДК 021:2015: 80510000-2 — Послуги з професійної підготовки спеціалістів</w:t>
    </w:r>
  </w:p>
  <w:p w14:paraId="1B122CE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4807"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C700" w14:textId="77777777" w:rsidR="00194281" w:rsidRDefault="00194281">
      <w:r>
        <w:separator/>
      </w:r>
    </w:p>
  </w:footnote>
  <w:footnote w:type="continuationSeparator" w:id="0">
    <w:p w14:paraId="1DA46642" w14:textId="77777777" w:rsidR="00194281" w:rsidRDefault="0019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1AA5"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4DF706"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72" w14:textId="7BC1264A" w:rsidR="002D6492" w:rsidRPr="003C4B6B" w:rsidRDefault="00032C15"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5DA06AB" wp14:editId="50C6F566">
              <wp:simplePos x="0" y="0"/>
              <wp:positionH relativeFrom="column">
                <wp:posOffset>-17145</wp:posOffset>
              </wp:positionH>
              <wp:positionV relativeFrom="paragraph">
                <wp:posOffset>476885</wp:posOffset>
              </wp:positionV>
              <wp:extent cx="6329045" cy="13970"/>
              <wp:effectExtent l="11430" t="10160" r="12700" b="13970"/>
              <wp:wrapNone/>
              <wp:docPr id="15991129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34C5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83E7742" wp14:editId="3C1998C5">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47C6"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284BA1"/>
    <w:multiLevelType w:val="hybridMultilevel"/>
    <w:tmpl w:val="16B806DA"/>
    <w:lvl w:ilvl="0" w:tplc="3E3CDF82">
      <w:start w:val="2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83753068">
    <w:abstractNumId w:val="21"/>
  </w:num>
  <w:num w:numId="2" w16cid:durableId="483817304">
    <w:abstractNumId w:val="23"/>
  </w:num>
  <w:num w:numId="3" w16cid:durableId="930820098">
    <w:abstractNumId w:val="0"/>
  </w:num>
  <w:num w:numId="4" w16cid:durableId="1786776715">
    <w:abstractNumId w:val="24"/>
  </w:num>
  <w:num w:numId="5" w16cid:durableId="1343514041">
    <w:abstractNumId w:val="7"/>
  </w:num>
  <w:num w:numId="6" w16cid:durableId="1156798570">
    <w:abstractNumId w:val="5"/>
  </w:num>
  <w:num w:numId="7" w16cid:durableId="780808740">
    <w:abstractNumId w:val="6"/>
  </w:num>
  <w:num w:numId="8" w16cid:durableId="1093866703">
    <w:abstractNumId w:val="20"/>
  </w:num>
  <w:num w:numId="9" w16cid:durableId="1990551067">
    <w:abstractNumId w:val="1"/>
  </w:num>
  <w:num w:numId="10" w16cid:durableId="1836800277">
    <w:abstractNumId w:val="17"/>
  </w:num>
  <w:num w:numId="11" w16cid:durableId="1242518492">
    <w:abstractNumId w:val="15"/>
  </w:num>
  <w:num w:numId="12" w16cid:durableId="1417022224">
    <w:abstractNumId w:val="13"/>
  </w:num>
  <w:num w:numId="13" w16cid:durableId="408043187">
    <w:abstractNumId w:val="14"/>
  </w:num>
  <w:num w:numId="14" w16cid:durableId="528955881">
    <w:abstractNumId w:val="3"/>
  </w:num>
  <w:num w:numId="15" w16cid:durableId="1718626486">
    <w:abstractNumId w:val="16"/>
  </w:num>
  <w:num w:numId="16" w16cid:durableId="2050106949">
    <w:abstractNumId w:val="2"/>
  </w:num>
  <w:num w:numId="17" w16cid:durableId="1778600421">
    <w:abstractNumId w:val="12"/>
  </w:num>
  <w:num w:numId="18" w16cid:durableId="534079526">
    <w:abstractNumId w:val="4"/>
  </w:num>
  <w:num w:numId="19" w16cid:durableId="1337423969">
    <w:abstractNumId w:val="8"/>
  </w:num>
  <w:num w:numId="20" w16cid:durableId="1997807242">
    <w:abstractNumId w:val="19"/>
  </w:num>
  <w:num w:numId="21" w16cid:durableId="1331710256">
    <w:abstractNumId w:val="9"/>
  </w:num>
  <w:num w:numId="22" w16cid:durableId="84498675">
    <w:abstractNumId w:val="18"/>
  </w:num>
  <w:num w:numId="23" w16cid:durableId="595793385">
    <w:abstractNumId w:val="11"/>
  </w:num>
  <w:num w:numId="24" w16cid:durableId="1110470771">
    <w:abstractNumId w:val="22"/>
  </w:num>
  <w:num w:numId="25" w16cid:durableId="867447188">
    <w:abstractNumId w:val="22"/>
  </w:num>
  <w:num w:numId="26" w16cid:durableId="1699774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2C15"/>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C6A"/>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281"/>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1D7"/>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AB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086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74D"/>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389F"/>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6F13"/>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1E4F"/>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5D0C"/>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654"/>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462D"/>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30D"/>
    <w:rsid w:val="00DB2D70"/>
    <w:rsid w:val="00DB3C59"/>
    <w:rsid w:val="00DB4033"/>
    <w:rsid w:val="00DC0E7D"/>
    <w:rsid w:val="00DC243E"/>
    <w:rsid w:val="00DC40DC"/>
    <w:rsid w:val="00DC4930"/>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6F4A"/>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91F"/>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6737"/>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D0F9B"/>
  <w15:chartTrackingRefBased/>
  <w15:docId w15:val="{EA805034-ABA8-4E26-963F-07A91EAE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DB230D"/>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3004</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12</cp:revision>
  <cp:lastPrinted>2021-11-17T09:02:00Z</cp:lastPrinted>
  <dcterms:created xsi:type="dcterms:W3CDTF">2025-08-15T10:51:00Z</dcterms:created>
  <dcterms:modified xsi:type="dcterms:W3CDTF">2025-08-18T11:37:00Z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