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5DB3A32D" w14:textId="77777777" w:rsidTr="001021AF">
        <w:tc>
          <w:tcPr>
            <w:tcW w:w="4683" w:type="dxa"/>
          </w:tcPr>
          <w:p w14:paraId="07D69502" w14:textId="0F64F972" w:rsidR="00825A6B" w:rsidRPr="007101A5" w:rsidRDefault="00C85F49" w:rsidP="006926A0">
            <w:pPr>
              <w:pStyle w:val="a4"/>
              <w:widowControl w:val="0"/>
              <w:rPr>
                <w:szCs w:val="17"/>
                <w:lang w:val="uk-UA"/>
              </w:rPr>
            </w:pPr>
            <w:r>
              <w:rPr>
                <w:noProof/>
                <w:lang w:val="uk-UA"/>
              </w:rPr>
              <w:drawing>
                <wp:inline distT="0" distB="0" distL="0" distR="0" wp14:anchorId="60DD2917" wp14:editId="57893CCD">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4E1F1DC1"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AC55F84"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0EDFBBC"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64DF1849"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4EEBE035" w14:textId="77777777" w:rsidTr="00C62708">
        <w:tc>
          <w:tcPr>
            <w:tcW w:w="9854" w:type="dxa"/>
            <w:gridSpan w:val="2"/>
          </w:tcPr>
          <w:p w14:paraId="4F87DC73" w14:textId="77777777" w:rsidR="003C4B6B" w:rsidRPr="007101A5" w:rsidRDefault="003C4B6B" w:rsidP="007D7B6F">
            <w:pPr>
              <w:pStyle w:val="1"/>
              <w:keepNext w:val="0"/>
              <w:widowControl w:val="0"/>
              <w:rPr>
                <w:sz w:val="28"/>
                <w:szCs w:val="28"/>
              </w:rPr>
            </w:pPr>
          </w:p>
          <w:p w14:paraId="2A20FF38"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4A053B6D" w14:textId="77777777" w:rsidR="005F3529" w:rsidRPr="007101A5" w:rsidRDefault="005F3529" w:rsidP="0063471D">
      <w:pPr>
        <w:pStyle w:val="a4"/>
        <w:widowControl w:val="0"/>
        <w:jc w:val="both"/>
        <w:rPr>
          <w:sz w:val="24"/>
          <w:szCs w:val="24"/>
          <w:lang w:val="uk-UA"/>
        </w:rPr>
      </w:pPr>
    </w:p>
    <w:p w14:paraId="45C5AD33"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4B9246E2"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7A1ACE97" w14:textId="77777777" w:rsidTr="00C62708">
        <w:tc>
          <w:tcPr>
            <w:tcW w:w="487" w:type="pct"/>
            <w:shd w:val="clear" w:color="auto" w:fill="DEEAF6"/>
          </w:tcPr>
          <w:p w14:paraId="45B61F4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76DA8BBB"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392F73D4"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6C7B5F42"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4025F9C"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7999E8EE" w14:textId="77777777" w:rsidTr="00212515">
        <w:tc>
          <w:tcPr>
            <w:tcW w:w="487" w:type="pct"/>
          </w:tcPr>
          <w:p w14:paraId="71747EC6" w14:textId="560264F7" w:rsidR="00A76484" w:rsidRPr="00AB04C1" w:rsidRDefault="003008DF" w:rsidP="005469FD">
            <w:pPr>
              <w:widowControl w:val="0"/>
              <w:ind w:right="-11"/>
              <w:jc w:val="center"/>
              <w:rPr>
                <w:sz w:val="22"/>
                <w:szCs w:val="22"/>
                <w:lang w:val="uk-UA" w:eastAsia="uk-UA"/>
              </w:rPr>
            </w:pPr>
            <w:r w:rsidRPr="00AB04C1">
              <w:rPr>
                <w:sz w:val="22"/>
                <w:szCs w:val="22"/>
                <w:lang w:val="uk-UA"/>
              </w:rPr>
              <w:t xml:space="preserve">9.01.3 </w:t>
            </w:r>
            <w:r w:rsidR="00BD6E95" w:rsidRPr="00AB04C1">
              <w:rPr>
                <w:sz w:val="22"/>
                <w:szCs w:val="22"/>
                <w:lang w:val="uk-UA" w:eastAsia="uk-UA"/>
              </w:rPr>
              <w:t>(202</w:t>
            </w:r>
            <w:r w:rsidR="00E7717A" w:rsidRPr="00AB04C1">
              <w:rPr>
                <w:sz w:val="22"/>
                <w:szCs w:val="22"/>
                <w:lang w:val="en-US" w:eastAsia="uk-UA"/>
              </w:rPr>
              <w:t>5</w:t>
            </w:r>
            <w:r w:rsidR="00A76484" w:rsidRPr="00AB04C1">
              <w:rPr>
                <w:sz w:val="22"/>
                <w:szCs w:val="22"/>
                <w:lang w:val="uk-UA" w:eastAsia="uk-UA"/>
              </w:rPr>
              <w:t>)</w:t>
            </w:r>
          </w:p>
        </w:tc>
        <w:tc>
          <w:tcPr>
            <w:tcW w:w="1527" w:type="pct"/>
          </w:tcPr>
          <w:p w14:paraId="1D305EF4" w14:textId="26087B7B" w:rsidR="00A76484" w:rsidRPr="00AB04C1" w:rsidRDefault="003008DF" w:rsidP="00A12478">
            <w:pPr>
              <w:widowControl w:val="0"/>
              <w:rPr>
                <w:bCs/>
                <w:sz w:val="22"/>
                <w:szCs w:val="22"/>
                <w:lang w:val="uk-UA"/>
              </w:rPr>
            </w:pPr>
            <w:r w:rsidRPr="00AB04C1">
              <w:rPr>
                <w:b/>
                <w:sz w:val="22"/>
                <w:szCs w:val="22"/>
                <w:lang w:val="uk-UA"/>
              </w:rPr>
              <w:t>Ножі для косарки</w:t>
            </w:r>
            <w:r w:rsidR="0011648F">
              <w:rPr>
                <w:b/>
                <w:sz w:val="22"/>
                <w:szCs w:val="22"/>
                <w:lang w:val="uk-UA"/>
              </w:rPr>
              <w:t>,</w:t>
            </w:r>
            <w:r w:rsidRPr="00AB04C1">
              <w:rPr>
                <w:b/>
                <w:sz w:val="22"/>
                <w:szCs w:val="22"/>
                <w:lang w:val="uk-UA"/>
              </w:rPr>
              <w:t xml:space="preserve"> </w:t>
            </w:r>
            <w:r w:rsidRPr="0011648F">
              <w:rPr>
                <w:bCs/>
                <w:sz w:val="22"/>
                <w:szCs w:val="22"/>
                <w:lang w:val="uk-UA"/>
              </w:rPr>
              <w:t>код ДК 021:2015 - 16810000-6 - Частини для сільськогосподарської техніки</w:t>
            </w:r>
          </w:p>
        </w:tc>
        <w:tc>
          <w:tcPr>
            <w:tcW w:w="947" w:type="pct"/>
          </w:tcPr>
          <w:p w14:paraId="63B77534" w14:textId="23D41D27" w:rsidR="00A76484" w:rsidRPr="00AB04C1" w:rsidRDefault="003008DF" w:rsidP="002D4D30">
            <w:pPr>
              <w:widowControl w:val="0"/>
              <w:jc w:val="center"/>
              <w:rPr>
                <w:sz w:val="22"/>
                <w:szCs w:val="22"/>
                <w:lang w:val="uk-UA"/>
              </w:rPr>
            </w:pPr>
            <w:r w:rsidRPr="00AB04C1">
              <w:rPr>
                <w:sz w:val="22"/>
                <w:szCs w:val="22"/>
                <w:lang w:val="uk-UA"/>
              </w:rPr>
              <w:t>32 859,00</w:t>
            </w:r>
            <w:r w:rsidR="00A76484" w:rsidRPr="00AB04C1">
              <w:rPr>
                <w:sz w:val="22"/>
                <w:szCs w:val="22"/>
                <w:lang w:val="uk-UA"/>
              </w:rPr>
              <w:t xml:space="preserve"> </w:t>
            </w:r>
          </w:p>
          <w:p w14:paraId="10183F6F" w14:textId="77777777" w:rsidR="00A76484" w:rsidRPr="00AB04C1" w:rsidRDefault="00A76484" w:rsidP="002D4D30">
            <w:pPr>
              <w:widowControl w:val="0"/>
              <w:jc w:val="center"/>
              <w:rPr>
                <w:sz w:val="22"/>
                <w:szCs w:val="22"/>
                <w:lang w:val="uk-UA"/>
              </w:rPr>
            </w:pPr>
            <w:r w:rsidRPr="00AB04C1">
              <w:rPr>
                <w:sz w:val="22"/>
                <w:szCs w:val="22"/>
                <w:lang w:val="uk-UA"/>
              </w:rPr>
              <w:t>грн. з ПДВ</w:t>
            </w:r>
          </w:p>
        </w:tc>
        <w:tc>
          <w:tcPr>
            <w:tcW w:w="1102" w:type="pct"/>
          </w:tcPr>
          <w:p w14:paraId="0D463C40" w14:textId="1B6F2E92" w:rsidR="00A76484" w:rsidRPr="00AB04C1" w:rsidRDefault="003008DF" w:rsidP="002D4D30">
            <w:pPr>
              <w:widowControl w:val="0"/>
              <w:jc w:val="center"/>
              <w:rPr>
                <w:sz w:val="22"/>
                <w:szCs w:val="22"/>
                <w:lang w:val="uk-UA"/>
              </w:rPr>
            </w:pPr>
            <w:r w:rsidRPr="00AB04C1">
              <w:rPr>
                <w:sz w:val="22"/>
                <w:szCs w:val="22"/>
                <w:lang w:val="uk-UA"/>
              </w:rPr>
              <w:t>32 859,00</w:t>
            </w:r>
          </w:p>
          <w:p w14:paraId="5A821C32" w14:textId="77777777" w:rsidR="00A76484" w:rsidRPr="00AB04C1" w:rsidRDefault="00A76484" w:rsidP="002D4D30">
            <w:pPr>
              <w:widowControl w:val="0"/>
              <w:jc w:val="center"/>
              <w:rPr>
                <w:sz w:val="22"/>
                <w:szCs w:val="22"/>
                <w:lang w:val="uk-UA"/>
              </w:rPr>
            </w:pPr>
            <w:r w:rsidRPr="00AB04C1">
              <w:rPr>
                <w:sz w:val="22"/>
                <w:szCs w:val="22"/>
                <w:lang w:val="uk-UA"/>
              </w:rPr>
              <w:t xml:space="preserve">грн. без ПДВ </w:t>
            </w:r>
          </w:p>
        </w:tc>
        <w:tc>
          <w:tcPr>
            <w:tcW w:w="936" w:type="pct"/>
          </w:tcPr>
          <w:p w14:paraId="4C8085CD" w14:textId="35E21F03" w:rsidR="00A76484" w:rsidRPr="009C2EB4" w:rsidRDefault="003637FF" w:rsidP="002D4D30">
            <w:pPr>
              <w:widowControl w:val="0"/>
              <w:jc w:val="center"/>
              <w:rPr>
                <w:bCs/>
                <w:color w:val="0000FF"/>
                <w:sz w:val="22"/>
                <w:szCs w:val="22"/>
                <w:lang w:val="uk-UA"/>
              </w:rPr>
            </w:pPr>
            <w:r w:rsidRPr="009C2EB4">
              <w:rPr>
                <w:bCs/>
                <w:sz w:val="22"/>
                <w:szCs w:val="22"/>
                <w:lang w:val="uk-UA"/>
              </w:rPr>
              <w:t>UA-2025-08-22-005509-a</w:t>
            </w:r>
          </w:p>
        </w:tc>
      </w:tr>
    </w:tbl>
    <w:p w14:paraId="2089DC0A" w14:textId="77777777" w:rsidR="00A12478" w:rsidRPr="007101A5" w:rsidRDefault="00A12478" w:rsidP="0063471D">
      <w:pPr>
        <w:pStyle w:val="a4"/>
        <w:widowControl w:val="0"/>
        <w:jc w:val="both"/>
        <w:rPr>
          <w:sz w:val="24"/>
          <w:szCs w:val="24"/>
          <w:lang w:val="uk-UA"/>
        </w:rPr>
      </w:pPr>
    </w:p>
    <w:p w14:paraId="63CB1C8F"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02138B3F"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4E6CDC" w:rsidRPr="007101A5" w14:paraId="1225E768"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42D19593" w14:textId="77777777" w:rsidR="004E6CDC" w:rsidRPr="007101A5" w:rsidRDefault="004E6CDC" w:rsidP="004E6CDC">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7D641040" w14:textId="77777777" w:rsidR="004E6CDC" w:rsidRPr="004E6CDC" w:rsidRDefault="004E6CDC" w:rsidP="004E6CDC">
            <w:pPr>
              <w:rPr>
                <w:noProof/>
                <w:lang w:val="uk-UA"/>
              </w:rPr>
            </w:pPr>
            <w:r w:rsidRPr="004E6CDC">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03CBC9C5" w14:textId="77777777" w:rsidR="004E6CDC" w:rsidRPr="004E6CDC" w:rsidRDefault="004E6CDC" w:rsidP="004E6CDC">
            <w:pPr>
              <w:widowControl w:val="0"/>
              <w:ind w:right="106"/>
              <w:jc w:val="both"/>
              <w:rPr>
                <w:noProof/>
                <w:lang w:val="uk-UA"/>
              </w:rPr>
            </w:pPr>
            <w:r w:rsidRPr="004E6CDC">
              <w:rPr>
                <w:b/>
                <w:bCs/>
                <w:noProof/>
                <w:lang w:val="uk-UA"/>
              </w:rPr>
              <w:t>Обґрунтування очікуваної вартості предмета закупівлі:</w:t>
            </w:r>
            <w:r w:rsidRPr="004E6CDC">
              <w:rPr>
                <w:noProof/>
                <w:lang w:val="uk-UA"/>
              </w:rPr>
              <w:t xml:space="preserve"> У ході проведення моніторингу ринку встановлено , що реалізацію ножів на косарку «AVANT» на території України здійснює лише один офіційний дистриб’ютор (постачальник). Інформація підтверджена відкритими джерелами, а саме офіційним сайтом виробника. </w:t>
            </w:r>
          </w:p>
          <w:p w14:paraId="108AEECD" w14:textId="2646D38B" w:rsidR="004E6CDC" w:rsidRPr="004E6CDC" w:rsidRDefault="004E6CDC" w:rsidP="004E6CDC">
            <w:pPr>
              <w:widowControl w:val="0"/>
              <w:ind w:right="106"/>
              <w:jc w:val="both"/>
              <w:rPr>
                <w:noProof/>
                <w:lang w:val="uk-UA"/>
              </w:rPr>
            </w:pPr>
            <w:r w:rsidRPr="004E6CDC">
              <w:rPr>
                <w:noProof/>
                <w:lang w:val="uk-UA"/>
              </w:rPr>
              <w:t>У зв’язку з цим конкуренція в межах закупівлі об’єктивно обмежена, що зумовило використати для визначення очікуваної вартості лише одну цінову пропозицію.</w:t>
            </w:r>
          </w:p>
          <w:p w14:paraId="02D07505" w14:textId="274CA065" w:rsidR="004E6CDC" w:rsidRPr="004E6CDC" w:rsidRDefault="004E6CDC" w:rsidP="004E6CDC">
            <w:pPr>
              <w:rPr>
                <w:iCs/>
                <w:noProof/>
                <w:lang w:val="uk-UA"/>
              </w:rPr>
            </w:pPr>
            <w:r w:rsidRPr="004E6CDC">
              <w:rPr>
                <w:b/>
                <w:bCs/>
                <w:noProof/>
                <w:lang w:val="uk-UA"/>
              </w:rPr>
              <w:t>Обґрунтування обсягів закупівлі:</w:t>
            </w:r>
            <w:r w:rsidRPr="004E6CDC">
              <w:rPr>
                <w:noProof/>
                <w:lang w:val="uk-UA"/>
              </w:rPr>
              <w:t xml:space="preserve"> Обсяги визначено відповідно до очікуваної потреби</w:t>
            </w:r>
          </w:p>
        </w:tc>
      </w:tr>
      <w:tr w:rsidR="004E6CDC" w:rsidRPr="007101A5" w14:paraId="37DB35E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532B492A" w14:textId="77777777" w:rsidR="004E6CDC" w:rsidRPr="007101A5" w:rsidRDefault="004E6CDC" w:rsidP="004E6CDC">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3EA2AC92" w14:textId="77777777" w:rsidR="004E6CDC" w:rsidRPr="004E6CDC" w:rsidRDefault="004E6CDC" w:rsidP="004E6CDC">
            <w:pPr>
              <w:rPr>
                <w:noProof/>
                <w:lang w:val="uk-UA"/>
              </w:rPr>
            </w:pPr>
            <w:r w:rsidRPr="004E6CDC">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0F951712" w14:textId="08672D61" w:rsidR="004E6CDC" w:rsidRPr="004E6CDC" w:rsidRDefault="004E6CDC" w:rsidP="004E6CDC">
            <w:pPr>
              <w:widowControl w:val="0"/>
              <w:ind w:right="106"/>
              <w:jc w:val="both"/>
              <w:rPr>
                <w:noProof/>
                <w:color w:val="000000" w:themeColor="text1"/>
                <w:lang w:val="uk-UA"/>
              </w:rPr>
            </w:pPr>
            <w:r w:rsidRPr="004E6CDC">
              <w:rPr>
                <w:b/>
                <w:bCs/>
                <w:iCs/>
                <w:noProof/>
                <w:lang w:val="uk-UA"/>
              </w:rPr>
              <w:t>Визначення потреби в закупівлі:</w:t>
            </w:r>
            <w:r w:rsidRPr="004E6CDC">
              <w:rPr>
                <w:i/>
                <w:noProof/>
                <w:lang w:val="uk-UA"/>
              </w:rPr>
              <w:t xml:space="preserve"> </w:t>
            </w:r>
            <w:r w:rsidRPr="004E6CDC">
              <w:rPr>
                <w:noProof/>
                <w:color w:val="000000" w:themeColor="text1"/>
                <w:lang w:val="uk-UA"/>
              </w:rPr>
              <w:t>Забезпечення заміни на газонокосарці ножів, для багатофункціонального міні навантажувача AVANT 750, який використовується для покосу травостою .</w:t>
            </w:r>
          </w:p>
          <w:p w14:paraId="01C32E7E" w14:textId="58E26B9F" w:rsidR="004E6CDC" w:rsidRPr="004E6CDC" w:rsidRDefault="004E6CDC" w:rsidP="004E6CDC">
            <w:pPr>
              <w:rPr>
                <w:i/>
                <w:noProof/>
                <w:lang w:val="uk-UA"/>
              </w:rPr>
            </w:pPr>
            <w:r w:rsidRPr="004E6CDC">
              <w:rPr>
                <w:b/>
                <w:bCs/>
                <w:iCs/>
                <w:noProof/>
                <w:lang w:val="uk-UA"/>
              </w:rPr>
              <w:t>Обґрунтування технічних та якісних характеристик предмета закупівлі:</w:t>
            </w:r>
            <w:r w:rsidRPr="004E6CDC">
              <w:rPr>
                <w:iCs/>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bl>
    <w:p w14:paraId="4D15BB0F" w14:textId="77777777" w:rsidR="006F428D" w:rsidRPr="007101A5" w:rsidRDefault="006F428D" w:rsidP="00A12478">
      <w:pPr>
        <w:rPr>
          <w:b/>
          <w:lang w:val="uk-UA"/>
        </w:rPr>
      </w:pPr>
    </w:p>
    <w:p w14:paraId="55B60BF5" w14:textId="77777777" w:rsidR="006926A0" w:rsidRPr="00DD779C" w:rsidRDefault="006926A0" w:rsidP="006926A0">
      <w:pPr>
        <w:ind w:firstLine="567"/>
        <w:jc w:val="both"/>
        <w:rPr>
          <w:lang w:val="uk-UA"/>
        </w:rPr>
      </w:pPr>
      <w:r w:rsidRPr="00DD779C">
        <w:rPr>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43F5AA38" w14:textId="77777777" w:rsidR="006F428D" w:rsidRPr="00DD779C" w:rsidRDefault="006F428D" w:rsidP="00A12478">
      <w:pPr>
        <w:rPr>
          <w:b/>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832"/>
        <w:gridCol w:w="1731"/>
        <w:gridCol w:w="680"/>
        <w:gridCol w:w="860"/>
        <w:gridCol w:w="2126"/>
        <w:gridCol w:w="2268"/>
      </w:tblGrid>
      <w:tr w:rsidR="008B43AE" w:rsidRPr="00DD779C" w14:paraId="6E894547" w14:textId="77777777" w:rsidTr="00DD779C">
        <w:trPr>
          <w:trHeight w:val="1965"/>
        </w:trPr>
        <w:tc>
          <w:tcPr>
            <w:tcW w:w="493" w:type="dxa"/>
            <w:tcBorders>
              <w:top w:val="single" w:sz="4" w:space="0" w:color="auto"/>
              <w:left w:val="single" w:sz="4" w:space="0" w:color="auto"/>
              <w:right w:val="single" w:sz="4" w:space="0" w:color="auto"/>
            </w:tcBorders>
            <w:shd w:val="clear" w:color="auto" w:fill="D9E2F3"/>
          </w:tcPr>
          <w:p w14:paraId="0B0C122B" w14:textId="77777777" w:rsidR="008B43AE" w:rsidRPr="00DD779C" w:rsidRDefault="008B43AE" w:rsidP="00855475">
            <w:pPr>
              <w:widowControl w:val="0"/>
              <w:ind w:right="-107"/>
              <w:rPr>
                <w:lang w:val="uk-UA"/>
              </w:rPr>
            </w:pPr>
            <w:r w:rsidRPr="00DD779C">
              <w:rPr>
                <w:lang w:val="uk-UA"/>
              </w:rPr>
              <w:t>№ п/п</w:t>
            </w:r>
          </w:p>
        </w:tc>
        <w:tc>
          <w:tcPr>
            <w:tcW w:w="1832" w:type="dxa"/>
            <w:tcBorders>
              <w:top w:val="single" w:sz="4" w:space="0" w:color="auto"/>
              <w:left w:val="single" w:sz="4" w:space="0" w:color="auto"/>
              <w:right w:val="single" w:sz="4" w:space="0" w:color="auto"/>
            </w:tcBorders>
            <w:shd w:val="clear" w:color="auto" w:fill="D9E2F3"/>
          </w:tcPr>
          <w:p w14:paraId="6921A1E8" w14:textId="77777777" w:rsidR="008B43AE" w:rsidRPr="00DD779C" w:rsidRDefault="008B43AE" w:rsidP="00855475">
            <w:pPr>
              <w:widowControl w:val="0"/>
              <w:jc w:val="center"/>
              <w:rPr>
                <w:lang w:val="uk-UA"/>
              </w:rPr>
            </w:pPr>
            <w:r w:rsidRPr="00DD779C">
              <w:rPr>
                <w:lang w:val="uk-UA"/>
              </w:rPr>
              <w:t>Найменування Товару</w:t>
            </w:r>
          </w:p>
          <w:p w14:paraId="4A4D3A84" w14:textId="77777777" w:rsidR="008B43AE" w:rsidRPr="00DD779C" w:rsidRDefault="008B43AE" w:rsidP="00855475">
            <w:pPr>
              <w:widowControl w:val="0"/>
              <w:jc w:val="center"/>
              <w:rPr>
                <w:lang w:val="uk-UA"/>
              </w:rPr>
            </w:pPr>
          </w:p>
        </w:tc>
        <w:tc>
          <w:tcPr>
            <w:tcW w:w="1731" w:type="dxa"/>
            <w:tcBorders>
              <w:top w:val="single" w:sz="4" w:space="0" w:color="auto"/>
              <w:left w:val="single" w:sz="4" w:space="0" w:color="auto"/>
              <w:right w:val="single" w:sz="4" w:space="0" w:color="auto"/>
            </w:tcBorders>
            <w:shd w:val="clear" w:color="auto" w:fill="D9E2F3"/>
          </w:tcPr>
          <w:p w14:paraId="0FCAAFC0" w14:textId="77777777" w:rsidR="008B43AE" w:rsidRPr="00DD779C" w:rsidRDefault="008B43AE" w:rsidP="00855475">
            <w:pPr>
              <w:widowControl w:val="0"/>
              <w:jc w:val="center"/>
              <w:rPr>
                <w:bCs/>
                <w:snapToGrid w:val="0"/>
                <w:lang w:val="uk-UA"/>
              </w:rPr>
            </w:pPr>
            <w:r w:rsidRPr="00DD779C">
              <w:rPr>
                <w:bCs/>
                <w:snapToGrid w:val="0"/>
                <w:lang w:val="uk-UA"/>
              </w:rPr>
              <w:t>Марка або модель, або артикул, або каталожний номер, або інші параметри для ідентифікації Товару</w:t>
            </w:r>
          </w:p>
        </w:tc>
        <w:tc>
          <w:tcPr>
            <w:tcW w:w="680" w:type="dxa"/>
            <w:tcBorders>
              <w:top w:val="single" w:sz="4" w:space="0" w:color="auto"/>
              <w:left w:val="single" w:sz="4" w:space="0" w:color="auto"/>
              <w:right w:val="single" w:sz="4" w:space="0" w:color="auto"/>
            </w:tcBorders>
            <w:shd w:val="clear" w:color="auto" w:fill="D9E2F3"/>
          </w:tcPr>
          <w:p w14:paraId="6DC50B66" w14:textId="77777777" w:rsidR="008B43AE" w:rsidRPr="00DD779C" w:rsidRDefault="008B43AE" w:rsidP="00855475">
            <w:pPr>
              <w:widowControl w:val="0"/>
              <w:jc w:val="center"/>
              <w:rPr>
                <w:lang w:val="uk-UA"/>
              </w:rPr>
            </w:pPr>
            <w:r w:rsidRPr="00DD779C">
              <w:rPr>
                <w:lang w:val="uk-UA"/>
              </w:rPr>
              <w:t>Одиниця</w:t>
            </w:r>
          </w:p>
          <w:p w14:paraId="3B53402A" w14:textId="77777777" w:rsidR="008B43AE" w:rsidRPr="00DD779C" w:rsidRDefault="008B43AE" w:rsidP="00855475">
            <w:pPr>
              <w:widowControl w:val="0"/>
              <w:jc w:val="center"/>
              <w:rPr>
                <w:lang w:val="uk-UA"/>
              </w:rPr>
            </w:pPr>
            <w:r w:rsidRPr="00DD779C">
              <w:rPr>
                <w:lang w:val="uk-UA"/>
              </w:rPr>
              <w:t>виміру</w:t>
            </w:r>
          </w:p>
        </w:tc>
        <w:tc>
          <w:tcPr>
            <w:tcW w:w="860" w:type="dxa"/>
            <w:tcBorders>
              <w:top w:val="single" w:sz="4" w:space="0" w:color="auto"/>
              <w:left w:val="single" w:sz="4" w:space="0" w:color="auto"/>
              <w:right w:val="single" w:sz="4" w:space="0" w:color="auto"/>
            </w:tcBorders>
            <w:shd w:val="clear" w:color="auto" w:fill="D9E2F3"/>
          </w:tcPr>
          <w:p w14:paraId="03D16BB2" w14:textId="77777777" w:rsidR="008B43AE" w:rsidRPr="00DD779C" w:rsidRDefault="008B43AE" w:rsidP="00855475">
            <w:pPr>
              <w:widowControl w:val="0"/>
              <w:jc w:val="center"/>
              <w:rPr>
                <w:lang w:val="uk-UA"/>
              </w:rPr>
            </w:pPr>
            <w:r w:rsidRPr="00DD779C">
              <w:rPr>
                <w:lang w:val="uk-UA"/>
              </w:rPr>
              <w:t>Кіль</w:t>
            </w:r>
          </w:p>
          <w:p w14:paraId="141D3660" w14:textId="77777777" w:rsidR="008B43AE" w:rsidRPr="00DD779C" w:rsidRDefault="008B43AE" w:rsidP="00855475">
            <w:pPr>
              <w:widowControl w:val="0"/>
              <w:jc w:val="center"/>
              <w:rPr>
                <w:lang w:val="uk-UA"/>
              </w:rPr>
            </w:pPr>
            <w:r w:rsidRPr="00DD779C">
              <w:rPr>
                <w:lang w:val="uk-UA"/>
              </w:rPr>
              <w:t>кість</w:t>
            </w:r>
          </w:p>
          <w:p w14:paraId="3FBBC8E2" w14:textId="77777777" w:rsidR="008B43AE" w:rsidRPr="00DD779C" w:rsidRDefault="008B43AE" w:rsidP="00855475">
            <w:pPr>
              <w:widowControl w:val="0"/>
              <w:jc w:val="center"/>
              <w:rPr>
                <w:lang w:val="uk-UA"/>
              </w:rPr>
            </w:pPr>
          </w:p>
        </w:tc>
        <w:tc>
          <w:tcPr>
            <w:tcW w:w="2126" w:type="dxa"/>
            <w:tcBorders>
              <w:top w:val="single" w:sz="4" w:space="0" w:color="auto"/>
              <w:left w:val="single" w:sz="4" w:space="0" w:color="auto"/>
              <w:right w:val="single" w:sz="4" w:space="0" w:color="auto"/>
            </w:tcBorders>
            <w:shd w:val="clear" w:color="auto" w:fill="D9E2F3"/>
          </w:tcPr>
          <w:p w14:paraId="22164EEF" w14:textId="77777777" w:rsidR="008B43AE" w:rsidRPr="00DD779C" w:rsidRDefault="008B43AE" w:rsidP="00855475">
            <w:pPr>
              <w:widowControl w:val="0"/>
              <w:jc w:val="center"/>
              <w:rPr>
                <w:lang w:val="uk-UA"/>
              </w:rPr>
            </w:pPr>
            <w:r w:rsidRPr="00DD779C">
              <w:rPr>
                <w:lang w:val="uk-UA"/>
              </w:rPr>
              <w:t>Технічні та якісні характеристики предмета закупівлі</w:t>
            </w:r>
          </w:p>
          <w:p w14:paraId="4CDEEF94" w14:textId="77777777" w:rsidR="008B43AE" w:rsidRPr="00DD779C" w:rsidRDefault="008B43AE" w:rsidP="00855475">
            <w:pPr>
              <w:widowControl w:val="0"/>
              <w:jc w:val="center"/>
              <w:rPr>
                <w:lang w:val="uk-UA"/>
              </w:rPr>
            </w:pPr>
          </w:p>
        </w:tc>
        <w:tc>
          <w:tcPr>
            <w:tcW w:w="2268" w:type="dxa"/>
            <w:tcBorders>
              <w:top w:val="single" w:sz="4" w:space="0" w:color="auto"/>
              <w:left w:val="single" w:sz="4" w:space="0" w:color="auto"/>
              <w:right w:val="single" w:sz="4" w:space="0" w:color="auto"/>
            </w:tcBorders>
            <w:shd w:val="clear" w:color="auto" w:fill="D9E2F3"/>
          </w:tcPr>
          <w:p w14:paraId="1F99E8EB" w14:textId="77777777" w:rsidR="008B43AE" w:rsidRPr="00DD779C" w:rsidRDefault="008B43AE" w:rsidP="00855475">
            <w:pPr>
              <w:widowControl w:val="0"/>
              <w:jc w:val="center"/>
              <w:rPr>
                <w:i/>
                <w:highlight w:val="yellow"/>
                <w:lang w:val="uk-UA"/>
              </w:rPr>
            </w:pPr>
            <w:r w:rsidRPr="00DD779C">
              <w:rPr>
                <w:lang w:val="uk-UA"/>
              </w:rPr>
              <w:t>Сфера застосування</w:t>
            </w:r>
          </w:p>
        </w:tc>
      </w:tr>
      <w:tr w:rsidR="008B43AE" w:rsidRPr="00DD779C" w14:paraId="7A54EFB2" w14:textId="77777777" w:rsidTr="00DD779C">
        <w:trPr>
          <w:trHeight w:val="229"/>
        </w:trPr>
        <w:tc>
          <w:tcPr>
            <w:tcW w:w="493" w:type="dxa"/>
            <w:tcBorders>
              <w:top w:val="single" w:sz="4" w:space="0" w:color="auto"/>
              <w:left w:val="single" w:sz="4" w:space="0" w:color="auto"/>
              <w:right w:val="single" w:sz="4" w:space="0" w:color="auto"/>
            </w:tcBorders>
          </w:tcPr>
          <w:p w14:paraId="2333A0B1" w14:textId="77777777" w:rsidR="008B43AE" w:rsidRPr="00DD779C" w:rsidRDefault="008B43AE" w:rsidP="00855475">
            <w:pPr>
              <w:widowControl w:val="0"/>
              <w:rPr>
                <w:lang w:val="uk-UA"/>
              </w:rPr>
            </w:pPr>
            <w:r w:rsidRPr="00DD779C">
              <w:rPr>
                <w:lang w:val="uk-UA"/>
              </w:rPr>
              <w:t>1</w:t>
            </w:r>
          </w:p>
        </w:tc>
        <w:tc>
          <w:tcPr>
            <w:tcW w:w="1832" w:type="dxa"/>
            <w:tcBorders>
              <w:top w:val="single" w:sz="4" w:space="0" w:color="auto"/>
              <w:left w:val="single" w:sz="4" w:space="0" w:color="auto"/>
              <w:right w:val="single" w:sz="4" w:space="0" w:color="auto"/>
            </w:tcBorders>
          </w:tcPr>
          <w:p w14:paraId="0EA86F5C" w14:textId="77777777" w:rsidR="008B43AE" w:rsidRPr="00DD779C" w:rsidRDefault="008B43AE" w:rsidP="00855475">
            <w:pPr>
              <w:widowControl w:val="0"/>
              <w:jc w:val="center"/>
              <w:rPr>
                <w:b/>
                <w:lang w:val="uk-UA"/>
              </w:rPr>
            </w:pPr>
            <w:r w:rsidRPr="00DD779C">
              <w:rPr>
                <w:lang w:val="uk-UA"/>
              </w:rPr>
              <w:t>Ніж для косарки</w:t>
            </w:r>
          </w:p>
        </w:tc>
        <w:tc>
          <w:tcPr>
            <w:tcW w:w="1731" w:type="dxa"/>
            <w:tcBorders>
              <w:top w:val="single" w:sz="4" w:space="0" w:color="auto"/>
              <w:left w:val="single" w:sz="4" w:space="0" w:color="auto"/>
              <w:right w:val="single" w:sz="4" w:space="0" w:color="auto"/>
            </w:tcBorders>
          </w:tcPr>
          <w:p w14:paraId="6EC4D3B7" w14:textId="77777777" w:rsidR="008B43AE" w:rsidRPr="00DD779C" w:rsidRDefault="008B43AE" w:rsidP="00855475">
            <w:pPr>
              <w:suppressAutoHyphens/>
              <w:jc w:val="center"/>
              <w:rPr>
                <w:b/>
                <w:bCs/>
                <w:snapToGrid w:val="0"/>
                <w:lang w:val="uk-UA"/>
              </w:rPr>
            </w:pPr>
            <w:r w:rsidRPr="00DD779C">
              <w:t>А34825</w:t>
            </w:r>
          </w:p>
        </w:tc>
        <w:tc>
          <w:tcPr>
            <w:tcW w:w="680" w:type="dxa"/>
            <w:tcBorders>
              <w:top w:val="single" w:sz="4" w:space="0" w:color="auto"/>
              <w:left w:val="single" w:sz="4" w:space="0" w:color="auto"/>
              <w:right w:val="single" w:sz="4" w:space="0" w:color="auto"/>
            </w:tcBorders>
          </w:tcPr>
          <w:p w14:paraId="0FFB15A2" w14:textId="77777777" w:rsidR="008B43AE" w:rsidRPr="00DD779C" w:rsidRDefault="008B43AE" w:rsidP="00855475">
            <w:pPr>
              <w:widowControl w:val="0"/>
              <w:jc w:val="center"/>
              <w:rPr>
                <w:bCs/>
                <w:noProof/>
                <w:lang w:val="uk-UA"/>
              </w:rPr>
            </w:pPr>
            <w:r w:rsidRPr="00DD779C">
              <w:rPr>
                <w:bCs/>
                <w:noProof/>
                <w:lang w:val="uk-UA"/>
              </w:rPr>
              <w:t>шт</w:t>
            </w:r>
          </w:p>
        </w:tc>
        <w:tc>
          <w:tcPr>
            <w:tcW w:w="860" w:type="dxa"/>
            <w:tcBorders>
              <w:top w:val="single" w:sz="4" w:space="0" w:color="auto"/>
              <w:left w:val="single" w:sz="4" w:space="0" w:color="auto"/>
              <w:right w:val="single" w:sz="4" w:space="0" w:color="auto"/>
            </w:tcBorders>
          </w:tcPr>
          <w:p w14:paraId="2E79AEF6" w14:textId="77777777" w:rsidR="008B43AE" w:rsidRPr="00DD779C" w:rsidRDefault="008B43AE" w:rsidP="00855475">
            <w:pPr>
              <w:widowControl w:val="0"/>
              <w:jc w:val="center"/>
              <w:rPr>
                <w:bCs/>
                <w:noProof/>
                <w:lang w:val="uk-UA"/>
              </w:rPr>
            </w:pPr>
            <w:r w:rsidRPr="00DD779C">
              <w:rPr>
                <w:bCs/>
                <w:noProof/>
                <w:lang w:val="uk-UA"/>
              </w:rPr>
              <w:t>9</w:t>
            </w:r>
          </w:p>
        </w:tc>
        <w:tc>
          <w:tcPr>
            <w:tcW w:w="2126" w:type="dxa"/>
            <w:tcBorders>
              <w:top w:val="single" w:sz="4" w:space="0" w:color="auto"/>
              <w:left w:val="single" w:sz="4" w:space="0" w:color="auto"/>
              <w:right w:val="single" w:sz="4" w:space="0" w:color="auto"/>
            </w:tcBorders>
          </w:tcPr>
          <w:p w14:paraId="0D39D54F" w14:textId="77777777" w:rsidR="008B43AE" w:rsidRPr="00DD779C" w:rsidRDefault="008B43AE" w:rsidP="00855475">
            <w:pPr>
              <w:suppressAutoHyphens/>
              <w:jc w:val="both"/>
              <w:rPr>
                <w:lang w:val="uk-UA"/>
              </w:rPr>
            </w:pPr>
            <w:r w:rsidRPr="00DD779C">
              <w:rPr>
                <w:lang w:val="uk-UA"/>
              </w:rPr>
              <w:t>Довжина - 530 мм</w:t>
            </w:r>
          </w:p>
          <w:p w14:paraId="7EB8E52D" w14:textId="77777777" w:rsidR="008B43AE" w:rsidRPr="00DD779C" w:rsidRDefault="008B43AE" w:rsidP="00855475">
            <w:pPr>
              <w:suppressAutoHyphens/>
              <w:jc w:val="both"/>
              <w:rPr>
                <w:lang w:val="uk-UA"/>
              </w:rPr>
            </w:pPr>
            <w:r w:rsidRPr="00DD779C">
              <w:rPr>
                <w:lang w:val="uk-UA"/>
              </w:rPr>
              <w:t>Ширина - 60 мм</w:t>
            </w:r>
          </w:p>
          <w:p w14:paraId="163CF95E" w14:textId="77777777" w:rsidR="008B43AE" w:rsidRPr="00DD779C" w:rsidRDefault="008B43AE" w:rsidP="00855475">
            <w:pPr>
              <w:widowControl w:val="0"/>
              <w:rPr>
                <w:b/>
                <w:lang w:val="uk-UA"/>
              </w:rPr>
            </w:pPr>
            <w:r w:rsidRPr="00DD779C">
              <w:rPr>
                <w:lang w:val="uk-UA"/>
              </w:rPr>
              <w:t>Товщина - 5 мм</w:t>
            </w:r>
          </w:p>
        </w:tc>
        <w:tc>
          <w:tcPr>
            <w:tcW w:w="2268" w:type="dxa"/>
            <w:tcBorders>
              <w:top w:val="single" w:sz="4" w:space="0" w:color="auto"/>
              <w:left w:val="single" w:sz="4" w:space="0" w:color="auto"/>
              <w:right w:val="single" w:sz="4" w:space="0" w:color="auto"/>
            </w:tcBorders>
          </w:tcPr>
          <w:p w14:paraId="3C37551A" w14:textId="77777777" w:rsidR="008B43AE" w:rsidRPr="00DD779C" w:rsidRDefault="008B43AE" w:rsidP="00855475">
            <w:pPr>
              <w:widowControl w:val="0"/>
              <w:ind w:left="-111" w:right="-113"/>
              <w:jc w:val="center"/>
              <w:rPr>
                <w:lang w:val="uk-UA"/>
              </w:rPr>
            </w:pPr>
            <w:r w:rsidRPr="00DD779C">
              <w:rPr>
                <w:lang w:val="uk-UA"/>
              </w:rPr>
              <w:t xml:space="preserve">Для газонокосарки, багатофункціонального навантажувача </w:t>
            </w:r>
          </w:p>
          <w:p w14:paraId="31C8AB00" w14:textId="77777777" w:rsidR="008B43AE" w:rsidRPr="00DD779C" w:rsidRDefault="008B43AE" w:rsidP="00855475">
            <w:pPr>
              <w:widowControl w:val="0"/>
              <w:ind w:left="-111" w:right="-113"/>
              <w:jc w:val="center"/>
              <w:rPr>
                <w:i/>
                <w:highlight w:val="yellow"/>
                <w:lang w:val="uk-UA"/>
              </w:rPr>
            </w:pPr>
            <w:r w:rsidRPr="00DD779C">
              <w:rPr>
                <w:lang w:val="uk-UA"/>
              </w:rPr>
              <w:t>AVANT 750</w:t>
            </w:r>
          </w:p>
        </w:tc>
      </w:tr>
    </w:tbl>
    <w:p w14:paraId="06AFF6FC" w14:textId="77777777" w:rsidR="00DD779C" w:rsidRDefault="00DD779C" w:rsidP="009165D1">
      <w:pPr>
        <w:jc w:val="both"/>
        <w:rPr>
          <w:b/>
          <w:bCs/>
          <w:lang w:val="uk-UA"/>
        </w:rPr>
      </w:pPr>
    </w:p>
    <w:p w14:paraId="06AC741C" w14:textId="02515ED6" w:rsidR="009165D1" w:rsidRPr="00DD779C" w:rsidRDefault="009165D1" w:rsidP="009165D1">
      <w:pPr>
        <w:jc w:val="both"/>
        <w:rPr>
          <w:b/>
          <w:bCs/>
          <w:lang w:val="uk-UA" w:eastAsia="uk-UA"/>
        </w:rPr>
      </w:pPr>
      <w:r w:rsidRPr="00DD779C">
        <w:rPr>
          <w:b/>
          <w:bCs/>
          <w:lang w:val="uk-UA"/>
        </w:rPr>
        <w:t>Додаткова інформація.</w:t>
      </w:r>
    </w:p>
    <w:p w14:paraId="20EEF891" w14:textId="77777777" w:rsidR="009165D1" w:rsidRPr="00DD779C" w:rsidRDefault="009165D1" w:rsidP="009165D1">
      <w:pPr>
        <w:jc w:val="both"/>
        <w:rPr>
          <w:lang w:val="uk-UA"/>
        </w:rPr>
      </w:pPr>
      <w:r w:rsidRPr="00DD779C">
        <w:rPr>
          <w:b/>
          <w:bCs/>
          <w:lang w:val="uk-UA"/>
        </w:rPr>
        <w:t>1.</w:t>
      </w:r>
      <w:r w:rsidRPr="00DD779C">
        <w:rPr>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DD779C">
        <w:rPr>
          <w:b/>
          <w:bCs/>
          <w:lang w:val="uk-UA"/>
        </w:rPr>
        <w:t>біля кожного такого посилання вважати вираз «або еквівалент»</w:t>
      </w:r>
      <w:r w:rsidRPr="00DD779C">
        <w:rPr>
          <w:lang w:val="uk-UA"/>
        </w:rPr>
        <w:t xml:space="preserve">. Таким чином вважається, що до кожного посилання додається вираз </w:t>
      </w:r>
      <w:r w:rsidRPr="00DD779C">
        <w:rPr>
          <w:b/>
          <w:bCs/>
          <w:lang w:val="uk-UA"/>
        </w:rPr>
        <w:t>«або еквівалент»</w:t>
      </w:r>
      <w:r w:rsidRPr="00DD779C">
        <w:rPr>
          <w:lang w:val="uk-UA"/>
        </w:rPr>
        <w:t xml:space="preserve">. </w:t>
      </w:r>
    </w:p>
    <w:p w14:paraId="0AC29477" w14:textId="77777777" w:rsidR="009165D1" w:rsidRPr="00DD779C" w:rsidRDefault="009165D1" w:rsidP="009165D1">
      <w:pPr>
        <w:jc w:val="both"/>
        <w:rPr>
          <w:lang w:val="uk-UA"/>
        </w:rPr>
      </w:pPr>
      <w:r w:rsidRPr="00DD779C">
        <w:rPr>
          <w:lang w:val="uk-UA"/>
        </w:rPr>
        <w:t xml:space="preserve">У місцях, де технічна специфікація містить посилання </w:t>
      </w:r>
      <w:r w:rsidRPr="00DD779C">
        <w:rPr>
          <w:vertAlign w:val="superscript"/>
          <w:lang w:val="uk-UA"/>
        </w:rPr>
        <w:t>1)</w:t>
      </w:r>
      <w:r w:rsidRPr="00DD779C">
        <w:rPr>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DD779C">
        <w:rPr>
          <w:b/>
          <w:bCs/>
          <w:lang w:val="uk-UA"/>
        </w:rPr>
        <w:t>вважати наявним вираз «або еквівалент»</w:t>
      </w:r>
      <w:r w:rsidRPr="00DD779C">
        <w:rPr>
          <w:lang w:val="uk-UA"/>
        </w:rPr>
        <w:t xml:space="preserve">. Таким чином вважається, що до кожного посилання додається вираз «або еквівалент» </w:t>
      </w:r>
      <w:r w:rsidRPr="00DD779C">
        <w:rPr>
          <w:b/>
          <w:bCs/>
          <w:i/>
          <w:iCs/>
          <w:lang w:val="uk-UA"/>
        </w:rPr>
        <w:t>(</w:t>
      </w:r>
      <w:r w:rsidRPr="00DD779C">
        <w:rPr>
          <w:b/>
          <w:bCs/>
          <w:i/>
          <w:iCs/>
          <w:vertAlign w:val="superscript"/>
          <w:lang w:val="uk-UA"/>
        </w:rPr>
        <w:t>1)</w:t>
      </w:r>
      <w:r w:rsidRPr="00DD779C">
        <w:rPr>
          <w:b/>
          <w:bCs/>
          <w:i/>
          <w:iCs/>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DD779C">
        <w:rPr>
          <w:lang w:val="uk-UA"/>
        </w:rPr>
        <w:t xml:space="preserve">. </w:t>
      </w:r>
    </w:p>
    <w:p w14:paraId="65C65F23" w14:textId="77777777" w:rsidR="009165D1" w:rsidRPr="00DD779C" w:rsidRDefault="009165D1" w:rsidP="009165D1">
      <w:pPr>
        <w:autoSpaceDE w:val="0"/>
        <w:autoSpaceDN w:val="0"/>
        <w:ind w:firstLine="709"/>
        <w:jc w:val="both"/>
        <w:rPr>
          <w:color w:val="000000"/>
          <w:lang w:val="uk-UA"/>
        </w:rPr>
      </w:pPr>
      <w:r w:rsidRPr="00DD779C">
        <w:rPr>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DD779C">
        <w:rPr>
          <w:b/>
          <w:bCs/>
          <w:lang w:val="uk-UA"/>
        </w:rPr>
        <w:t>Додатку 1</w:t>
      </w:r>
      <w:r w:rsidRPr="00DD779C">
        <w:rPr>
          <w:lang w:val="uk-UA"/>
        </w:rPr>
        <w:t xml:space="preserve"> технічним та якісним характеристикам предмета закупівлі).</w:t>
      </w:r>
    </w:p>
    <w:p w14:paraId="063CAD9E" w14:textId="77777777" w:rsidR="00A256E7" w:rsidRPr="00DD779C" w:rsidRDefault="00A256E7" w:rsidP="00D04854">
      <w:pPr>
        <w:widowControl w:val="0"/>
        <w:autoSpaceDE w:val="0"/>
        <w:autoSpaceDN w:val="0"/>
        <w:adjustRightInd w:val="0"/>
        <w:ind w:firstLine="709"/>
        <w:contextualSpacing/>
        <w:jc w:val="both"/>
        <w:rPr>
          <w:color w:val="000000"/>
          <w:lang w:val="uk-UA"/>
        </w:rPr>
      </w:pPr>
    </w:p>
    <w:sectPr w:rsidR="00A256E7" w:rsidRPr="00DD779C"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80ED4" w14:textId="77777777" w:rsidR="009B344F" w:rsidRDefault="009B344F">
      <w:r>
        <w:separator/>
      </w:r>
    </w:p>
  </w:endnote>
  <w:endnote w:type="continuationSeparator" w:id="0">
    <w:p w14:paraId="5AD81BCF" w14:textId="77777777" w:rsidR="009B344F" w:rsidRDefault="009B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F7A4"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E449" w14:textId="77390B9A" w:rsidR="00A256E7" w:rsidRPr="00A256E7" w:rsidRDefault="00C85F49"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1A469870" wp14:editId="25598B13">
              <wp:simplePos x="0" y="0"/>
              <wp:positionH relativeFrom="column">
                <wp:posOffset>-180340</wp:posOffset>
              </wp:positionH>
              <wp:positionV relativeFrom="paragraph">
                <wp:posOffset>7620</wp:posOffset>
              </wp:positionV>
              <wp:extent cx="6357620" cy="14605"/>
              <wp:effectExtent l="10160" t="7620" r="13970" b="6350"/>
              <wp:wrapNone/>
              <wp:docPr id="11700446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5EE4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3008DF">
      <w:rPr>
        <w:sz w:val="20"/>
        <w:szCs w:val="20"/>
        <w:lang w:val="uk-UA"/>
      </w:rPr>
      <w:t>Ножі для косарки. код ДК 021:2015 - 16810000-6 - Частини для сільськогосподарської техніки</w:t>
    </w:r>
  </w:p>
  <w:p w14:paraId="0206870F"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705A"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41FFA" w14:textId="77777777" w:rsidR="009B344F" w:rsidRDefault="009B344F">
      <w:r>
        <w:separator/>
      </w:r>
    </w:p>
  </w:footnote>
  <w:footnote w:type="continuationSeparator" w:id="0">
    <w:p w14:paraId="61909EDB" w14:textId="77777777" w:rsidR="009B344F" w:rsidRDefault="009B3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1C67C"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3086966"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25D8" w14:textId="5AF3D2BA" w:rsidR="002D6492" w:rsidRPr="003C4B6B" w:rsidRDefault="00C85F49"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3C30CD9D" wp14:editId="20438FE4">
              <wp:simplePos x="0" y="0"/>
              <wp:positionH relativeFrom="column">
                <wp:posOffset>-17145</wp:posOffset>
              </wp:positionH>
              <wp:positionV relativeFrom="paragraph">
                <wp:posOffset>476885</wp:posOffset>
              </wp:positionV>
              <wp:extent cx="6329045" cy="13970"/>
              <wp:effectExtent l="11430" t="10160" r="12700" b="13970"/>
              <wp:wrapNone/>
              <wp:docPr id="7162309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54591"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74CD9A6" wp14:editId="545F218C">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2B1D"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04074717">
    <w:abstractNumId w:val="20"/>
  </w:num>
  <w:num w:numId="2" w16cid:durableId="1689257076">
    <w:abstractNumId w:val="22"/>
  </w:num>
  <w:num w:numId="3" w16cid:durableId="350883594">
    <w:abstractNumId w:val="0"/>
  </w:num>
  <w:num w:numId="4" w16cid:durableId="948243017">
    <w:abstractNumId w:val="23"/>
  </w:num>
  <w:num w:numId="5" w16cid:durableId="1010526894">
    <w:abstractNumId w:val="7"/>
  </w:num>
  <w:num w:numId="6" w16cid:durableId="1832216291">
    <w:abstractNumId w:val="5"/>
  </w:num>
  <w:num w:numId="7" w16cid:durableId="1444618335">
    <w:abstractNumId w:val="6"/>
  </w:num>
  <w:num w:numId="8" w16cid:durableId="577906686">
    <w:abstractNumId w:val="19"/>
  </w:num>
  <w:num w:numId="9" w16cid:durableId="2128963214">
    <w:abstractNumId w:val="1"/>
  </w:num>
  <w:num w:numId="10" w16cid:durableId="753816718">
    <w:abstractNumId w:val="16"/>
  </w:num>
  <w:num w:numId="11" w16cid:durableId="229847242">
    <w:abstractNumId w:val="14"/>
  </w:num>
  <w:num w:numId="12" w16cid:durableId="1975406087">
    <w:abstractNumId w:val="12"/>
  </w:num>
  <w:num w:numId="13" w16cid:durableId="969437128">
    <w:abstractNumId w:val="13"/>
  </w:num>
  <w:num w:numId="14" w16cid:durableId="681861725">
    <w:abstractNumId w:val="3"/>
  </w:num>
  <w:num w:numId="15" w16cid:durableId="1467776643">
    <w:abstractNumId w:val="15"/>
  </w:num>
  <w:num w:numId="16" w16cid:durableId="1279483434">
    <w:abstractNumId w:val="2"/>
  </w:num>
  <w:num w:numId="17" w16cid:durableId="920942502">
    <w:abstractNumId w:val="11"/>
  </w:num>
  <w:num w:numId="18" w16cid:durableId="2053114625">
    <w:abstractNumId w:val="4"/>
  </w:num>
  <w:num w:numId="19" w16cid:durableId="1771395461">
    <w:abstractNumId w:val="8"/>
  </w:num>
  <w:num w:numId="20" w16cid:durableId="2052028176">
    <w:abstractNumId w:val="18"/>
  </w:num>
  <w:num w:numId="21" w16cid:durableId="1975865332">
    <w:abstractNumId w:val="9"/>
  </w:num>
  <w:num w:numId="22" w16cid:durableId="325287380">
    <w:abstractNumId w:val="17"/>
  </w:num>
  <w:num w:numId="23" w16cid:durableId="2020426016">
    <w:abstractNumId w:val="10"/>
  </w:num>
  <w:num w:numId="24" w16cid:durableId="611864316">
    <w:abstractNumId w:val="21"/>
  </w:num>
  <w:num w:numId="25" w16cid:durableId="15241294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648F"/>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8DF"/>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37FF"/>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C"/>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06D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6CB"/>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307"/>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37A7"/>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43AE"/>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5894"/>
    <w:rsid w:val="00997E8A"/>
    <w:rsid w:val="009A005F"/>
    <w:rsid w:val="009A0825"/>
    <w:rsid w:val="009A112C"/>
    <w:rsid w:val="009A285A"/>
    <w:rsid w:val="009A2B90"/>
    <w:rsid w:val="009A32D2"/>
    <w:rsid w:val="009A46B6"/>
    <w:rsid w:val="009A46FD"/>
    <w:rsid w:val="009A528A"/>
    <w:rsid w:val="009B09A1"/>
    <w:rsid w:val="009B344F"/>
    <w:rsid w:val="009B3581"/>
    <w:rsid w:val="009B395D"/>
    <w:rsid w:val="009B40C1"/>
    <w:rsid w:val="009B5A65"/>
    <w:rsid w:val="009B62A8"/>
    <w:rsid w:val="009B6BD7"/>
    <w:rsid w:val="009B71B2"/>
    <w:rsid w:val="009C1439"/>
    <w:rsid w:val="009C1A26"/>
    <w:rsid w:val="009C2EB4"/>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04C1"/>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5F49"/>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63A"/>
    <w:rsid w:val="00DC0E7D"/>
    <w:rsid w:val="00DC243E"/>
    <w:rsid w:val="00DC40DC"/>
    <w:rsid w:val="00DC6677"/>
    <w:rsid w:val="00DC7BEF"/>
    <w:rsid w:val="00DD1393"/>
    <w:rsid w:val="00DD2600"/>
    <w:rsid w:val="00DD3C5D"/>
    <w:rsid w:val="00DD3E65"/>
    <w:rsid w:val="00DD6C13"/>
    <w:rsid w:val="00DD71E4"/>
    <w:rsid w:val="00DD779C"/>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7717A"/>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F8C5D"/>
  <w15:chartTrackingRefBased/>
  <w15:docId w15:val="{11951960-E904-4273-8971-7BA01800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645</Words>
  <Characters>3681</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13</cp:revision>
  <cp:lastPrinted>2021-11-17T09:02:00Z</cp:lastPrinted>
  <dcterms:created xsi:type="dcterms:W3CDTF">2025-08-22T10:57:00Z</dcterms:created>
  <dcterms:modified xsi:type="dcterms:W3CDTF">2025-08-22T11:16:00Z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