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1006031B" w14:textId="77777777" w:rsidTr="001021AF">
        <w:tc>
          <w:tcPr>
            <w:tcW w:w="4683" w:type="dxa"/>
          </w:tcPr>
          <w:p w14:paraId="4AECC9AE" w14:textId="5577D2E5" w:rsidR="00825A6B" w:rsidRPr="007101A5" w:rsidRDefault="00A022B9" w:rsidP="006926A0">
            <w:pPr>
              <w:pStyle w:val="a4"/>
              <w:widowControl w:val="0"/>
              <w:rPr>
                <w:szCs w:val="17"/>
                <w:lang w:val="uk-UA"/>
              </w:rPr>
            </w:pPr>
            <w:r>
              <w:rPr>
                <w:noProof/>
                <w:lang w:val="uk-UA"/>
              </w:rPr>
              <w:drawing>
                <wp:inline distT="0" distB="0" distL="0" distR="0" wp14:anchorId="6D9E99F7" wp14:editId="383AAB78">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7902078D"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5DE8A947"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41B2E8C7"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798E7EC"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6B442B4F" w14:textId="77777777" w:rsidTr="00C62708">
        <w:tc>
          <w:tcPr>
            <w:tcW w:w="9854" w:type="dxa"/>
            <w:gridSpan w:val="2"/>
          </w:tcPr>
          <w:p w14:paraId="51B1E964" w14:textId="77777777" w:rsidR="003C4B6B" w:rsidRPr="007101A5" w:rsidRDefault="003C4B6B" w:rsidP="007D7B6F">
            <w:pPr>
              <w:pStyle w:val="1"/>
              <w:keepNext w:val="0"/>
              <w:widowControl w:val="0"/>
              <w:rPr>
                <w:sz w:val="28"/>
                <w:szCs w:val="28"/>
              </w:rPr>
            </w:pPr>
          </w:p>
          <w:p w14:paraId="31537F37"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13E56BC" w14:textId="77777777" w:rsidR="005F3529" w:rsidRPr="007101A5" w:rsidRDefault="005F3529" w:rsidP="0063471D">
      <w:pPr>
        <w:pStyle w:val="a4"/>
        <w:widowControl w:val="0"/>
        <w:jc w:val="both"/>
        <w:rPr>
          <w:sz w:val="24"/>
          <w:szCs w:val="24"/>
          <w:lang w:val="uk-UA"/>
        </w:rPr>
      </w:pPr>
    </w:p>
    <w:p w14:paraId="3F922677"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4DA7799"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443CD378" w14:textId="77777777" w:rsidTr="00C62708">
        <w:tc>
          <w:tcPr>
            <w:tcW w:w="487" w:type="pct"/>
            <w:shd w:val="clear" w:color="auto" w:fill="DEEAF6"/>
          </w:tcPr>
          <w:p w14:paraId="2C2B16A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0C10D7FE"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7D3ADE25"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56693E75"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1E8DE2A7"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12852AE3" w14:textId="77777777" w:rsidTr="00212515">
        <w:tc>
          <w:tcPr>
            <w:tcW w:w="487" w:type="pct"/>
          </w:tcPr>
          <w:p w14:paraId="6C898246" w14:textId="0A8790F8" w:rsidR="00A76484" w:rsidRPr="00EF41E5" w:rsidRDefault="00D3748E" w:rsidP="005469FD">
            <w:pPr>
              <w:widowControl w:val="0"/>
              <w:ind w:right="-11"/>
              <w:jc w:val="center"/>
              <w:rPr>
                <w:sz w:val="22"/>
                <w:szCs w:val="22"/>
                <w:lang w:val="uk-UA" w:eastAsia="uk-UA"/>
              </w:rPr>
            </w:pPr>
            <w:r w:rsidRPr="00EF41E5">
              <w:rPr>
                <w:sz w:val="22"/>
                <w:szCs w:val="22"/>
                <w:lang w:val="uk-UA"/>
              </w:rPr>
              <w:t xml:space="preserve">46.02 </w:t>
            </w:r>
            <w:r w:rsidR="00BD6E95" w:rsidRPr="00EF41E5">
              <w:rPr>
                <w:sz w:val="22"/>
                <w:szCs w:val="22"/>
                <w:lang w:val="uk-UA" w:eastAsia="uk-UA"/>
              </w:rPr>
              <w:t>(202</w:t>
            </w:r>
            <w:r w:rsidR="00EF41E5" w:rsidRPr="00EF41E5">
              <w:rPr>
                <w:sz w:val="22"/>
                <w:szCs w:val="22"/>
                <w:lang w:val="uk-UA" w:eastAsia="uk-UA"/>
              </w:rPr>
              <w:t>5</w:t>
            </w:r>
            <w:r w:rsidR="00A76484" w:rsidRPr="00EF41E5">
              <w:rPr>
                <w:sz w:val="22"/>
                <w:szCs w:val="22"/>
                <w:lang w:val="uk-UA" w:eastAsia="uk-UA"/>
              </w:rPr>
              <w:t>)</w:t>
            </w:r>
          </w:p>
        </w:tc>
        <w:tc>
          <w:tcPr>
            <w:tcW w:w="1527" w:type="pct"/>
          </w:tcPr>
          <w:p w14:paraId="7257B5E8" w14:textId="64A04C31" w:rsidR="00A76484" w:rsidRPr="00EF41E5" w:rsidRDefault="00D3748E" w:rsidP="00A12478">
            <w:pPr>
              <w:widowControl w:val="0"/>
              <w:rPr>
                <w:bCs/>
                <w:sz w:val="22"/>
                <w:szCs w:val="22"/>
                <w:lang w:val="uk-UA"/>
              </w:rPr>
            </w:pPr>
            <w:r w:rsidRPr="00EF41E5">
              <w:rPr>
                <w:b/>
                <w:sz w:val="22"/>
                <w:szCs w:val="22"/>
                <w:lang w:val="uk-UA"/>
              </w:rPr>
              <w:t xml:space="preserve">Поточний ремонт дерев’яних конструкцій горища готелю-гуртожитку інв.№3707, а саме  їх вогнезахисна обробка, </w:t>
            </w:r>
            <w:r w:rsidRPr="00EF41E5">
              <w:rPr>
                <w:bCs/>
                <w:sz w:val="22"/>
                <w:szCs w:val="22"/>
                <w:lang w:val="uk-UA"/>
              </w:rPr>
              <w:t>код ДК 021:2015 - 45440000-3 - Фарбування та скління</w:t>
            </w:r>
            <w:r w:rsidRPr="00EF41E5">
              <w:rPr>
                <w:b/>
                <w:sz w:val="22"/>
                <w:szCs w:val="22"/>
                <w:lang w:val="uk-UA"/>
              </w:rPr>
              <w:t xml:space="preserve"> </w:t>
            </w:r>
          </w:p>
        </w:tc>
        <w:tc>
          <w:tcPr>
            <w:tcW w:w="947" w:type="pct"/>
          </w:tcPr>
          <w:p w14:paraId="29EA7680" w14:textId="70201EDA" w:rsidR="00A76484" w:rsidRPr="00EF41E5" w:rsidRDefault="00D3748E" w:rsidP="002D4D30">
            <w:pPr>
              <w:widowControl w:val="0"/>
              <w:jc w:val="center"/>
              <w:rPr>
                <w:sz w:val="22"/>
                <w:szCs w:val="22"/>
                <w:lang w:val="uk-UA"/>
              </w:rPr>
            </w:pPr>
            <w:r w:rsidRPr="00EF41E5">
              <w:rPr>
                <w:sz w:val="22"/>
                <w:szCs w:val="22"/>
                <w:lang w:val="uk-UA"/>
              </w:rPr>
              <w:t>200 000,00</w:t>
            </w:r>
            <w:r w:rsidR="00A76484" w:rsidRPr="00EF41E5">
              <w:rPr>
                <w:sz w:val="22"/>
                <w:szCs w:val="22"/>
                <w:lang w:val="uk-UA"/>
              </w:rPr>
              <w:t xml:space="preserve"> </w:t>
            </w:r>
          </w:p>
          <w:p w14:paraId="22D0D1A9" w14:textId="77777777" w:rsidR="00A76484" w:rsidRPr="00EF41E5" w:rsidRDefault="00A76484" w:rsidP="002D4D30">
            <w:pPr>
              <w:widowControl w:val="0"/>
              <w:jc w:val="center"/>
              <w:rPr>
                <w:sz w:val="22"/>
                <w:szCs w:val="22"/>
                <w:lang w:val="uk-UA"/>
              </w:rPr>
            </w:pPr>
            <w:r w:rsidRPr="00EF41E5">
              <w:rPr>
                <w:sz w:val="22"/>
                <w:szCs w:val="22"/>
                <w:lang w:val="uk-UA"/>
              </w:rPr>
              <w:t>грн. з ПДВ</w:t>
            </w:r>
          </w:p>
        </w:tc>
        <w:tc>
          <w:tcPr>
            <w:tcW w:w="1102" w:type="pct"/>
          </w:tcPr>
          <w:p w14:paraId="40080CF9" w14:textId="33240E96" w:rsidR="00A76484" w:rsidRPr="00EF41E5" w:rsidRDefault="00EF41E5" w:rsidP="002D4D30">
            <w:pPr>
              <w:widowControl w:val="0"/>
              <w:jc w:val="center"/>
              <w:rPr>
                <w:sz w:val="22"/>
                <w:szCs w:val="22"/>
                <w:lang w:val="uk-UA"/>
              </w:rPr>
            </w:pPr>
            <w:r w:rsidRPr="00EF41E5">
              <w:rPr>
                <w:sz w:val="22"/>
                <w:szCs w:val="22"/>
                <w:lang w:val="uk-UA"/>
              </w:rPr>
              <w:t>166 666,67</w:t>
            </w:r>
          </w:p>
          <w:p w14:paraId="0FE6785D" w14:textId="77777777" w:rsidR="00A76484" w:rsidRPr="00EF41E5" w:rsidRDefault="00A76484" w:rsidP="002D4D30">
            <w:pPr>
              <w:widowControl w:val="0"/>
              <w:jc w:val="center"/>
              <w:rPr>
                <w:sz w:val="22"/>
                <w:szCs w:val="22"/>
                <w:lang w:val="uk-UA"/>
              </w:rPr>
            </w:pPr>
            <w:r w:rsidRPr="00EF41E5">
              <w:rPr>
                <w:sz w:val="22"/>
                <w:szCs w:val="22"/>
                <w:lang w:val="uk-UA"/>
              </w:rPr>
              <w:t xml:space="preserve">грн. без ПДВ </w:t>
            </w:r>
          </w:p>
        </w:tc>
        <w:tc>
          <w:tcPr>
            <w:tcW w:w="936" w:type="pct"/>
          </w:tcPr>
          <w:p w14:paraId="17A43B57" w14:textId="1E0CB2F0" w:rsidR="00A76484" w:rsidRPr="00EF41E5" w:rsidRDefault="00D3748E" w:rsidP="002D4D30">
            <w:pPr>
              <w:widowControl w:val="0"/>
              <w:jc w:val="center"/>
              <w:rPr>
                <w:color w:val="0000FF"/>
                <w:sz w:val="22"/>
                <w:szCs w:val="22"/>
                <w:lang w:val="uk-UA"/>
              </w:rPr>
            </w:pPr>
            <w:r w:rsidRPr="00EF41E5">
              <w:rPr>
                <w:b/>
                <w:sz w:val="22"/>
                <w:szCs w:val="22"/>
                <w:lang w:val="uk-UA"/>
              </w:rPr>
              <w:t>UA-2025-09-19-009214-a</w:t>
            </w:r>
          </w:p>
        </w:tc>
      </w:tr>
    </w:tbl>
    <w:p w14:paraId="19CAF55F" w14:textId="77777777" w:rsidR="00A12478" w:rsidRPr="007101A5" w:rsidRDefault="00A12478" w:rsidP="0063471D">
      <w:pPr>
        <w:pStyle w:val="a4"/>
        <w:widowControl w:val="0"/>
        <w:jc w:val="both"/>
        <w:rPr>
          <w:sz w:val="24"/>
          <w:szCs w:val="24"/>
          <w:lang w:val="uk-UA"/>
        </w:rPr>
      </w:pPr>
    </w:p>
    <w:p w14:paraId="1A340C1D"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59C17CC4"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7101A5" w14:paraId="2E02371A"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EDC48F0"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3E701F2"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EC36BB2" w14:textId="77777777" w:rsidR="00EF41E5" w:rsidRPr="00EF41E5" w:rsidRDefault="00EF41E5" w:rsidP="00EF41E5">
            <w:pPr>
              <w:spacing w:line="238" w:lineRule="auto"/>
              <w:ind w:right="198"/>
              <w:jc w:val="both"/>
              <w:rPr>
                <w:lang w:val="uk-UA"/>
              </w:rPr>
            </w:pPr>
            <w:r w:rsidRPr="00EF41E5">
              <w:rPr>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EF41E5">
              <w:rPr>
                <w:lang w:val="uk-UA"/>
              </w:rPr>
              <w:t>закупівель</w:t>
            </w:r>
            <w:proofErr w:type="spellEnd"/>
            <w:r w:rsidRPr="00EF41E5">
              <w:rPr>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204263FA" w14:textId="1A0761E9" w:rsidR="008335E7" w:rsidRPr="007101A5" w:rsidRDefault="00EF41E5" w:rsidP="00EF41E5">
            <w:pPr>
              <w:ind w:right="198"/>
              <w:jc w:val="both"/>
              <w:rPr>
                <w:i/>
                <w:lang w:val="uk-UA"/>
              </w:rPr>
            </w:pPr>
            <w:r w:rsidRPr="00EF41E5">
              <w:rPr>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методом порівняння ринкових цін на підставі отриманих цінових пропозицій.</w:t>
            </w:r>
          </w:p>
        </w:tc>
      </w:tr>
      <w:tr w:rsidR="006F428D" w:rsidRPr="007101A5" w14:paraId="03CBE22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608ACA6"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5D42BBB"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98BCE0C" w14:textId="77777777" w:rsidR="00EF41E5" w:rsidRPr="00EF41E5" w:rsidRDefault="00EF41E5" w:rsidP="00EF41E5">
            <w:pPr>
              <w:spacing w:line="238" w:lineRule="auto"/>
              <w:ind w:right="26"/>
              <w:jc w:val="both"/>
              <w:rPr>
                <w:lang w:val="uk-UA"/>
              </w:rPr>
            </w:pPr>
            <w:r w:rsidRPr="00EF41E5">
              <w:rPr>
                <w:lang w:val="uk-UA"/>
              </w:rPr>
              <w:t>Послуги, які будуть надаватись повинні відповідати Державним будівельним нормам України.</w:t>
            </w:r>
          </w:p>
          <w:p w14:paraId="336C8B8F" w14:textId="77777777" w:rsidR="00EF41E5" w:rsidRPr="00EF41E5" w:rsidRDefault="00EF41E5" w:rsidP="00EF41E5">
            <w:pPr>
              <w:jc w:val="both"/>
              <w:rPr>
                <w:lang w:val="uk-UA"/>
              </w:rPr>
            </w:pPr>
            <w:r w:rsidRPr="00EF41E5">
              <w:rPr>
                <w:lang w:val="uk-UA"/>
              </w:rPr>
              <w:t>Обсяги визначено згідно дефектного акту №66-26/4-2 від 15.05.2025р.</w:t>
            </w:r>
          </w:p>
          <w:p w14:paraId="279E6D17" w14:textId="77777777" w:rsidR="006F428D" w:rsidRPr="007101A5" w:rsidRDefault="006F428D" w:rsidP="00C62708">
            <w:pPr>
              <w:rPr>
                <w:i/>
                <w:lang w:val="uk-UA"/>
              </w:rPr>
            </w:pPr>
          </w:p>
        </w:tc>
      </w:tr>
      <w:tr w:rsidR="006F428D" w:rsidRPr="007101A5" w14:paraId="227F0C6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FAEA623" w14:textId="77777777" w:rsidR="006F428D" w:rsidRPr="007101A5" w:rsidRDefault="006F428D" w:rsidP="00C62708">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A28759E" w14:textId="77777777" w:rsidR="006F428D" w:rsidRPr="007101A5" w:rsidRDefault="006F428D" w:rsidP="00C62708">
            <w:pPr>
              <w:rPr>
                <w:lang w:val="uk-UA"/>
              </w:rPr>
            </w:pPr>
            <w:r w:rsidRPr="007101A5">
              <w:rPr>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D34ED43" w14:textId="77777777" w:rsidR="006F428D" w:rsidRPr="007101A5" w:rsidRDefault="006F428D" w:rsidP="00C62708">
            <w:pPr>
              <w:rPr>
                <w:i/>
                <w:lang w:val="uk-UA"/>
              </w:rPr>
            </w:pPr>
          </w:p>
        </w:tc>
      </w:tr>
    </w:tbl>
    <w:p w14:paraId="69A20389" w14:textId="77777777" w:rsidR="006926A0" w:rsidRPr="00EF41E5" w:rsidRDefault="006926A0" w:rsidP="006926A0">
      <w:pPr>
        <w:ind w:firstLine="567"/>
        <w:jc w:val="both"/>
        <w:rPr>
          <w:lang w:val="uk-UA"/>
        </w:rPr>
      </w:pPr>
      <w:r w:rsidRPr="00EF41E5">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076E8A98" w14:textId="77777777" w:rsidR="006F428D" w:rsidRPr="007101A5" w:rsidRDefault="006F428D" w:rsidP="00A12478">
      <w:pPr>
        <w:rPr>
          <w:b/>
          <w:lang w:val="uk-UA"/>
        </w:rPr>
      </w:pPr>
    </w:p>
    <w:tbl>
      <w:tblPr>
        <w:tblW w:w="1026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5"/>
        <w:gridCol w:w="1122"/>
        <w:gridCol w:w="1061"/>
        <w:gridCol w:w="4988"/>
      </w:tblGrid>
      <w:tr w:rsidR="00EF41E5" w:rsidRPr="00B164A7" w14:paraId="7CFA3444" w14:textId="77777777" w:rsidTr="00322168">
        <w:tc>
          <w:tcPr>
            <w:tcW w:w="3095" w:type="dxa"/>
            <w:shd w:val="clear" w:color="auto" w:fill="E8E8E8" w:themeFill="background2"/>
            <w:tcMar>
              <w:top w:w="30" w:type="dxa"/>
              <w:left w:w="60" w:type="dxa"/>
              <w:bottom w:w="30" w:type="dxa"/>
              <w:right w:w="30" w:type="dxa"/>
            </w:tcMar>
            <w:hideMark/>
          </w:tcPr>
          <w:p w14:paraId="7461A71D" w14:textId="77777777" w:rsidR="00EF41E5" w:rsidRPr="00B164A7" w:rsidRDefault="00EF41E5" w:rsidP="00322168">
            <w:pPr>
              <w:jc w:val="center"/>
              <w:rPr>
                <w:b/>
                <w:bCs/>
                <w:sz w:val="22"/>
                <w:szCs w:val="22"/>
                <w:lang w:val="uk-UA"/>
              </w:rPr>
            </w:pPr>
            <w:r w:rsidRPr="00B164A7">
              <w:rPr>
                <w:b/>
                <w:bCs/>
                <w:sz w:val="22"/>
                <w:szCs w:val="22"/>
                <w:lang w:val="uk-UA"/>
              </w:rPr>
              <w:t xml:space="preserve">Назва </w:t>
            </w:r>
            <w:r>
              <w:rPr>
                <w:b/>
                <w:bCs/>
                <w:sz w:val="22"/>
                <w:szCs w:val="22"/>
                <w:lang w:val="uk-UA"/>
              </w:rPr>
              <w:t>послуг</w:t>
            </w:r>
          </w:p>
        </w:tc>
        <w:tc>
          <w:tcPr>
            <w:tcW w:w="1122" w:type="dxa"/>
            <w:shd w:val="clear" w:color="auto" w:fill="E8E8E8" w:themeFill="background2"/>
            <w:tcMar>
              <w:top w:w="30" w:type="dxa"/>
              <w:left w:w="60" w:type="dxa"/>
              <w:bottom w:w="30" w:type="dxa"/>
              <w:right w:w="30" w:type="dxa"/>
            </w:tcMar>
            <w:hideMark/>
          </w:tcPr>
          <w:p w14:paraId="615506F5" w14:textId="77777777" w:rsidR="00EF41E5" w:rsidRPr="00B164A7" w:rsidRDefault="00EF41E5" w:rsidP="00322168">
            <w:pPr>
              <w:jc w:val="center"/>
              <w:rPr>
                <w:b/>
                <w:bCs/>
                <w:sz w:val="22"/>
                <w:szCs w:val="22"/>
                <w:lang w:val="uk-UA"/>
              </w:rPr>
            </w:pPr>
            <w:r w:rsidRPr="00B164A7">
              <w:rPr>
                <w:b/>
                <w:bCs/>
                <w:sz w:val="22"/>
                <w:szCs w:val="22"/>
                <w:lang w:val="uk-UA"/>
              </w:rPr>
              <w:t>Од.</w:t>
            </w:r>
          </w:p>
          <w:p w14:paraId="15F8D5EC" w14:textId="77777777" w:rsidR="00EF41E5" w:rsidRPr="00B164A7" w:rsidRDefault="00EF41E5" w:rsidP="00322168">
            <w:pPr>
              <w:jc w:val="center"/>
              <w:rPr>
                <w:b/>
                <w:bCs/>
                <w:sz w:val="22"/>
                <w:szCs w:val="22"/>
                <w:lang w:val="uk-UA"/>
              </w:rPr>
            </w:pPr>
            <w:r w:rsidRPr="00B164A7">
              <w:rPr>
                <w:b/>
                <w:bCs/>
                <w:sz w:val="22"/>
                <w:szCs w:val="22"/>
                <w:lang w:val="uk-UA"/>
              </w:rPr>
              <w:t>виміру</w:t>
            </w:r>
          </w:p>
        </w:tc>
        <w:tc>
          <w:tcPr>
            <w:tcW w:w="1061" w:type="dxa"/>
            <w:shd w:val="clear" w:color="auto" w:fill="E8E8E8" w:themeFill="background2"/>
            <w:tcMar>
              <w:top w:w="30" w:type="dxa"/>
              <w:left w:w="60" w:type="dxa"/>
              <w:bottom w:w="30" w:type="dxa"/>
              <w:right w:w="30" w:type="dxa"/>
            </w:tcMar>
            <w:hideMark/>
          </w:tcPr>
          <w:p w14:paraId="06338E50" w14:textId="77777777" w:rsidR="00EF41E5" w:rsidRPr="00B164A7" w:rsidRDefault="00EF41E5" w:rsidP="00322168">
            <w:pPr>
              <w:jc w:val="center"/>
              <w:rPr>
                <w:b/>
                <w:bCs/>
                <w:sz w:val="22"/>
                <w:szCs w:val="22"/>
                <w:lang w:val="uk-UA"/>
              </w:rPr>
            </w:pPr>
            <w:r w:rsidRPr="00B164A7">
              <w:rPr>
                <w:b/>
                <w:bCs/>
                <w:sz w:val="22"/>
                <w:szCs w:val="22"/>
                <w:lang w:val="uk-UA"/>
              </w:rPr>
              <w:t>Кількість</w:t>
            </w:r>
          </w:p>
        </w:tc>
        <w:tc>
          <w:tcPr>
            <w:tcW w:w="4988" w:type="dxa"/>
            <w:shd w:val="clear" w:color="auto" w:fill="E8E8E8" w:themeFill="background2"/>
            <w:tcMar>
              <w:top w:w="30" w:type="dxa"/>
              <w:left w:w="60" w:type="dxa"/>
              <w:bottom w:w="30" w:type="dxa"/>
              <w:right w:w="30" w:type="dxa"/>
            </w:tcMar>
            <w:hideMark/>
          </w:tcPr>
          <w:p w14:paraId="02E742CC" w14:textId="77777777" w:rsidR="00EF41E5" w:rsidRPr="00B164A7" w:rsidRDefault="00EF41E5" w:rsidP="00322168">
            <w:pPr>
              <w:jc w:val="center"/>
              <w:rPr>
                <w:b/>
                <w:bCs/>
                <w:color w:val="00B0F0"/>
                <w:sz w:val="22"/>
                <w:szCs w:val="22"/>
                <w:lang w:val="uk-UA"/>
              </w:rPr>
            </w:pPr>
            <w:r w:rsidRPr="00B164A7">
              <w:rPr>
                <w:b/>
                <w:sz w:val="22"/>
                <w:szCs w:val="22"/>
                <w:lang w:val="uk-UA"/>
              </w:rPr>
              <w:t>Технічні та якісні характеристики предмета закупівлі</w:t>
            </w:r>
          </w:p>
        </w:tc>
      </w:tr>
      <w:tr w:rsidR="00EF41E5" w:rsidRPr="00B2516F" w14:paraId="0689C41B" w14:textId="77777777" w:rsidTr="00322168">
        <w:trPr>
          <w:trHeight w:val="6224"/>
        </w:trPr>
        <w:tc>
          <w:tcPr>
            <w:tcW w:w="3095" w:type="dxa"/>
            <w:shd w:val="clear" w:color="auto" w:fill="FFFFFF" w:themeFill="background1"/>
            <w:tcMar>
              <w:top w:w="30" w:type="dxa"/>
              <w:left w:w="60" w:type="dxa"/>
              <w:bottom w:w="30" w:type="dxa"/>
              <w:right w:w="30" w:type="dxa"/>
            </w:tcMar>
            <w:hideMark/>
          </w:tcPr>
          <w:p w14:paraId="25B422B2" w14:textId="77777777" w:rsidR="00EF41E5" w:rsidRPr="002508D7" w:rsidRDefault="00EF41E5" w:rsidP="00322168">
            <w:pPr>
              <w:ind w:left="2"/>
              <w:jc w:val="both"/>
              <w:rPr>
                <w:sz w:val="22"/>
                <w:szCs w:val="22"/>
                <w:lang w:val="uk-UA"/>
              </w:rPr>
            </w:pPr>
            <w:r w:rsidRPr="002508D7">
              <w:rPr>
                <w:sz w:val="22"/>
                <w:szCs w:val="22"/>
                <w:lang w:val="uk-UA"/>
              </w:rPr>
              <w:t>Поточний ремонт дерев’яних конструкцій горища готелю-гуртожитку інв.№3707, а саме їх вогнезахисна обробка.</w:t>
            </w:r>
          </w:p>
          <w:p w14:paraId="0AA3D92A" w14:textId="77777777" w:rsidR="00EF41E5" w:rsidRPr="002508D7" w:rsidRDefault="00EF41E5" w:rsidP="00322168">
            <w:pPr>
              <w:jc w:val="both"/>
              <w:rPr>
                <w:bCs/>
                <w:sz w:val="22"/>
                <w:szCs w:val="22"/>
                <w:lang w:val="uk-UA"/>
              </w:rPr>
            </w:pPr>
          </w:p>
        </w:tc>
        <w:tc>
          <w:tcPr>
            <w:tcW w:w="1122" w:type="dxa"/>
            <w:shd w:val="clear" w:color="auto" w:fill="FFFFFF" w:themeFill="background1"/>
            <w:tcMar>
              <w:top w:w="30" w:type="dxa"/>
              <w:left w:w="60" w:type="dxa"/>
              <w:bottom w:w="30" w:type="dxa"/>
              <w:right w:w="30" w:type="dxa"/>
            </w:tcMar>
            <w:hideMark/>
          </w:tcPr>
          <w:p w14:paraId="4ACED335" w14:textId="77777777" w:rsidR="00EF41E5" w:rsidRPr="002508D7" w:rsidRDefault="00EF41E5" w:rsidP="00322168">
            <w:pPr>
              <w:jc w:val="center"/>
              <w:rPr>
                <w:b/>
                <w:bCs/>
                <w:sz w:val="22"/>
                <w:szCs w:val="22"/>
                <w:lang w:val="uk-UA"/>
              </w:rPr>
            </w:pPr>
            <w:r w:rsidRPr="002508D7">
              <w:rPr>
                <w:sz w:val="22"/>
                <w:szCs w:val="22"/>
                <w:lang w:val="uk-UA"/>
              </w:rPr>
              <w:t>послуга</w:t>
            </w:r>
          </w:p>
        </w:tc>
        <w:tc>
          <w:tcPr>
            <w:tcW w:w="1061" w:type="dxa"/>
            <w:shd w:val="clear" w:color="auto" w:fill="FFFFFF" w:themeFill="background1"/>
            <w:tcMar>
              <w:top w:w="30" w:type="dxa"/>
              <w:left w:w="60" w:type="dxa"/>
              <w:bottom w:w="30" w:type="dxa"/>
              <w:right w:w="30" w:type="dxa"/>
            </w:tcMar>
            <w:hideMark/>
          </w:tcPr>
          <w:p w14:paraId="7B8985DF" w14:textId="77777777" w:rsidR="00EF41E5" w:rsidRPr="002508D7" w:rsidRDefault="00EF41E5" w:rsidP="00322168">
            <w:pPr>
              <w:jc w:val="center"/>
              <w:rPr>
                <w:b/>
                <w:bCs/>
                <w:sz w:val="22"/>
                <w:szCs w:val="22"/>
                <w:lang w:val="uk-UA"/>
              </w:rPr>
            </w:pPr>
            <w:r w:rsidRPr="002508D7">
              <w:rPr>
                <w:sz w:val="22"/>
                <w:szCs w:val="22"/>
                <w:lang w:val="uk-UA"/>
              </w:rPr>
              <w:t>1</w:t>
            </w:r>
          </w:p>
        </w:tc>
        <w:tc>
          <w:tcPr>
            <w:tcW w:w="4988" w:type="dxa"/>
            <w:shd w:val="clear" w:color="auto" w:fill="FFFFFF" w:themeFill="background1"/>
            <w:tcMar>
              <w:top w:w="30" w:type="dxa"/>
              <w:left w:w="60" w:type="dxa"/>
              <w:bottom w:w="30" w:type="dxa"/>
              <w:right w:w="30" w:type="dxa"/>
            </w:tcMar>
            <w:hideMark/>
          </w:tcPr>
          <w:p w14:paraId="65E1B23F" w14:textId="77777777" w:rsidR="00EF41E5" w:rsidRPr="002508D7" w:rsidRDefault="00EF41E5" w:rsidP="00322168">
            <w:pPr>
              <w:spacing w:line="238" w:lineRule="auto"/>
              <w:ind w:left="2"/>
              <w:jc w:val="both"/>
              <w:rPr>
                <w:sz w:val="22"/>
                <w:szCs w:val="22"/>
                <w:lang w:val="uk-UA"/>
              </w:rPr>
            </w:pPr>
            <w:r w:rsidRPr="002508D7">
              <w:rPr>
                <w:sz w:val="22"/>
                <w:szCs w:val="22"/>
                <w:lang w:val="uk-UA"/>
              </w:rPr>
              <w:t xml:space="preserve"> Перелік та обсяг послуги з поточного ремонту складається з:</w:t>
            </w:r>
          </w:p>
          <w:p w14:paraId="1E800D01" w14:textId="77777777" w:rsidR="00EF41E5" w:rsidRPr="002508D7" w:rsidRDefault="00EF41E5" w:rsidP="00322168">
            <w:pPr>
              <w:spacing w:line="238" w:lineRule="auto"/>
              <w:ind w:left="2"/>
              <w:jc w:val="both"/>
              <w:rPr>
                <w:sz w:val="22"/>
                <w:szCs w:val="22"/>
                <w:lang w:val="uk-UA"/>
              </w:rPr>
            </w:pPr>
            <w:r w:rsidRPr="002508D7">
              <w:rPr>
                <w:sz w:val="22"/>
                <w:szCs w:val="22"/>
                <w:lang w:val="uk-UA"/>
              </w:rPr>
              <w:t>- переліку робіт/послуг зазначені у дефектному акті № 66-26/4-2 від 15.05.2025р;</w:t>
            </w:r>
          </w:p>
          <w:p w14:paraId="317FAB57" w14:textId="77777777" w:rsidR="00EF41E5" w:rsidRPr="002508D7" w:rsidRDefault="00EF41E5" w:rsidP="00322168">
            <w:pPr>
              <w:ind w:left="2"/>
              <w:jc w:val="both"/>
              <w:rPr>
                <w:color w:val="00B050"/>
                <w:sz w:val="22"/>
                <w:szCs w:val="22"/>
                <w:lang w:val="uk-UA"/>
              </w:rPr>
            </w:pPr>
            <w:r w:rsidRPr="002508D7">
              <w:rPr>
                <w:sz w:val="22"/>
                <w:szCs w:val="22"/>
                <w:lang w:val="uk-UA"/>
              </w:rPr>
              <w:t>- експертної оцінки (позитивної) кошторисних розрахунків.</w:t>
            </w:r>
            <w:r w:rsidRPr="002508D7">
              <w:rPr>
                <w:color w:val="00B050"/>
                <w:sz w:val="22"/>
                <w:szCs w:val="22"/>
                <w:lang w:val="uk-UA"/>
              </w:rPr>
              <w:t xml:space="preserve"> </w:t>
            </w:r>
          </w:p>
          <w:p w14:paraId="09DD097E" w14:textId="77777777" w:rsidR="00EF41E5" w:rsidRPr="002508D7" w:rsidRDefault="00EF41E5" w:rsidP="00322168">
            <w:pPr>
              <w:jc w:val="center"/>
              <w:rPr>
                <w:b/>
                <w:bCs/>
                <w:sz w:val="22"/>
                <w:szCs w:val="22"/>
                <w:lang w:val="uk-UA"/>
              </w:rPr>
            </w:pPr>
            <w:r w:rsidRPr="002508D7">
              <w:rPr>
                <w:b/>
                <w:bCs/>
                <w:sz w:val="22"/>
                <w:szCs w:val="22"/>
                <w:lang w:val="uk-UA"/>
              </w:rPr>
              <w:t>Технічні вимоги до вогнезахисної речовини/суміші:</w:t>
            </w:r>
          </w:p>
          <w:p w14:paraId="7FC1D4ED" w14:textId="77777777" w:rsidR="00EF41E5" w:rsidRPr="002508D7" w:rsidRDefault="00EF41E5" w:rsidP="00322168">
            <w:pPr>
              <w:jc w:val="both"/>
              <w:rPr>
                <w:sz w:val="22"/>
                <w:szCs w:val="22"/>
                <w:lang w:val="uk-UA"/>
              </w:rPr>
            </w:pPr>
            <w:r w:rsidRPr="002508D7">
              <w:rPr>
                <w:sz w:val="22"/>
                <w:szCs w:val="22"/>
                <w:lang w:val="uk-UA"/>
              </w:rPr>
              <w:t>Вогнезахисна речовина/суміш, що буде застосована для обробки дерев’яних конструкцій горища готелю-гуртожитку (</w:t>
            </w:r>
            <w:proofErr w:type="spellStart"/>
            <w:r w:rsidRPr="002508D7">
              <w:rPr>
                <w:sz w:val="22"/>
                <w:szCs w:val="22"/>
                <w:lang w:val="uk-UA"/>
              </w:rPr>
              <w:t>інв</w:t>
            </w:r>
            <w:proofErr w:type="spellEnd"/>
            <w:r w:rsidRPr="002508D7">
              <w:rPr>
                <w:sz w:val="22"/>
                <w:szCs w:val="22"/>
                <w:lang w:val="uk-UA"/>
              </w:rPr>
              <w:t>. №3707), відповідає таким вимогам:</w:t>
            </w:r>
          </w:p>
          <w:p w14:paraId="4A12841B" w14:textId="77777777" w:rsidR="00EF41E5" w:rsidRPr="002508D7" w:rsidRDefault="00EF41E5" w:rsidP="00322168">
            <w:pPr>
              <w:jc w:val="both"/>
              <w:rPr>
                <w:sz w:val="22"/>
                <w:szCs w:val="22"/>
                <w:lang w:val="uk-UA"/>
              </w:rPr>
            </w:pPr>
            <w:r w:rsidRPr="002508D7">
              <w:rPr>
                <w:sz w:val="22"/>
                <w:szCs w:val="22"/>
                <w:lang w:val="uk-UA"/>
              </w:rPr>
              <w:t>1) сертифікована в Україні та має чинний документ на підтвердження її відповідності вимогам державних стандартів (ДСТУ) та будівельних норм (ДБН), що регулюють пожежну безпеку, виданий акредитованим органом з оцінки відповідності;</w:t>
            </w:r>
          </w:p>
          <w:p w14:paraId="4362CAF6" w14:textId="77777777" w:rsidR="00EF41E5" w:rsidRPr="002508D7" w:rsidRDefault="00EF41E5" w:rsidP="00322168">
            <w:pPr>
              <w:jc w:val="both"/>
              <w:rPr>
                <w:sz w:val="22"/>
                <w:szCs w:val="22"/>
                <w:lang w:val="uk-UA"/>
              </w:rPr>
            </w:pPr>
            <w:r w:rsidRPr="002508D7">
              <w:rPr>
                <w:sz w:val="22"/>
                <w:szCs w:val="22"/>
                <w:lang w:val="uk-UA"/>
              </w:rPr>
              <w:t>2) строк збереження вогнезахисної ефективності обробленої деревини – не менше 10 років;</w:t>
            </w:r>
          </w:p>
          <w:p w14:paraId="40112053" w14:textId="77777777" w:rsidR="00EF41E5" w:rsidRPr="002508D7" w:rsidRDefault="00EF41E5" w:rsidP="00322168">
            <w:pPr>
              <w:jc w:val="both"/>
              <w:rPr>
                <w:sz w:val="22"/>
                <w:szCs w:val="22"/>
                <w:lang w:val="uk-UA"/>
              </w:rPr>
            </w:pPr>
            <w:r w:rsidRPr="002508D7">
              <w:rPr>
                <w:sz w:val="22"/>
                <w:szCs w:val="22"/>
                <w:lang w:val="uk-UA"/>
              </w:rPr>
              <w:t>3) якість складу речовини/суміші відповідає вимогам ДБН В.1.1.7-2016 «Пожежна безпека об`єктів будівництва. Загальні вимоги»;</w:t>
            </w:r>
          </w:p>
          <w:p w14:paraId="6C11EBA3" w14:textId="77777777" w:rsidR="00EF41E5" w:rsidRPr="002508D7" w:rsidRDefault="00EF41E5" w:rsidP="00322168">
            <w:pPr>
              <w:rPr>
                <w:sz w:val="22"/>
                <w:szCs w:val="22"/>
                <w:lang w:val="uk-UA"/>
              </w:rPr>
            </w:pPr>
            <w:r w:rsidRPr="002508D7">
              <w:rPr>
                <w:sz w:val="22"/>
                <w:szCs w:val="22"/>
                <w:lang w:val="uk-UA"/>
              </w:rPr>
              <w:t>4) не містить токсичних або заборонених речовин, відповідає санітарно-гігієнічним нормам України.</w:t>
            </w:r>
          </w:p>
        </w:tc>
      </w:tr>
    </w:tbl>
    <w:p w14:paraId="6E34E4E5" w14:textId="77777777" w:rsidR="00EF41E5" w:rsidRPr="00B2516F" w:rsidRDefault="00EF41E5" w:rsidP="00EF41E5">
      <w:pPr>
        <w:jc w:val="center"/>
        <w:rPr>
          <w:rFonts w:eastAsia="Calibri"/>
          <w:b/>
          <w:bCs/>
          <w:sz w:val="22"/>
          <w:szCs w:val="22"/>
          <w:highlight w:val="cyan"/>
          <w:lang w:val="uk-UA"/>
        </w:rPr>
      </w:pPr>
    </w:p>
    <w:p w14:paraId="7E3E2205" w14:textId="77777777" w:rsidR="00EF41E5" w:rsidRDefault="00EF41E5" w:rsidP="00EF41E5">
      <w:pPr>
        <w:spacing w:line="238" w:lineRule="auto"/>
        <w:ind w:left="2"/>
        <w:jc w:val="center"/>
        <w:rPr>
          <w:lang w:val="uk-UA"/>
        </w:rPr>
      </w:pPr>
      <w:r w:rsidRPr="007E4407">
        <w:rPr>
          <w:b/>
          <w:sz w:val="22"/>
          <w:szCs w:val="22"/>
          <w:lang w:val="uk-UA"/>
        </w:rPr>
        <w:t xml:space="preserve">Дефектний акт № </w:t>
      </w:r>
      <w:r w:rsidRPr="007E4407">
        <w:rPr>
          <w:lang w:val="uk-UA"/>
        </w:rPr>
        <w:t>66-26/4-2 від 15.05.2025р</w:t>
      </w:r>
    </w:p>
    <w:p w14:paraId="30AC0B56" w14:textId="77777777" w:rsidR="00EF41E5" w:rsidRPr="007E4407" w:rsidRDefault="00EF41E5" w:rsidP="00EF41E5">
      <w:pPr>
        <w:spacing w:line="238" w:lineRule="auto"/>
        <w:ind w:left="2"/>
        <w:jc w:val="center"/>
        <w:rPr>
          <w:lang w:val="uk-UA"/>
        </w:rPr>
      </w:pPr>
    </w:p>
    <w:p w14:paraId="533B9CE9" w14:textId="77777777" w:rsidR="00EF41E5" w:rsidRPr="007E4407" w:rsidRDefault="00EF41E5" w:rsidP="00EF41E5">
      <w:pPr>
        <w:jc w:val="both"/>
        <w:rPr>
          <w:color w:val="FF0000"/>
          <w:sz w:val="22"/>
          <w:szCs w:val="22"/>
          <w:lang w:val="uk-UA"/>
        </w:rPr>
      </w:pPr>
      <w:r w:rsidRPr="007E4407">
        <w:rPr>
          <w:sz w:val="22"/>
          <w:szCs w:val="22"/>
          <w:lang w:val="uk-UA"/>
        </w:rPr>
        <w:t>проведено візуальне обстеження дерев'яних конструкцій на об'єкті «Поточний ремонт дерев’яних конструкцій горища готелю-гуртожитку інв.№3707, а саме їх вогнезахисна обробка» та виявлено не відповідність до дотримання вимог Правил пожежної безпеки, які потребують усунення, шляхом виконання поточного ремонту для створення умов безпечної експлуатації конструкцій. Під час проведення поточного ремонту необхідно виконати наступні роботи:</w:t>
      </w:r>
    </w:p>
    <w:tbl>
      <w:tblPr>
        <w:tblStyle w:val="af0"/>
        <w:tblW w:w="9635" w:type="dxa"/>
        <w:tblLayout w:type="fixed"/>
        <w:tblLook w:val="04A0" w:firstRow="1" w:lastRow="0" w:firstColumn="1" w:lastColumn="0" w:noHBand="0" w:noVBand="1"/>
      </w:tblPr>
      <w:tblGrid>
        <w:gridCol w:w="562"/>
        <w:gridCol w:w="6521"/>
        <w:gridCol w:w="1134"/>
        <w:gridCol w:w="1418"/>
      </w:tblGrid>
      <w:tr w:rsidR="00EF41E5" w:rsidRPr="000F2780" w14:paraId="4EE1C75E" w14:textId="77777777" w:rsidTr="00322168">
        <w:trPr>
          <w:trHeight w:val="860"/>
        </w:trPr>
        <w:tc>
          <w:tcPr>
            <w:tcW w:w="562" w:type="dxa"/>
            <w:hideMark/>
          </w:tcPr>
          <w:p w14:paraId="30FF791A" w14:textId="77777777" w:rsidR="00EF41E5" w:rsidRPr="007E4407" w:rsidRDefault="00EF41E5" w:rsidP="00322168">
            <w:pPr>
              <w:jc w:val="center"/>
              <w:rPr>
                <w:sz w:val="22"/>
                <w:szCs w:val="22"/>
              </w:rPr>
            </w:pPr>
            <w:r w:rsidRPr="007E4407">
              <w:rPr>
                <w:sz w:val="22"/>
                <w:szCs w:val="22"/>
              </w:rPr>
              <w:t>№</w:t>
            </w:r>
            <w:r w:rsidRPr="007E4407">
              <w:rPr>
                <w:sz w:val="22"/>
                <w:szCs w:val="22"/>
              </w:rPr>
              <w:br/>
            </w:r>
          </w:p>
        </w:tc>
        <w:tc>
          <w:tcPr>
            <w:tcW w:w="6521" w:type="dxa"/>
            <w:hideMark/>
          </w:tcPr>
          <w:p w14:paraId="53D5A7D8" w14:textId="77777777" w:rsidR="00EF41E5" w:rsidRPr="007E4407" w:rsidRDefault="00EF41E5" w:rsidP="00322168">
            <w:pPr>
              <w:jc w:val="center"/>
              <w:rPr>
                <w:sz w:val="22"/>
                <w:szCs w:val="22"/>
                <w:lang w:val="uk-UA"/>
              </w:rPr>
            </w:pPr>
            <w:r w:rsidRPr="007E4407">
              <w:rPr>
                <w:sz w:val="22"/>
                <w:szCs w:val="22"/>
              </w:rPr>
              <w:br/>
            </w:r>
            <w:proofErr w:type="spellStart"/>
            <w:r w:rsidRPr="007E4407">
              <w:rPr>
                <w:sz w:val="22"/>
                <w:szCs w:val="22"/>
              </w:rPr>
              <w:t>Найменування</w:t>
            </w:r>
            <w:proofErr w:type="spellEnd"/>
            <w:r w:rsidRPr="007E4407">
              <w:rPr>
                <w:sz w:val="22"/>
                <w:szCs w:val="22"/>
              </w:rPr>
              <w:t xml:space="preserve"> </w:t>
            </w:r>
            <w:proofErr w:type="spellStart"/>
            <w:r w:rsidRPr="007E4407">
              <w:rPr>
                <w:sz w:val="22"/>
                <w:szCs w:val="22"/>
              </w:rPr>
              <w:t>робіт</w:t>
            </w:r>
            <w:proofErr w:type="spellEnd"/>
            <w:r w:rsidRPr="007E4407">
              <w:rPr>
                <w:sz w:val="22"/>
                <w:szCs w:val="22"/>
              </w:rPr>
              <w:t xml:space="preserve"> і </w:t>
            </w:r>
            <w:proofErr w:type="spellStart"/>
            <w:r w:rsidRPr="007E4407">
              <w:rPr>
                <w:sz w:val="22"/>
                <w:szCs w:val="22"/>
              </w:rPr>
              <w:t>витра</w:t>
            </w:r>
            <w:proofErr w:type="spellEnd"/>
            <w:r w:rsidRPr="007E4407">
              <w:rPr>
                <w:sz w:val="22"/>
                <w:szCs w:val="22"/>
                <w:lang w:val="uk-UA"/>
              </w:rPr>
              <w:t>т</w:t>
            </w:r>
          </w:p>
        </w:tc>
        <w:tc>
          <w:tcPr>
            <w:tcW w:w="1134" w:type="dxa"/>
            <w:hideMark/>
          </w:tcPr>
          <w:p w14:paraId="4694FBA9" w14:textId="77777777" w:rsidR="00EF41E5" w:rsidRPr="007E4407" w:rsidRDefault="00EF41E5" w:rsidP="00322168">
            <w:pPr>
              <w:jc w:val="center"/>
              <w:rPr>
                <w:sz w:val="22"/>
                <w:szCs w:val="22"/>
              </w:rPr>
            </w:pPr>
            <w:proofErr w:type="spellStart"/>
            <w:r w:rsidRPr="007E4407">
              <w:rPr>
                <w:sz w:val="22"/>
                <w:szCs w:val="22"/>
              </w:rPr>
              <w:t>Одиниця</w:t>
            </w:r>
            <w:proofErr w:type="spellEnd"/>
            <w:r w:rsidRPr="007E4407">
              <w:rPr>
                <w:sz w:val="22"/>
                <w:szCs w:val="22"/>
              </w:rPr>
              <w:br/>
            </w:r>
            <w:proofErr w:type="spellStart"/>
            <w:r w:rsidRPr="007E4407">
              <w:rPr>
                <w:sz w:val="22"/>
                <w:szCs w:val="22"/>
              </w:rPr>
              <w:t>виміру</w:t>
            </w:r>
            <w:proofErr w:type="spellEnd"/>
          </w:p>
        </w:tc>
        <w:tc>
          <w:tcPr>
            <w:tcW w:w="1418" w:type="dxa"/>
            <w:hideMark/>
          </w:tcPr>
          <w:p w14:paraId="5C875557" w14:textId="77777777" w:rsidR="00EF41E5" w:rsidRPr="007E4407" w:rsidRDefault="00EF41E5" w:rsidP="00322168">
            <w:pPr>
              <w:jc w:val="center"/>
              <w:rPr>
                <w:sz w:val="22"/>
                <w:szCs w:val="22"/>
              </w:rPr>
            </w:pPr>
            <w:proofErr w:type="spellStart"/>
            <w:r w:rsidRPr="007E4407">
              <w:rPr>
                <w:sz w:val="22"/>
                <w:szCs w:val="22"/>
              </w:rPr>
              <w:t>Кількість</w:t>
            </w:r>
            <w:proofErr w:type="spellEnd"/>
          </w:p>
        </w:tc>
      </w:tr>
      <w:tr w:rsidR="00EF41E5" w:rsidRPr="000F2780" w14:paraId="2FB2BBE5" w14:textId="77777777" w:rsidTr="00322168">
        <w:trPr>
          <w:trHeight w:val="308"/>
        </w:trPr>
        <w:tc>
          <w:tcPr>
            <w:tcW w:w="562" w:type="dxa"/>
            <w:hideMark/>
          </w:tcPr>
          <w:p w14:paraId="46AA360B" w14:textId="77777777" w:rsidR="00EF41E5" w:rsidRPr="007E4407" w:rsidRDefault="00EF41E5" w:rsidP="00322168">
            <w:pPr>
              <w:jc w:val="center"/>
              <w:rPr>
                <w:sz w:val="22"/>
                <w:szCs w:val="22"/>
              </w:rPr>
            </w:pPr>
            <w:r w:rsidRPr="007E4407">
              <w:rPr>
                <w:sz w:val="22"/>
                <w:szCs w:val="22"/>
              </w:rPr>
              <w:t>1</w:t>
            </w:r>
          </w:p>
        </w:tc>
        <w:tc>
          <w:tcPr>
            <w:tcW w:w="6521" w:type="dxa"/>
            <w:hideMark/>
          </w:tcPr>
          <w:p w14:paraId="0AE8161F" w14:textId="77777777" w:rsidR="00EF41E5" w:rsidRPr="007E4407" w:rsidRDefault="00EF41E5" w:rsidP="00322168">
            <w:pPr>
              <w:jc w:val="center"/>
              <w:rPr>
                <w:sz w:val="22"/>
                <w:szCs w:val="22"/>
              </w:rPr>
            </w:pPr>
            <w:r w:rsidRPr="007E4407">
              <w:rPr>
                <w:sz w:val="22"/>
                <w:szCs w:val="22"/>
              </w:rPr>
              <w:t>2</w:t>
            </w:r>
          </w:p>
        </w:tc>
        <w:tc>
          <w:tcPr>
            <w:tcW w:w="1134" w:type="dxa"/>
            <w:hideMark/>
          </w:tcPr>
          <w:p w14:paraId="04A559BD" w14:textId="77777777" w:rsidR="00EF41E5" w:rsidRPr="007E4407" w:rsidRDefault="00EF41E5" w:rsidP="00322168">
            <w:pPr>
              <w:jc w:val="center"/>
              <w:rPr>
                <w:sz w:val="22"/>
                <w:szCs w:val="22"/>
              </w:rPr>
            </w:pPr>
            <w:r w:rsidRPr="007E4407">
              <w:rPr>
                <w:sz w:val="22"/>
                <w:szCs w:val="22"/>
              </w:rPr>
              <w:t>3</w:t>
            </w:r>
          </w:p>
        </w:tc>
        <w:tc>
          <w:tcPr>
            <w:tcW w:w="1418" w:type="dxa"/>
            <w:hideMark/>
          </w:tcPr>
          <w:p w14:paraId="56705D28" w14:textId="77777777" w:rsidR="00EF41E5" w:rsidRPr="007E4407" w:rsidRDefault="00EF41E5" w:rsidP="00322168">
            <w:pPr>
              <w:jc w:val="center"/>
              <w:rPr>
                <w:sz w:val="22"/>
                <w:szCs w:val="22"/>
              </w:rPr>
            </w:pPr>
            <w:r w:rsidRPr="007E4407">
              <w:rPr>
                <w:sz w:val="22"/>
                <w:szCs w:val="22"/>
              </w:rPr>
              <w:t>4</w:t>
            </w:r>
          </w:p>
        </w:tc>
      </w:tr>
      <w:tr w:rsidR="00EF41E5" w:rsidRPr="000F2780" w14:paraId="0D7E0CBA" w14:textId="77777777" w:rsidTr="00322168">
        <w:trPr>
          <w:trHeight w:val="338"/>
        </w:trPr>
        <w:tc>
          <w:tcPr>
            <w:tcW w:w="562" w:type="dxa"/>
            <w:hideMark/>
          </w:tcPr>
          <w:p w14:paraId="76DF1D66" w14:textId="77777777" w:rsidR="00EF41E5" w:rsidRPr="007E4407" w:rsidRDefault="00EF41E5" w:rsidP="00322168">
            <w:pPr>
              <w:jc w:val="center"/>
              <w:rPr>
                <w:sz w:val="22"/>
                <w:szCs w:val="22"/>
              </w:rPr>
            </w:pPr>
            <w:r w:rsidRPr="007E4407">
              <w:rPr>
                <w:sz w:val="22"/>
                <w:szCs w:val="22"/>
              </w:rPr>
              <w:t>1</w:t>
            </w:r>
          </w:p>
        </w:tc>
        <w:tc>
          <w:tcPr>
            <w:tcW w:w="6521" w:type="dxa"/>
          </w:tcPr>
          <w:p w14:paraId="6877D0C2" w14:textId="77777777" w:rsidR="00EF41E5" w:rsidRPr="007E4407" w:rsidRDefault="00EF41E5" w:rsidP="00322168">
            <w:pPr>
              <w:jc w:val="both"/>
              <w:rPr>
                <w:sz w:val="22"/>
                <w:szCs w:val="22"/>
                <w:lang w:val="uk-UA"/>
              </w:rPr>
            </w:pPr>
            <w:r w:rsidRPr="007E4407">
              <w:rPr>
                <w:sz w:val="22"/>
                <w:szCs w:val="22"/>
                <w:lang w:val="uk-UA"/>
              </w:rPr>
              <w:t>Очищення поверхонь щітками</w:t>
            </w:r>
          </w:p>
        </w:tc>
        <w:tc>
          <w:tcPr>
            <w:tcW w:w="1134" w:type="dxa"/>
          </w:tcPr>
          <w:p w14:paraId="5790824F" w14:textId="77777777" w:rsidR="00EF41E5" w:rsidRPr="007E4407" w:rsidRDefault="00EF41E5" w:rsidP="00322168">
            <w:pPr>
              <w:jc w:val="center"/>
              <w:rPr>
                <w:sz w:val="22"/>
                <w:szCs w:val="22"/>
                <w:lang w:val="uk-UA"/>
              </w:rPr>
            </w:pPr>
            <w:r w:rsidRPr="007E4407">
              <w:rPr>
                <w:sz w:val="22"/>
                <w:szCs w:val="22"/>
                <w:lang w:val="uk-UA"/>
              </w:rPr>
              <w:t>м2</w:t>
            </w:r>
          </w:p>
        </w:tc>
        <w:tc>
          <w:tcPr>
            <w:tcW w:w="1418" w:type="dxa"/>
          </w:tcPr>
          <w:p w14:paraId="5DE3F6C0" w14:textId="77777777" w:rsidR="00EF41E5" w:rsidRPr="007E4407" w:rsidRDefault="00EF41E5" w:rsidP="00322168">
            <w:pPr>
              <w:jc w:val="center"/>
              <w:rPr>
                <w:sz w:val="22"/>
                <w:szCs w:val="22"/>
                <w:lang w:val="uk-UA"/>
              </w:rPr>
            </w:pPr>
            <w:r w:rsidRPr="007E4407">
              <w:rPr>
                <w:sz w:val="22"/>
                <w:szCs w:val="22"/>
                <w:lang w:val="uk-UA"/>
              </w:rPr>
              <w:t>486</w:t>
            </w:r>
          </w:p>
        </w:tc>
      </w:tr>
      <w:tr w:rsidR="00EF41E5" w:rsidRPr="000F2780" w14:paraId="358D68E6" w14:textId="77777777" w:rsidTr="00322168">
        <w:trPr>
          <w:trHeight w:val="414"/>
        </w:trPr>
        <w:tc>
          <w:tcPr>
            <w:tcW w:w="562" w:type="dxa"/>
            <w:hideMark/>
          </w:tcPr>
          <w:p w14:paraId="37BB0168" w14:textId="77777777" w:rsidR="00EF41E5" w:rsidRPr="007E4407" w:rsidRDefault="00EF41E5" w:rsidP="00322168">
            <w:pPr>
              <w:jc w:val="center"/>
              <w:rPr>
                <w:sz w:val="22"/>
                <w:szCs w:val="22"/>
              </w:rPr>
            </w:pPr>
            <w:r w:rsidRPr="007E4407">
              <w:rPr>
                <w:sz w:val="22"/>
                <w:szCs w:val="22"/>
              </w:rPr>
              <w:t>2</w:t>
            </w:r>
          </w:p>
        </w:tc>
        <w:tc>
          <w:tcPr>
            <w:tcW w:w="6521" w:type="dxa"/>
          </w:tcPr>
          <w:p w14:paraId="1C31B159" w14:textId="77777777" w:rsidR="00EF41E5" w:rsidRPr="007E4407" w:rsidRDefault="00EF41E5" w:rsidP="00322168">
            <w:pPr>
              <w:jc w:val="both"/>
              <w:rPr>
                <w:sz w:val="22"/>
                <w:szCs w:val="22"/>
                <w:lang w:val="uk-UA"/>
              </w:rPr>
            </w:pPr>
            <w:r w:rsidRPr="007E4407">
              <w:rPr>
                <w:sz w:val="22"/>
                <w:szCs w:val="22"/>
                <w:lang w:val="uk-UA"/>
              </w:rPr>
              <w:t>Нанесення в один шар вогнезахисного покриття</w:t>
            </w:r>
          </w:p>
        </w:tc>
        <w:tc>
          <w:tcPr>
            <w:tcW w:w="1134" w:type="dxa"/>
          </w:tcPr>
          <w:p w14:paraId="396D7082" w14:textId="77777777" w:rsidR="00EF41E5" w:rsidRPr="007E4407" w:rsidRDefault="00EF41E5" w:rsidP="00322168">
            <w:pPr>
              <w:jc w:val="center"/>
              <w:rPr>
                <w:sz w:val="22"/>
                <w:szCs w:val="22"/>
                <w:lang w:val="uk-UA"/>
              </w:rPr>
            </w:pPr>
            <w:r w:rsidRPr="007E4407">
              <w:rPr>
                <w:sz w:val="22"/>
                <w:szCs w:val="22"/>
                <w:lang w:val="uk-UA"/>
              </w:rPr>
              <w:t>100 м2</w:t>
            </w:r>
          </w:p>
        </w:tc>
        <w:tc>
          <w:tcPr>
            <w:tcW w:w="1418" w:type="dxa"/>
          </w:tcPr>
          <w:p w14:paraId="36820883" w14:textId="77777777" w:rsidR="00EF41E5" w:rsidRPr="007E4407" w:rsidRDefault="00EF41E5" w:rsidP="00322168">
            <w:pPr>
              <w:jc w:val="center"/>
              <w:rPr>
                <w:sz w:val="22"/>
                <w:szCs w:val="22"/>
                <w:lang w:val="uk-UA"/>
              </w:rPr>
            </w:pPr>
            <w:r w:rsidRPr="007E4407">
              <w:rPr>
                <w:sz w:val="22"/>
                <w:szCs w:val="22"/>
                <w:lang w:val="uk-UA"/>
              </w:rPr>
              <w:t>4.86</w:t>
            </w:r>
          </w:p>
        </w:tc>
      </w:tr>
      <w:tr w:rsidR="00EF41E5" w:rsidRPr="000F2780" w14:paraId="6E32DE02" w14:textId="77777777" w:rsidTr="00322168">
        <w:trPr>
          <w:trHeight w:val="562"/>
        </w:trPr>
        <w:tc>
          <w:tcPr>
            <w:tcW w:w="562" w:type="dxa"/>
            <w:hideMark/>
          </w:tcPr>
          <w:p w14:paraId="0CFE1B32" w14:textId="77777777" w:rsidR="00EF41E5" w:rsidRPr="007E4407" w:rsidRDefault="00EF41E5" w:rsidP="00322168">
            <w:pPr>
              <w:jc w:val="center"/>
              <w:rPr>
                <w:sz w:val="22"/>
                <w:szCs w:val="22"/>
              </w:rPr>
            </w:pPr>
            <w:r w:rsidRPr="007E4407">
              <w:rPr>
                <w:sz w:val="22"/>
                <w:szCs w:val="22"/>
              </w:rPr>
              <w:t>3</w:t>
            </w:r>
          </w:p>
        </w:tc>
        <w:tc>
          <w:tcPr>
            <w:tcW w:w="6521" w:type="dxa"/>
          </w:tcPr>
          <w:p w14:paraId="0B660643" w14:textId="77777777" w:rsidR="00EF41E5" w:rsidRPr="007E4407" w:rsidRDefault="00EF41E5" w:rsidP="00322168">
            <w:pPr>
              <w:jc w:val="both"/>
              <w:rPr>
                <w:sz w:val="22"/>
                <w:szCs w:val="22"/>
                <w:lang w:val="uk-UA"/>
              </w:rPr>
            </w:pPr>
            <w:r w:rsidRPr="007E4407">
              <w:rPr>
                <w:sz w:val="22"/>
                <w:szCs w:val="22"/>
                <w:lang w:val="uk-UA"/>
              </w:rPr>
              <w:t>Додавати на кожний наступний шар нанесення вогнезахисного покриття</w:t>
            </w:r>
          </w:p>
        </w:tc>
        <w:tc>
          <w:tcPr>
            <w:tcW w:w="1134" w:type="dxa"/>
          </w:tcPr>
          <w:p w14:paraId="640AFB8C" w14:textId="77777777" w:rsidR="00EF41E5" w:rsidRPr="007E4407" w:rsidRDefault="00EF41E5" w:rsidP="00322168">
            <w:pPr>
              <w:jc w:val="center"/>
              <w:rPr>
                <w:sz w:val="22"/>
                <w:szCs w:val="22"/>
              </w:rPr>
            </w:pPr>
            <w:r w:rsidRPr="007E4407">
              <w:rPr>
                <w:sz w:val="22"/>
                <w:szCs w:val="22"/>
                <w:lang w:val="uk-UA"/>
              </w:rPr>
              <w:t>100 м2</w:t>
            </w:r>
          </w:p>
        </w:tc>
        <w:tc>
          <w:tcPr>
            <w:tcW w:w="1418" w:type="dxa"/>
          </w:tcPr>
          <w:p w14:paraId="14612771" w14:textId="77777777" w:rsidR="00EF41E5" w:rsidRPr="007E4407" w:rsidRDefault="00EF41E5" w:rsidP="00322168">
            <w:pPr>
              <w:jc w:val="center"/>
              <w:rPr>
                <w:sz w:val="22"/>
                <w:szCs w:val="22"/>
              </w:rPr>
            </w:pPr>
            <w:r w:rsidRPr="007E4407">
              <w:rPr>
                <w:sz w:val="22"/>
                <w:szCs w:val="22"/>
                <w:lang w:val="uk-UA"/>
              </w:rPr>
              <w:t>4.86</w:t>
            </w:r>
          </w:p>
        </w:tc>
      </w:tr>
      <w:tr w:rsidR="00EF41E5" w:rsidRPr="000F2780" w14:paraId="688F7ECE" w14:textId="77777777" w:rsidTr="00322168">
        <w:trPr>
          <w:trHeight w:val="414"/>
        </w:trPr>
        <w:tc>
          <w:tcPr>
            <w:tcW w:w="562" w:type="dxa"/>
            <w:hideMark/>
          </w:tcPr>
          <w:p w14:paraId="307BE944" w14:textId="77777777" w:rsidR="00EF41E5" w:rsidRPr="007E4407" w:rsidRDefault="00EF41E5" w:rsidP="00322168">
            <w:pPr>
              <w:jc w:val="center"/>
              <w:rPr>
                <w:sz w:val="22"/>
                <w:szCs w:val="22"/>
              </w:rPr>
            </w:pPr>
            <w:r w:rsidRPr="007E4407">
              <w:rPr>
                <w:sz w:val="22"/>
                <w:szCs w:val="22"/>
              </w:rPr>
              <w:t>4</w:t>
            </w:r>
          </w:p>
        </w:tc>
        <w:tc>
          <w:tcPr>
            <w:tcW w:w="6521" w:type="dxa"/>
          </w:tcPr>
          <w:p w14:paraId="1CB096F8" w14:textId="77777777" w:rsidR="00EF41E5" w:rsidRPr="007E4407" w:rsidRDefault="00EF41E5" w:rsidP="00322168">
            <w:pPr>
              <w:jc w:val="both"/>
              <w:rPr>
                <w:sz w:val="22"/>
                <w:szCs w:val="22"/>
                <w:lang w:val="uk-UA"/>
              </w:rPr>
            </w:pPr>
            <w:r w:rsidRPr="007E4407">
              <w:rPr>
                <w:sz w:val="22"/>
                <w:szCs w:val="22"/>
                <w:lang w:val="uk-UA"/>
              </w:rPr>
              <w:t>Вогнезахисна суміш «</w:t>
            </w:r>
            <w:proofErr w:type="spellStart"/>
            <w:r w:rsidRPr="007E4407">
              <w:rPr>
                <w:sz w:val="22"/>
                <w:szCs w:val="22"/>
                <w:lang w:val="uk-UA"/>
              </w:rPr>
              <w:t>Ендотерм</w:t>
            </w:r>
            <w:proofErr w:type="spellEnd"/>
            <w:r w:rsidRPr="007E4407">
              <w:rPr>
                <w:sz w:val="22"/>
                <w:szCs w:val="22"/>
                <w:lang w:val="uk-UA"/>
              </w:rPr>
              <w:t xml:space="preserve"> 250103» або аналог</w:t>
            </w:r>
          </w:p>
        </w:tc>
        <w:tc>
          <w:tcPr>
            <w:tcW w:w="1134" w:type="dxa"/>
          </w:tcPr>
          <w:p w14:paraId="3D9C6396" w14:textId="77777777" w:rsidR="00EF41E5" w:rsidRPr="007E4407" w:rsidRDefault="00EF41E5" w:rsidP="00322168">
            <w:pPr>
              <w:jc w:val="center"/>
              <w:rPr>
                <w:sz w:val="22"/>
                <w:szCs w:val="22"/>
                <w:lang w:val="uk-UA"/>
              </w:rPr>
            </w:pPr>
            <w:r w:rsidRPr="007E4407">
              <w:rPr>
                <w:sz w:val="22"/>
                <w:szCs w:val="22"/>
                <w:lang w:val="uk-UA"/>
              </w:rPr>
              <w:t>кг</w:t>
            </w:r>
          </w:p>
        </w:tc>
        <w:tc>
          <w:tcPr>
            <w:tcW w:w="1418" w:type="dxa"/>
          </w:tcPr>
          <w:p w14:paraId="33A553E0" w14:textId="77777777" w:rsidR="00EF41E5" w:rsidRPr="007E4407" w:rsidRDefault="00EF41E5" w:rsidP="00322168">
            <w:pPr>
              <w:jc w:val="center"/>
              <w:rPr>
                <w:sz w:val="22"/>
                <w:szCs w:val="22"/>
                <w:lang w:val="uk-UA"/>
              </w:rPr>
            </w:pPr>
            <w:r w:rsidRPr="007E4407">
              <w:rPr>
                <w:sz w:val="22"/>
                <w:szCs w:val="22"/>
                <w:lang w:val="uk-UA"/>
              </w:rPr>
              <w:t>184.84</w:t>
            </w:r>
          </w:p>
        </w:tc>
      </w:tr>
    </w:tbl>
    <w:p w14:paraId="64009B25" w14:textId="77777777" w:rsidR="00EF41E5" w:rsidRDefault="00EF41E5" w:rsidP="00EF41E5">
      <w:pPr>
        <w:jc w:val="center"/>
        <w:rPr>
          <w:b/>
          <w:sz w:val="22"/>
          <w:szCs w:val="22"/>
          <w:lang w:val="uk-UA"/>
        </w:rPr>
      </w:pPr>
    </w:p>
    <w:p w14:paraId="064CD361" w14:textId="77777777" w:rsidR="00EF41E5" w:rsidRDefault="00EF41E5" w:rsidP="00EF41E5">
      <w:pPr>
        <w:jc w:val="both"/>
        <w:rPr>
          <w:bCs/>
          <w:sz w:val="22"/>
          <w:szCs w:val="22"/>
          <w:lang w:val="uk-UA"/>
        </w:rPr>
      </w:pPr>
      <w:r w:rsidRPr="00D4132F">
        <w:rPr>
          <w:b/>
          <w:color w:val="000000"/>
          <w:sz w:val="22"/>
          <w:szCs w:val="22"/>
          <w:lang w:val="uk-UA"/>
        </w:rPr>
        <w:t xml:space="preserve">Обґрунтування необхідності закупівлі даного виду Товару з посиланням на конкретну марку, модель (виробника, тощо): </w:t>
      </w:r>
      <w:r w:rsidRPr="00D4132F">
        <w:rPr>
          <w:bCs/>
          <w:sz w:val="22"/>
          <w:szCs w:val="22"/>
          <w:lang w:val="uk-UA"/>
        </w:rPr>
        <w:t>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p>
    <w:p w14:paraId="2503B11F" w14:textId="77777777" w:rsidR="006F428D" w:rsidRPr="007101A5" w:rsidRDefault="006F428D" w:rsidP="00A12478">
      <w:pPr>
        <w:rPr>
          <w:b/>
          <w:lang w:val="uk-UA"/>
        </w:rPr>
      </w:pPr>
    </w:p>
    <w:p w14:paraId="19AEA750" w14:textId="77777777" w:rsidR="006F428D" w:rsidRPr="007101A5" w:rsidRDefault="006F428D" w:rsidP="00A12478">
      <w:pPr>
        <w:rPr>
          <w:b/>
          <w:lang w:val="uk-UA"/>
        </w:rPr>
      </w:pPr>
    </w:p>
    <w:p w14:paraId="799BAE02" w14:textId="77777777" w:rsidR="009165D1" w:rsidRPr="005F37AD" w:rsidRDefault="009165D1" w:rsidP="009165D1">
      <w:pPr>
        <w:jc w:val="both"/>
        <w:rPr>
          <w:b/>
          <w:bCs/>
          <w:sz w:val="22"/>
          <w:szCs w:val="22"/>
          <w:lang w:val="uk-UA" w:eastAsia="uk-UA"/>
        </w:rPr>
      </w:pPr>
      <w:r w:rsidRPr="005F37AD">
        <w:rPr>
          <w:b/>
          <w:bCs/>
          <w:sz w:val="22"/>
          <w:szCs w:val="22"/>
          <w:lang w:val="uk-UA"/>
        </w:rPr>
        <w:t>Додаткова інформація.</w:t>
      </w:r>
    </w:p>
    <w:p w14:paraId="36B010B9" w14:textId="77777777" w:rsidR="00EF41E5" w:rsidRPr="00C8569C" w:rsidRDefault="00EF41E5" w:rsidP="00EF41E5">
      <w:pPr>
        <w:keepNext/>
        <w:widowControl w:val="0"/>
        <w:jc w:val="both"/>
        <w:rPr>
          <w:noProof/>
          <w:sz w:val="22"/>
          <w:szCs w:val="22"/>
          <w:lang w:val="uk-UA" w:eastAsia="uk-UA"/>
        </w:rPr>
      </w:pPr>
      <w:r w:rsidRPr="004F5E4F">
        <w:rPr>
          <w:noProof/>
          <w:sz w:val="22"/>
          <w:szCs w:val="22"/>
          <w:lang w:val="uk-UA" w:eastAsia="uk-UA"/>
        </w:rPr>
        <w:t xml:space="preserve">У місцях, де </w:t>
      </w:r>
      <w:r w:rsidRPr="00210866">
        <w:rPr>
          <w:b/>
          <w:bCs/>
          <w:noProof/>
          <w:sz w:val="22"/>
          <w:szCs w:val="22"/>
          <w:lang w:val="uk-UA" w:eastAsia="uk-UA"/>
        </w:rPr>
        <w:t>Дефектний акт (технічна специфікація)</w:t>
      </w:r>
      <w:r w:rsidRPr="004F5E4F">
        <w:rPr>
          <w:noProof/>
          <w:sz w:val="22"/>
          <w:szCs w:val="22"/>
          <w:lang w:val="uk-UA" w:eastAsia="uk-UA"/>
        </w:rPr>
        <w:t xml:space="preserve"> містить посилання на стандартні </w:t>
      </w:r>
      <w:r w:rsidRPr="00C8569C">
        <w:rPr>
          <w:noProof/>
          <w:sz w:val="22"/>
          <w:szCs w:val="22"/>
          <w:lang w:val="uk-UA" w:eastAsia="uk-UA"/>
        </w:rPr>
        <w:t xml:space="preserve">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w:t>
      </w:r>
    </w:p>
    <w:p w14:paraId="1B7E5590" w14:textId="77777777" w:rsidR="00EF41E5" w:rsidRPr="00C8569C" w:rsidRDefault="00EF41E5" w:rsidP="00EF41E5">
      <w:pPr>
        <w:keepNext/>
        <w:widowControl w:val="0"/>
        <w:jc w:val="both"/>
        <w:rPr>
          <w:noProof/>
          <w:sz w:val="22"/>
          <w:szCs w:val="22"/>
          <w:lang w:val="uk-UA" w:eastAsia="uk-UA"/>
        </w:rPr>
      </w:pPr>
      <w:r w:rsidRPr="00C8569C">
        <w:rPr>
          <w:noProof/>
          <w:sz w:val="22"/>
          <w:szCs w:val="22"/>
          <w:lang w:val="uk-UA" w:eastAsia="uk-UA"/>
        </w:rPr>
        <w:t xml:space="preserve">У місцях, де </w:t>
      </w:r>
      <w:r w:rsidRPr="00210866">
        <w:rPr>
          <w:b/>
          <w:bCs/>
          <w:noProof/>
          <w:sz w:val="22"/>
          <w:szCs w:val="22"/>
          <w:lang w:val="uk-UA" w:eastAsia="uk-UA"/>
        </w:rPr>
        <w:t>Дефектний акт (технічна специфікація)</w:t>
      </w:r>
      <w:r>
        <w:rPr>
          <w:noProof/>
          <w:sz w:val="22"/>
          <w:szCs w:val="22"/>
          <w:lang w:val="uk-UA" w:eastAsia="uk-UA"/>
        </w:rPr>
        <w:t xml:space="preserve"> </w:t>
      </w:r>
      <w:r w:rsidRPr="00C8569C">
        <w:rPr>
          <w:noProof/>
          <w:sz w:val="22"/>
          <w:szCs w:val="22"/>
          <w:lang w:val="uk-UA" w:eastAsia="uk-UA"/>
        </w:rPr>
        <w:t xml:space="preserve">містить посилання </w:t>
      </w:r>
      <w:r w:rsidRPr="00C8569C">
        <w:rPr>
          <w:noProof/>
          <w:sz w:val="22"/>
          <w:szCs w:val="22"/>
          <w:vertAlign w:val="superscript"/>
          <w:lang w:val="uk-UA" w:eastAsia="uk-UA"/>
        </w:rPr>
        <w:t>1)</w:t>
      </w:r>
      <w:r w:rsidRPr="00C8569C">
        <w:rPr>
          <w:noProof/>
          <w:sz w:val="22"/>
          <w:szCs w:val="22"/>
          <w:lang w:val="uk-UA" w:eastAsia="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наявним вираз «або еквівалент». Таким чином вважається, що до кожного посилання додається вираз «або еквівалент» </w:t>
      </w:r>
      <w:r w:rsidRPr="00C8569C">
        <w:rPr>
          <w:i/>
          <w:noProof/>
          <w:sz w:val="22"/>
          <w:szCs w:val="22"/>
          <w:lang w:val="uk-UA" w:eastAsia="uk-UA"/>
        </w:rPr>
        <w:t>(</w:t>
      </w:r>
      <w:r w:rsidRPr="00C8569C">
        <w:rPr>
          <w:i/>
          <w:noProof/>
          <w:sz w:val="22"/>
          <w:szCs w:val="22"/>
          <w:vertAlign w:val="superscript"/>
          <w:lang w:val="uk-UA" w:eastAsia="uk-UA"/>
        </w:rPr>
        <w:t>1)</w:t>
      </w:r>
      <w:r w:rsidRPr="00C8569C">
        <w:rPr>
          <w:i/>
          <w:noProof/>
          <w:sz w:val="22"/>
          <w:szCs w:val="22"/>
          <w:lang w:val="uk-UA" w:eastAsia="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C8569C">
        <w:rPr>
          <w:noProof/>
          <w:sz w:val="22"/>
          <w:szCs w:val="22"/>
          <w:lang w:val="uk-UA" w:eastAsia="uk-UA"/>
        </w:rPr>
        <w:t xml:space="preserve">. </w:t>
      </w:r>
    </w:p>
    <w:p w14:paraId="3A4113BA" w14:textId="58A52C4F" w:rsidR="00A256E7" w:rsidRPr="007101A5" w:rsidRDefault="00EF41E5" w:rsidP="00EF41E5">
      <w:pPr>
        <w:jc w:val="both"/>
        <w:rPr>
          <w:color w:val="000000"/>
          <w:sz w:val="26"/>
          <w:szCs w:val="26"/>
          <w:lang w:val="uk-UA"/>
        </w:rPr>
      </w:pPr>
      <w:r w:rsidRPr="00C8569C">
        <w:rPr>
          <w:noProof/>
          <w:sz w:val="22"/>
          <w:szCs w:val="22"/>
          <w:lang w:val="uk-UA" w:eastAsia="uk-UA"/>
        </w:rPr>
        <w:t>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w:t>
      </w:r>
      <w:r>
        <w:rPr>
          <w:noProof/>
          <w:sz w:val="22"/>
          <w:szCs w:val="22"/>
          <w:lang w:val="uk-UA" w:eastAsia="uk-UA"/>
        </w:rPr>
        <w:t xml:space="preserve"> </w:t>
      </w:r>
      <w:r w:rsidRPr="00C8569C">
        <w:rPr>
          <w:noProof/>
          <w:sz w:val="22"/>
          <w:szCs w:val="22"/>
          <w:lang w:val="uk-UA" w:eastAsia="uk-UA"/>
        </w:rPr>
        <w:t xml:space="preserve">запропонованого еквіваленту повинні відповідати встановленим в Додатку 1 </w:t>
      </w:r>
      <w:r w:rsidRPr="00210866">
        <w:rPr>
          <w:noProof/>
          <w:sz w:val="22"/>
          <w:szCs w:val="22"/>
          <w:lang w:val="uk-UA" w:eastAsia="uk-UA"/>
        </w:rPr>
        <w:t>вимогам.</w:t>
      </w:r>
    </w:p>
    <w:sectPr w:rsidR="00A256E7" w:rsidRPr="007101A5"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D19B" w14:textId="77777777" w:rsidR="001A1675" w:rsidRDefault="001A1675">
      <w:r>
        <w:separator/>
      </w:r>
    </w:p>
  </w:endnote>
  <w:endnote w:type="continuationSeparator" w:id="0">
    <w:p w14:paraId="48F2F97F" w14:textId="77777777" w:rsidR="001A1675" w:rsidRDefault="001A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87E8"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034E" w14:textId="599B2956" w:rsidR="00A256E7" w:rsidRPr="00A256E7" w:rsidRDefault="00A022B9"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26BA2A02" wp14:editId="48254A2B">
              <wp:simplePos x="0" y="0"/>
              <wp:positionH relativeFrom="column">
                <wp:posOffset>-180340</wp:posOffset>
              </wp:positionH>
              <wp:positionV relativeFrom="paragraph">
                <wp:posOffset>7620</wp:posOffset>
              </wp:positionV>
              <wp:extent cx="6357620" cy="14605"/>
              <wp:effectExtent l="10160" t="7620" r="13970" b="6350"/>
              <wp:wrapNone/>
              <wp:docPr id="180872600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6C237"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D3748E">
      <w:rPr>
        <w:sz w:val="20"/>
        <w:szCs w:val="20"/>
        <w:lang w:val="uk-UA"/>
      </w:rPr>
      <w:t xml:space="preserve">Поточний ремонт дерев’яних конструкцій горища готелю-гуртожитку інв.№3707, а саме  їх вогнезахисна обробка, код ДК 021:2015 - 45440000-3 - Фарбування та скління </w:t>
    </w:r>
  </w:p>
  <w:p w14:paraId="5B4BA585"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D8A1"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E22" w14:textId="77777777" w:rsidR="001A1675" w:rsidRDefault="001A1675">
      <w:r>
        <w:separator/>
      </w:r>
    </w:p>
  </w:footnote>
  <w:footnote w:type="continuationSeparator" w:id="0">
    <w:p w14:paraId="47F66875" w14:textId="77777777" w:rsidR="001A1675" w:rsidRDefault="001A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56DF"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F58C71"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2E0A" w14:textId="15A35365" w:rsidR="002D6492" w:rsidRPr="003C4B6B" w:rsidRDefault="00A022B9"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59C81BF2" wp14:editId="4480A0BD">
              <wp:simplePos x="0" y="0"/>
              <wp:positionH relativeFrom="column">
                <wp:posOffset>-17145</wp:posOffset>
              </wp:positionH>
              <wp:positionV relativeFrom="paragraph">
                <wp:posOffset>476885</wp:posOffset>
              </wp:positionV>
              <wp:extent cx="6329045" cy="13970"/>
              <wp:effectExtent l="11430" t="10160" r="12700" b="13970"/>
              <wp:wrapNone/>
              <wp:docPr id="4542682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D9D9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CE4F5E4" wp14:editId="1BD956E3">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4FDC"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48507410">
    <w:abstractNumId w:val="20"/>
  </w:num>
  <w:num w:numId="2" w16cid:durableId="369763806">
    <w:abstractNumId w:val="22"/>
  </w:num>
  <w:num w:numId="3" w16cid:durableId="1914386237">
    <w:abstractNumId w:val="0"/>
  </w:num>
  <w:num w:numId="4" w16cid:durableId="1893074942">
    <w:abstractNumId w:val="23"/>
  </w:num>
  <w:num w:numId="5" w16cid:durableId="1137140987">
    <w:abstractNumId w:val="7"/>
  </w:num>
  <w:num w:numId="6" w16cid:durableId="1052535570">
    <w:abstractNumId w:val="5"/>
  </w:num>
  <w:num w:numId="7" w16cid:durableId="1300302788">
    <w:abstractNumId w:val="6"/>
  </w:num>
  <w:num w:numId="8" w16cid:durableId="407189752">
    <w:abstractNumId w:val="19"/>
  </w:num>
  <w:num w:numId="9" w16cid:durableId="918094998">
    <w:abstractNumId w:val="1"/>
  </w:num>
  <w:num w:numId="10" w16cid:durableId="704448511">
    <w:abstractNumId w:val="16"/>
  </w:num>
  <w:num w:numId="11" w16cid:durableId="2050110068">
    <w:abstractNumId w:val="14"/>
  </w:num>
  <w:num w:numId="12" w16cid:durableId="1052731837">
    <w:abstractNumId w:val="12"/>
  </w:num>
  <w:num w:numId="13" w16cid:durableId="959334960">
    <w:abstractNumId w:val="13"/>
  </w:num>
  <w:num w:numId="14" w16cid:durableId="1292789697">
    <w:abstractNumId w:val="3"/>
  </w:num>
  <w:num w:numId="15" w16cid:durableId="773208588">
    <w:abstractNumId w:val="15"/>
  </w:num>
  <w:num w:numId="16" w16cid:durableId="397674196">
    <w:abstractNumId w:val="2"/>
  </w:num>
  <w:num w:numId="17" w16cid:durableId="536508241">
    <w:abstractNumId w:val="11"/>
  </w:num>
  <w:num w:numId="18" w16cid:durableId="614219402">
    <w:abstractNumId w:val="4"/>
  </w:num>
  <w:num w:numId="19" w16cid:durableId="1692997211">
    <w:abstractNumId w:val="8"/>
  </w:num>
  <w:num w:numId="20" w16cid:durableId="1344823893">
    <w:abstractNumId w:val="18"/>
  </w:num>
  <w:num w:numId="21" w16cid:durableId="810712308">
    <w:abstractNumId w:val="9"/>
  </w:num>
  <w:num w:numId="22" w16cid:durableId="1794013650">
    <w:abstractNumId w:val="17"/>
  </w:num>
  <w:num w:numId="23" w16cid:durableId="1004672563">
    <w:abstractNumId w:val="10"/>
  </w:num>
  <w:num w:numId="24" w16cid:durableId="1376268612">
    <w:abstractNumId w:val="21"/>
  </w:num>
  <w:num w:numId="25" w16cid:durableId="9221851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675"/>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22B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48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5452"/>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EF41E5"/>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0A2A"/>
    <w:rsid w:val="00F81FA2"/>
    <w:rsid w:val="00F830DA"/>
    <w:rsid w:val="00F85A82"/>
    <w:rsid w:val="00F864B2"/>
    <w:rsid w:val="00F86AF1"/>
    <w:rsid w:val="00F86D98"/>
    <w:rsid w:val="00F87C48"/>
    <w:rsid w:val="00F90B40"/>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DDC1C"/>
  <w15:chartTrackingRefBased/>
  <w15:docId w15:val="{FE6D0AF1-CF93-46E9-9420-152623C4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3912</Words>
  <Characters>2231</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4</cp:revision>
  <cp:lastPrinted>2021-11-17T09:02:00Z</cp:lastPrinted>
  <dcterms:created xsi:type="dcterms:W3CDTF">2025-09-19T12:51:00Z</dcterms:created>
  <dcterms:modified xsi:type="dcterms:W3CDTF">2025-09-19T12:57:00Z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