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5D5F44C1" w14:textId="77777777" w:rsidTr="001021AF">
        <w:tc>
          <w:tcPr>
            <w:tcW w:w="4683" w:type="dxa"/>
          </w:tcPr>
          <w:p w14:paraId="39185B71" w14:textId="15FD7E10" w:rsidR="00825A6B" w:rsidRPr="007101A5" w:rsidRDefault="00C62B7A" w:rsidP="006926A0">
            <w:pPr>
              <w:pStyle w:val="a4"/>
              <w:widowControl w:val="0"/>
              <w:rPr>
                <w:szCs w:val="17"/>
                <w:lang w:val="uk-UA"/>
              </w:rPr>
            </w:pPr>
            <w:r>
              <w:rPr>
                <w:noProof/>
                <w:lang w:val="uk-UA"/>
              </w:rPr>
              <w:drawing>
                <wp:inline distT="0" distB="0" distL="0" distR="0" wp14:anchorId="4098A08B" wp14:editId="06E2FC09">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7678E2AD"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169D04E1"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20D0F34C"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0B126FFF"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1C1709DA" w14:textId="77777777" w:rsidTr="00C62708">
        <w:tc>
          <w:tcPr>
            <w:tcW w:w="9854" w:type="dxa"/>
            <w:gridSpan w:val="2"/>
          </w:tcPr>
          <w:p w14:paraId="2ADD8604" w14:textId="77777777" w:rsidR="003C4B6B" w:rsidRPr="007101A5" w:rsidRDefault="003C4B6B" w:rsidP="007D7B6F">
            <w:pPr>
              <w:pStyle w:val="1"/>
              <w:keepNext w:val="0"/>
              <w:widowControl w:val="0"/>
              <w:rPr>
                <w:sz w:val="28"/>
                <w:szCs w:val="28"/>
              </w:rPr>
            </w:pPr>
          </w:p>
          <w:p w14:paraId="0F6B227F"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3AE1AE03" w14:textId="77777777" w:rsidR="005F3529" w:rsidRPr="007101A5" w:rsidRDefault="005F3529" w:rsidP="0063471D">
      <w:pPr>
        <w:pStyle w:val="a4"/>
        <w:widowControl w:val="0"/>
        <w:jc w:val="both"/>
        <w:rPr>
          <w:sz w:val="24"/>
          <w:szCs w:val="24"/>
          <w:lang w:val="uk-UA"/>
        </w:rPr>
      </w:pPr>
    </w:p>
    <w:p w14:paraId="7EDD7D4E"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121D1FD6" w14:textId="77777777" w:rsidR="009F35DC" w:rsidRPr="007101A5" w:rsidRDefault="009F35DC" w:rsidP="00440A74">
      <w:pPr>
        <w:widowControl w:val="0"/>
        <w:shd w:val="clear" w:color="auto" w:fill="FFFFFF"/>
        <w:ind w:firstLine="708"/>
        <w:contextualSpacing/>
        <w:jc w:val="both"/>
        <w:rPr>
          <w:lang w:val="uk-UA"/>
        </w:rPr>
      </w:pPr>
    </w:p>
    <w:tbl>
      <w:tblPr>
        <w:tblW w:w="4955"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93"/>
        <w:gridCol w:w="3043"/>
        <w:gridCol w:w="1888"/>
        <w:gridCol w:w="2194"/>
        <w:gridCol w:w="1865"/>
      </w:tblGrid>
      <w:tr w:rsidR="00A76484" w:rsidRPr="007101A5" w14:paraId="3BC5D2E8" w14:textId="77777777" w:rsidTr="001D270C">
        <w:tc>
          <w:tcPr>
            <w:tcW w:w="542" w:type="pct"/>
            <w:shd w:val="clear" w:color="auto" w:fill="DEEAF6"/>
          </w:tcPr>
          <w:p w14:paraId="025B0A05"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09" w:type="pct"/>
            <w:shd w:val="clear" w:color="auto" w:fill="DEEAF6"/>
          </w:tcPr>
          <w:p w14:paraId="799C1AE9"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36" w:type="pct"/>
            <w:shd w:val="clear" w:color="auto" w:fill="DEEAF6"/>
          </w:tcPr>
          <w:p w14:paraId="74C14638"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 xml:space="preserve">ічного плану </w:t>
            </w:r>
            <w:proofErr w:type="spellStart"/>
            <w:r w:rsidRPr="007101A5">
              <w:rPr>
                <w:b/>
                <w:sz w:val="22"/>
                <w:szCs w:val="22"/>
                <w:lang w:val="uk-UA"/>
              </w:rPr>
              <w:t>закупівель</w:t>
            </w:r>
            <w:proofErr w:type="spellEnd"/>
          </w:p>
        </w:tc>
        <w:tc>
          <w:tcPr>
            <w:tcW w:w="1088" w:type="pct"/>
            <w:shd w:val="clear" w:color="auto" w:fill="DEEAF6"/>
          </w:tcPr>
          <w:p w14:paraId="35AFC090"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25" w:type="pct"/>
            <w:shd w:val="clear" w:color="auto" w:fill="DEEAF6"/>
          </w:tcPr>
          <w:p w14:paraId="327B35A5"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480C85AA" w14:textId="77777777" w:rsidTr="001D270C">
        <w:tc>
          <w:tcPr>
            <w:tcW w:w="542" w:type="pct"/>
          </w:tcPr>
          <w:p w14:paraId="2F38F190" w14:textId="20E3A983" w:rsidR="00A76484" w:rsidRPr="001D270C" w:rsidRDefault="00636D39" w:rsidP="005469FD">
            <w:pPr>
              <w:widowControl w:val="0"/>
              <w:ind w:right="-11"/>
              <w:jc w:val="center"/>
              <w:rPr>
                <w:sz w:val="22"/>
                <w:szCs w:val="22"/>
                <w:lang w:val="uk-UA" w:eastAsia="uk-UA"/>
              </w:rPr>
            </w:pPr>
            <w:r w:rsidRPr="001D270C">
              <w:rPr>
                <w:sz w:val="22"/>
                <w:szCs w:val="22"/>
                <w:lang w:val="uk-UA"/>
              </w:rPr>
              <w:t xml:space="preserve">9.01.2 </w:t>
            </w:r>
            <w:r w:rsidR="00BD6E95" w:rsidRPr="001D270C">
              <w:rPr>
                <w:sz w:val="22"/>
                <w:szCs w:val="22"/>
                <w:lang w:val="uk-UA" w:eastAsia="uk-UA"/>
              </w:rPr>
              <w:t>(202</w:t>
            </w:r>
            <w:r w:rsidR="001D270C" w:rsidRPr="001D270C">
              <w:rPr>
                <w:sz w:val="22"/>
                <w:szCs w:val="22"/>
                <w:lang w:val="uk-UA" w:eastAsia="uk-UA"/>
              </w:rPr>
              <w:t>5</w:t>
            </w:r>
            <w:r w:rsidR="00A76484" w:rsidRPr="001D270C">
              <w:rPr>
                <w:sz w:val="22"/>
                <w:szCs w:val="22"/>
                <w:lang w:val="uk-UA" w:eastAsia="uk-UA"/>
              </w:rPr>
              <w:t>)</w:t>
            </w:r>
          </w:p>
        </w:tc>
        <w:tc>
          <w:tcPr>
            <w:tcW w:w="1509" w:type="pct"/>
          </w:tcPr>
          <w:p w14:paraId="3697EEA4" w14:textId="4E527659" w:rsidR="00A76484" w:rsidRPr="001D270C" w:rsidRDefault="00636D39" w:rsidP="00A12478">
            <w:pPr>
              <w:widowControl w:val="0"/>
              <w:rPr>
                <w:bCs/>
                <w:sz w:val="22"/>
                <w:szCs w:val="22"/>
                <w:lang w:val="uk-UA"/>
              </w:rPr>
            </w:pPr>
            <w:r w:rsidRPr="001D270C">
              <w:rPr>
                <w:b/>
                <w:sz w:val="22"/>
                <w:szCs w:val="22"/>
                <w:lang w:val="uk-UA"/>
              </w:rPr>
              <w:t xml:space="preserve">Ножі для косарки, </w:t>
            </w:r>
            <w:r w:rsidRPr="002321F4">
              <w:rPr>
                <w:bCs/>
                <w:sz w:val="22"/>
                <w:szCs w:val="22"/>
                <w:lang w:val="uk-UA"/>
              </w:rPr>
              <w:t>код ДК 021:2015 - 16810000-6 - Частини для сільськогосподарської техніки</w:t>
            </w:r>
          </w:p>
        </w:tc>
        <w:tc>
          <w:tcPr>
            <w:tcW w:w="936" w:type="pct"/>
          </w:tcPr>
          <w:p w14:paraId="7DAACE6F" w14:textId="4980EFA8" w:rsidR="00A76484" w:rsidRPr="001D270C" w:rsidRDefault="00636D39" w:rsidP="002D4D30">
            <w:pPr>
              <w:widowControl w:val="0"/>
              <w:jc w:val="center"/>
              <w:rPr>
                <w:sz w:val="22"/>
                <w:szCs w:val="22"/>
                <w:lang w:val="uk-UA"/>
              </w:rPr>
            </w:pPr>
            <w:r w:rsidRPr="001D270C">
              <w:rPr>
                <w:sz w:val="22"/>
                <w:szCs w:val="22"/>
                <w:lang w:val="uk-UA"/>
              </w:rPr>
              <w:t>26 750,00</w:t>
            </w:r>
            <w:r w:rsidR="00A76484" w:rsidRPr="001D270C">
              <w:rPr>
                <w:sz w:val="22"/>
                <w:szCs w:val="22"/>
                <w:lang w:val="uk-UA"/>
              </w:rPr>
              <w:t xml:space="preserve"> </w:t>
            </w:r>
          </w:p>
          <w:p w14:paraId="1CBE75C2" w14:textId="77777777" w:rsidR="00A76484" w:rsidRPr="001D270C" w:rsidRDefault="00A76484" w:rsidP="002D4D30">
            <w:pPr>
              <w:widowControl w:val="0"/>
              <w:jc w:val="center"/>
              <w:rPr>
                <w:sz w:val="22"/>
                <w:szCs w:val="22"/>
                <w:lang w:val="uk-UA"/>
              </w:rPr>
            </w:pPr>
            <w:r w:rsidRPr="001D270C">
              <w:rPr>
                <w:sz w:val="22"/>
                <w:szCs w:val="22"/>
                <w:lang w:val="uk-UA"/>
              </w:rPr>
              <w:t>грн. з ПДВ</w:t>
            </w:r>
          </w:p>
        </w:tc>
        <w:tc>
          <w:tcPr>
            <w:tcW w:w="1088" w:type="pct"/>
          </w:tcPr>
          <w:p w14:paraId="786DA571" w14:textId="77777777" w:rsidR="00081181" w:rsidRPr="001D270C" w:rsidRDefault="00081181" w:rsidP="00081181">
            <w:pPr>
              <w:widowControl w:val="0"/>
              <w:jc w:val="center"/>
              <w:rPr>
                <w:sz w:val="22"/>
                <w:szCs w:val="22"/>
                <w:lang w:val="uk-UA"/>
              </w:rPr>
            </w:pPr>
            <w:r w:rsidRPr="001D270C">
              <w:rPr>
                <w:sz w:val="22"/>
                <w:szCs w:val="22"/>
                <w:lang w:val="uk-UA"/>
              </w:rPr>
              <w:t xml:space="preserve">26 750,00 </w:t>
            </w:r>
          </w:p>
          <w:p w14:paraId="25EE4BA9" w14:textId="2170E99F" w:rsidR="00A76484" w:rsidRPr="001D270C" w:rsidRDefault="00081181" w:rsidP="00081181">
            <w:pPr>
              <w:widowControl w:val="0"/>
              <w:jc w:val="center"/>
              <w:rPr>
                <w:sz w:val="22"/>
                <w:szCs w:val="22"/>
                <w:lang w:val="uk-UA"/>
              </w:rPr>
            </w:pPr>
            <w:r w:rsidRPr="001D270C">
              <w:rPr>
                <w:sz w:val="22"/>
                <w:szCs w:val="22"/>
                <w:lang w:val="uk-UA"/>
              </w:rPr>
              <w:t>грн. з ПДВ</w:t>
            </w:r>
          </w:p>
        </w:tc>
        <w:tc>
          <w:tcPr>
            <w:tcW w:w="925" w:type="pct"/>
          </w:tcPr>
          <w:p w14:paraId="41D94A84" w14:textId="6ABFA4CF" w:rsidR="00A76484" w:rsidRPr="001D270C" w:rsidRDefault="00081181" w:rsidP="002D4D30">
            <w:pPr>
              <w:widowControl w:val="0"/>
              <w:jc w:val="center"/>
              <w:rPr>
                <w:color w:val="0000FF"/>
                <w:sz w:val="22"/>
                <w:szCs w:val="22"/>
                <w:lang w:val="uk-UA"/>
              </w:rPr>
            </w:pPr>
            <w:hyperlink r:id="rId9" w:history="1">
              <w:r w:rsidRPr="00081181">
                <w:rPr>
                  <w:rStyle w:val="af"/>
                  <w:sz w:val="22"/>
                  <w:szCs w:val="22"/>
                  <w:u w:val="none"/>
                </w:rPr>
                <w:t>UA-2025-10-13-014154-a</w:t>
              </w:r>
            </w:hyperlink>
          </w:p>
        </w:tc>
      </w:tr>
    </w:tbl>
    <w:p w14:paraId="2370B130" w14:textId="77777777" w:rsidR="00A12478" w:rsidRPr="007101A5" w:rsidRDefault="00A12478" w:rsidP="0063471D">
      <w:pPr>
        <w:pStyle w:val="a4"/>
        <w:widowControl w:val="0"/>
        <w:jc w:val="both"/>
        <w:rPr>
          <w:sz w:val="24"/>
          <w:szCs w:val="24"/>
          <w:lang w:val="uk-UA"/>
        </w:rPr>
      </w:pPr>
    </w:p>
    <w:p w14:paraId="354A3D87"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7C273BA1" w14:textId="77777777" w:rsidR="006F428D" w:rsidRPr="007101A5" w:rsidRDefault="006F428D" w:rsidP="00A12478">
      <w:pPr>
        <w:rPr>
          <w:b/>
          <w:lang w:val="uk-UA"/>
        </w:rPr>
      </w:pPr>
    </w:p>
    <w:tbl>
      <w:tblPr>
        <w:tblW w:w="10258"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gridCol w:w="52"/>
      </w:tblGrid>
      <w:tr w:rsidR="008335E7" w:rsidRPr="007101A5" w14:paraId="5CAA8549" w14:textId="77777777" w:rsidTr="001D270C">
        <w:trPr>
          <w:gridAfter w:val="1"/>
          <w:wAfter w:w="52" w:type="dxa"/>
        </w:trPr>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8279CA8" w14:textId="77777777" w:rsidR="008335E7" w:rsidRPr="007101A5" w:rsidRDefault="008335E7" w:rsidP="00C62708">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2B19499" w14:textId="77777777" w:rsidR="008335E7" w:rsidRPr="007101A5" w:rsidRDefault="008335E7" w:rsidP="00C62708">
            <w:pPr>
              <w:rPr>
                <w:lang w:val="uk-UA"/>
              </w:rPr>
            </w:pPr>
            <w:r w:rsidRPr="007101A5">
              <w:rPr>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19E9AEF" w14:textId="5B27CE0A" w:rsidR="008335E7" w:rsidRPr="001D270C" w:rsidRDefault="001D270C" w:rsidP="001D270C">
            <w:pPr>
              <w:ind w:right="56"/>
              <w:jc w:val="both"/>
              <w:rPr>
                <w:i/>
                <w:lang w:val="uk-UA"/>
              </w:rPr>
            </w:pPr>
            <w:r w:rsidRPr="001D270C">
              <w:rPr>
                <w:lang w:val="uk-UA"/>
              </w:rPr>
              <w:t xml:space="preserve">Обґрунтування очікуваної вартості предмета закупівлі: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1D270C">
              <w:rPr>
                <w:lang w:val="uk-UA"/>
              </w:rPr>
              <w:t>закупівель</w:t>
            </w:r>
            <w:proofErr w:type="spellEnd"/>
            <w:r w:rsidRPr="001D270C">
              <w:rPr>
                <w:lang w:val="uk-UA"/>
              </w:rPr>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 Обґрунтування обсягів закупівлі: Обсяги визначено відповідно до очікуваної потреби</w:t>
            </w:r>
          </w:p>
        </w:tc>
      </w:tr>
      <w:tr w:rsidR="006F428D" w:rsidRPr="007101A5" w14:paraId="32E0205D" w14:textId="77777777" w:rsidTr="001D270C">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4C81FC8" w14:textId="77777777" w:rsidR="006F428D" w:rsidRPr="007101A5" w:rsidRDefault="008335E7" w:rsidP="00C62708">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C780276" w14:textId="77777777" w:rsidR="006F428D" w:rsidRPr="007101A5" w:rsidRDefault="006F428D" w:rsidP="00C62708">
            <w:pPr>
              <w:rPr>
                <w:lang w:val="uk-UA"/>
              </w:rPr>
            </w:pPr>
            <w:r w:rsidRPr="007101A5">
              <w:rPr>
                <w:lang w:val="uk-UA"/>
              </w:rPr>
              <w:t>Обґрунтування технічних та якісних характеристик предмета закупівлі</w:t>
            </w:r>
          </w:p>
        </w:tc>
        <w:tc>
          <w:tcPr>
            <w:tcW w:w="7139" w:type="dxa"/>
            <w:gridSpan w:val="2"/>
            <w:tcBorders>
              <w:top w:val="thickThinLargeGap" w:sz="6" w:space="0" w:color="000000"/>
              <w:left w:val="thickThinLargeGap" w:sz="6" w:space="0" w:color="000000"/>
              <w:bottom w:val="thickThinLargeGap" w:sz="6" w:space="0" w:color="000000"/>
              <w:right w:val="thickThinLargeGap" w:sz="6" w:space="0" w:color="000000"/>
            </w:tcBorders>
          </w:tcPr>
          <w:p w14:paraId="4EBF6E8F" w14:textId="77777777" w:rsidR="001D270C" w:rsidRPr="001D270C" w:rsidRDefault="001D270C" w:rsidP="001D270C">
            <w:pPr>
              <w:widowControl w:val="0"/>
              <w:ind w:right="114"/>
              <w:jc w:val="both"/>
              <w:rPr>
                <w:iCs/>
                <w:lang w:val="uk-UA"/>
              </w:rPr>
            </w:pPr>
            <w:r w:rsidRPr="001D270C">
              <w:rPr>
                <w:b/>
                <w:bCs/>
                <w:i/>
                <w:lang w:val="uk-UA"/>
              </w:rPr>
              <w:t>Визначення потреби в закупівлі:</w:t>
            </w:r>
            <w:r w:rsidRPr="001D270C">
              <w:rPr>
                <w:i/>
                <w:lang w:val="uk-UA"/>
              </w:rPr>
              <w:t xml:space="preserve"> </w:t>
            </w:r>
            <w:r w:rsidRPr="001D270C">
              <w:rPr>
                <w:color w:val="000000" w:themeColor="text1"/>
                <w:lang w:val="uk-UA"/>
              </w:rPr>
              <w:t>Забезпечення проведення поточного ремонту косарок (навісного обладнання) , які використовуються для покосу травостою.</w:t>
            </w:r>
          </w:p>
          <w:p w14:paraId="03035BA9" w14:textId="2101564B" w:rsidR="006F428D" w:rsidRPr="007101A5" w:rsidRDefault="001D270C" w:rsidP="001D270C">
            <w:pPr>
              <w:ind w:right="114"/>
              <w:jc w:val="both"/>
              <w:rPr>
                <w:i/>
                <w:lang w:val="uk-UA"/>
              </w:rPr>
            </w:pPr>
            <w:r w:rsidRPr="001D270C">
              <w:rPr>
                <w:b/>
                <w:bCs/>
                <w:iCs/>
                <w:lang w:val="uk-UA"/>
              </w:rPr>
              <w:t>Обґрунтування технічних та якісних характеристик предмета закупівлі:</w:t>
            </w:r>
            <w:r w:rsidRPr="001D270C">
              <w:rPr>
                <w:iCs/>
                <w:lang w:val="uk-UA"/>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6F428D" w:rsidRPr="007101A5" w14:paraId="43D9A6D9" w14:textId="77777777" w:rsidTr="001D270C">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B464B94" w14:textId="77777777" w:rsidR="006F428D" w:rsidRPr="007101A5" w:rsidRDefault="006F428D" w:rsidP="00C62708">
            <w:pPr>
              <w:rPr>
                <w:bCs/>
                <w:lang w:val="uk-UA"/>
              </w:rPr>
            </w:pPr>
            <w:r w:rsidRPr="007101A5">
              <w:rPr>
                <w:bCs/>
                <w:lang w:val="uk-UA"/>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2CE5BA9" w14:textId="77777777" w:rsidR="006F428D" w:rsidRPr="007101A5" w:rsidRDefault="006F428D" w:rsidP="00C62708">
            <w:pPr>
              <w:rPr>
                <w:lang w:val="uk-UA"/>
              </w:rPr>
            </w:pPr>
            <w:r w:rsidRPr="007101A5">
              <w:rPr>
                <w:lang w:val="uk-UA"/>
              </w:rPr>
              <w:t>Інша інформація</w:t>
            </w:r>
          </w:p>
        </w:tc>
        <w:tc>
          <w:tcPr>
            <w:tcW w:w="7139" w:type="dxa"/>
            <w:gridSpan w:val="2"/>
            <w:tcBorders>
              <w:top w:val="thickThinLargeGap" w:sz="6" w:space="0" w:color="000000"/>
              <w:left w:val="thickThinLargeGap" w:sz="6" w:space="0" w:color="000000"/>
              <w:bottom w:val="thickThinLargeGap" w:sz="6" w:space="0" w:color="000000"/>
              <w:right w:val="thickThinLargeGap" w:sz="6" w:space="0" w:color="000000"/>
            </w:tcBorders>
          </w:tcPr>
          <w:p w14:paraId="76265EC1" w14:textId="77777777" w:rsidR="00965EFE" w:rsidRPr="006B5BAD" w:rsidRDefault="00965EFE" w:rsidP="00965EFE">
            <w:pPr>
              <w:widowControl w:val="0"/>
              <w:jc w:val="both"/>
              <w:rPr>
                <w:b/>
                <w:bCs/>
                <w:iCs/>
              </w:rPr>
            </w:pPr>
            <w:r w:rsidRPr="006B5BAD">
              <w:rPr>
                <w:b/>
                <w:bCs/>
                <w:iCs/>
              </w:rPr>
              <w:t xml:space="preserve">Метод </w:t>
            </w:r>
            <w:proofErr w:type="spellStart"/>
            <w:r w:rsidRPr="006B5BAD">
              <w:rPr>
                <w:b/>
                <w:bCs/>
                <w:iCs/>
              </w:rPr>
              <w:t>порівняння</w:t>
            </w:r>
            <w:proofErr w:type="spellEnd"/>
            <w:r w:rsidRPr="006B5BAD">
              <w:rPr>
                <w:b/>
                <w:bCs/>
                <w:iCs/>
              </w:rPr>
              <w:t xml:space="preserve"> </w:t>
            </w:r>
            <w:proofErr w:type="spellStart"/>
            <w:r w:rsidRPr="006B5BAD">
              <w:rPr>
                <w:b/>
                <w:bCs/>
                <w:iCs/>
              </w:rPr>
              <w:t>ринкових</w:t>
            </w:r>
            <w:proofErr w:type="spellEnd"/>
            <w:r w:rsidRPr="006B5BAD">
              <w:rPr>
                <w:b/>
                <w:bCs/>
                <w:iCs/>
              </w:rPr>
              <w:t xml:space="preserve"> </w:t>
            </w:r>
            <w:proofErr w:type="spellStart"/>
            <w:r w:rsidRPr="006B5BAD">
              <w:rPr>
                <w:b/>
                <w:bCs/>
                <w:iCs/>
              </w:rPr>
              <w:t>цін</w:t>
            </w:r>
            <w:proofErr w:type="spellEnd"/>
            <w:r w:rsidRPr="006B5BAD">
              <w:rPr>
                <w:b/>
                <w:bCs/>
                <w:iCs/>
              </w:rPr>
              <w:t xml:space="preserve"> за </w:t>
            </w:r>
            <w:proofErr w:type="spellStart"/>
            <w:r w:rsidRPr="006B5BAD">
              <w:rPr>
                <w:b/>
                <w:bCs/>
                <w:iCs/>
              </w:rPr>
              <w:t>інформацією</w:t>
            </w:r>
            <w:proofErr w:type="spellEnd"/>
            <w:r w:rsidRPr="006B5BAD">
              <w:rPr>
                <w:b/>
                <w:bCs/>
                <w:iCs/>
              </w:rPr>
              <w:t xml:space="preserve">, </w:t>
            </w:r>
            <w:proofErr w:type="spellStart"/>
            <w:r w:rsidRPr="006B5BAD">
              <w:rPr>
                <w:b/>
                <w:bCs/>
                <w:iCs/>
              </w:rPr>
              <w:t>що</w:t>
            </w:r>
            <w:proofErr w:type="spellEnd"/>
            <w:r w:rsidRPr="006B5BAD">
              <w:rPr>
                <w:b/>
                <w:bCs/>
                <w:iCs/>
              </w:rPr>
              <w:t xml:space="preserve"> </w:t>
            </w:r>
            <w:proofErr w:type="spellStart"/>
            <w:r w:rsidRPr="006B5BAD">
              <w:rPr>
                <w:b/>
                <w:bCs/>
                <w:iCs/>
              </w:rPr>
              <w:t>міститься</w:t>
            </w:r>
            <w:proofErr w:type="spellEnd"/>
            <w:r w:rsidRPr="006B5BAD">
              <w:rPr>
                <w:b/>
                <w:bCs/>
                <w:iCs/>
              </w:rPr>
              <w:t xml:space="preserve"> у </w:t>
            </w:r>
            <w:proofErr w:type="spellStart"/>
            <w:r w:rsidRPr="006B5BAD">
              <w:rPr>
                <w:b/>
                <w:bCs/>
                <w:iCs/>
              </w:rPr>
              <w:t>відкритих</w:t>
            </w:r>
            <w:proofErr w:type="spellEnd"/>
            <w:r w:rsidRPr="006B5BAD">
              <w:rPr>
                <w:b/>
                <w:bCs/>
                <w:iCs/>
              </w:rPr>
              <w:t xml:space="preserve"> </w:t>
            </w:r>
            <w:proofErr w:type="spellStart"/>
            <w:r w:rsidRPr="006B5BAD">
              <w:rPr>
                <w:b/>
                <w:bCs/>
                <w:iCs/>
              </w:rPr>
              <w:t>джерелах</w:t>
            </w:r>
            <w:proofErr w:type="spellEnd"/>
            <w:r w:rsidRPr="006B5BAD">
              <w:rPr>
                <w:b/>
                <w:bCs/>
                <w:iCs/>
              </w:rPr>
              <w:t>.</w:t>
            </w:r>
          </w:p>
          <w:p w14:paraId="390E0FB2" w14:textId="77777777" w:rsidR="00965EFE" w:rsidRPr="006B5BAD" w:rsidRDefault="00965EFE" w:rsidP="00965EFE">
            <w:pPr>
              <w:widowControl w:val="0"/>
              <w:jc w:val="both"/>
              <w:rPr>
                <w:b/>
                <w:bCs/>
                <w:iCs/>
              </w:rPr>
            </w:pPr>
          </w:p>
          <w:p w14:paraId="6B7CE39F" w14:textId="77777777" w:rsidR="00965EFE" w:rsidRPr="006B5BAD" w:rsidRDefault="00965EFE" w:rsidP="00965EFE">
            <w:pPr>
              <w:widowControl w:val="0"/>
              <w:jc w:val="both"/>
              <w:rPr>
                <w:b/>
                <w:bCs/>
                <w:iCs/>
              </w:rPr>
            </w:pPr>
            <w:r w:rsidRPr="006B5BAD">
              <w:rPr>
                <w:b/>
                <w:bCs/>
                <w:iCs/>
              </w:rPr>
              <w:t xml:space="preserve">Для </w:t>
            </w:r>
            <w:proofErr w:type="spellStart"/>
            <w:r w:rsidRPr="006B5BAD">
              <w:rPr>
                <w:b/>
                <w:bCs/>
                <w:iCs/>
              </w:rPr>
              <w:t>визначення</w:t>
            </w:r>
            <w:proofErr w:type="spellEnd"/>
            <w:r w:rsidRPr="006B5BAD">
              <w:rPr>
                <w:b/>
                <w:bCs/>
                <w:iCs/>
              </w:rPr>
              <w:t xml:space="preserve"> </w:t>
            </w:r>
            <w:proofErr w:type="spellStart"/>
            <w:r w:rsidRPr="006B5BAD">
              <w:rPr>
                <w:b/>
                <w:bCs/>
                <w:iCs/>
              </w:rPr>
              <w:t>вартості</w:t>
            </w:r>
            <w:proofErr w:type="spellEnd"/>
            <w:r w:rsidRPr="006B5BAD">
              <w:rPr>
                <w:b/>
                <w:bCs/>
                <w:iCs/>
              </w:rPr>
              <w:t xml:space="preserve"> товару </w:t>
            </w:r>
            <w:proofErr w:type="spellStart"/>
            <w:r w:rsidRPr="006B5BAD">
              <w:rPr>
                <w:b/>
                <w:bCs/>
                <w:iCs/>
              </w:rPr>
              <w:t>було</w:t>
            </w:r>
            <w:proofErr w:type="spellEnd"/>
            <w:r w:rsidRPr="006B5BAD">
              <w:rPr>
                <w:b/>
                <w:bCs/>
                <w:iCs/>
              </w:rPr>
              <w:t xml:space="preserve"> взято </w:t>
            </w:r>
            <w:proofErr w:type="spellStart"/>
            <w:r w:rsidRPr="006B5BAD">
              <w:rPr>
                <w:b/>
                <w:bCs/>
                <w:iCs/>
              </w:rPr>
              <w:t>інформацію</w:t>
            </w:r>
            <w:proofErr w:type="spellEnd"/>
            <w:r w:rsidRPr="006B5BAD">
              <w:rPr>
                <w:b/>
                <w:bCs/>
                <w:iCs/>
              </w:rPr>
              <w:t xml:space="preserve"> з</w:t>
            </w:r>
          </w:p>
          <w:p w14:paraId="3135414D" w14:textId="77777777" w:rsidR="00965EFE" w:rsidRDefault="00965EFE" w:rsidP="00965EFE">
            <w:pPr>
              <w:widowControl w:val="0"/>
              <w:rPr>
                <w:b/>
                <w:bCs/>
                <w:iCs/>
              </w:rPr>
            </w:pPr>
            <w:proofErr w:type="spellStart"/>
            <w:r w:rsidRPr="006B5BAD">
              <w:rPr>
                <w:b/>
                <w:bCs/>
                <w:iCs/>
              </w:rPr>
              <w:t>відкритих</w:t>
            </w:r>
            <w:proofErr w:type="spellEnd"/>
            <w:r w:rsidRPr="006B5BAD">
              <w:rPr>
                <w:b/>
                <w:bCs/>
                <w:iCs/>
              </w:rPr>
              <w:t xml:space="preserve"> </w:t>
            </w:r>
            <w:proofErr w:type="spellStart"/>
            <w:r w:rsidRPr="006B5BAD">
              <w:rPr>
                <w:b/>
                <w:bCs/>
                <w:iCs/>
              </w:rPr>
              <w:t>джерел</w:t>
            </w:r>
            <w:proofErr w:type="spellEnd"/>
            <w:r w:rsidRPr="006B5BAD">
              <w:rPr>
                <w:b/>
                <w:bCs/>
                <w:iCs/>
              </w:rPr>
              <w:t>:</w:t>
            </w:r>
          </w:p>
          <w:p w14:paraId="6316E83C" w14:textId="5EAD0AF9" w:rsidR="00965EFE" w:rsidRPr="0048780E" w:rsidRDefault="00965EFE" w:rsidP="00965EFE">
            <w:pPr>
              <w:widowControl w:val="0"/>
              <w:rPr>
                <w:iCs/>
              </w:rPr>
            </w:pPr>
            <w:r w:rsidRPr="0048780E">
              <w:rPr>
                <w:iCs/>
              </w:rPr>
              <w:t xml:space="preserve">1.ТОВ </w:t>
            </w:r>
            <w:r>
              <w:rPr>
                <w:iCs/>
                <w:lang w:val="uk-UA"/>
              </w:rPr>
              <w:t>«</w:t>
            </w:r>
            <w:r w:rsidRPr="0048780E">
              <w:rPr>
                <w:iCs/>
              </w:rPr>
              <w:t>ВІНАГРОТЕХ</w:t>
            </w:r>
            <w:r>
              <w:rPr>
                <w:iCs/>
                <w:lang w:val="uk-UA"/>
              </w:rPr>
              <w:t>»</w:t>
            </w:r>
            <w:r w:rsidRPr="0048780E">
              <w:rPr>
                <w:iCs/>
              </w:rPr>
              <w:t xml:space="preserve">  </w:t>
            </w:r>
            <w:hyperlink r:id="rId10" w:history="1">
              <w:r w:rsidRPr="0048780E">
                <w:rPr>
                  <w:rStyle w:val="af"/>
                  <w:iCs/>
                </w:rPr>
                <w:t>https://vinagrotech.com.ua/</w:t>
              </w:r>
            </w:hyperlink>
            <w:r w:rsidRPr="0048780E">
              <w:rPr>
                <w:iCs/>
              </w:rPr>
              <w:t xml:space="preserve"> </w:t>
            </w:r>
          </w:p>
          <w:p w14:paraId="00D827A8" w14:textId="1C2EE9FE" w:rsidR="00965EFE" w:rsidRPr="0048780E" w:rsidRDefault="00965EFE" w:rsidP="00965EFE">
            <w:pPr>
              <w:widowControl w:val="0"/>
              <w:rPr>
                <w:iCs/>
              </w:rPr>
            </w:pPr>
            <w:r w:rsidRPr="0048780E">
              <w:rPr>
                <w:iCs/>
              </w:rPr>
              <w:t xml:space="preserve">2.ТОВ </w:t>
            </w:r>
            <w:r>
              <w:rPr>
                <w:iCs/>
                <w:lang w:val="uk-UA"/>
              </w:rPr>
              <w:t>«</w:t>
            </w:r>
            <w:r w:rsidRPr="0048780E">
              <w:rPr>
                <w:iCs/>
              </w:rPr>
              <w:t>АГРОТЕХКОМПЛЕКТ-БЦ</w:t>
            </w:r>
            <w:r>
              <w:rPr>
                <w:iCs/>
                <w:lang w:val="uk-UA"/>
              </w:rPr>
              <w:t>»</w:t>
            </w:r>
            <w:r w:rsidRPr="0048780E">
              <w:rPr>
                <w:iCs/>
              </w:rPr>
              <w:t xml:space="preserve"> </w:t>
            </w:r>
            <w:hyperlink r:id="rId11" w:history="1">
              <w:r w:rsidRPr="0048780E">
                <w:rPr>
                  <w:rStyle w:val="af"/>
                  <w:iCs/>
                </w:rPr>
                <w:t>https://agrotechbc.com.ua</w:t>
              </w:r>
            </w:hyperlink>
            <w:r w:rsidRPr="0048780E">
              <w:rPr>
                <w:iCs/>
              </w:rPr>
              <w:t xml:space="preserve"> </w:t>
            </w:r>
          </w:p>
          <w:p w14:paraId="7F76140C" w14:textId="77777777" w:rsidR="00965EFE" w:rsidRPr="0048780E" w:rsidRDefault="00965EFE" w:rsidP="00965EFE">
            <w:pPr>
              <w:widowControl w:val="0"/>
              <w:rPr>
                <w:iCs/>
              </w:rPr>
            </w:pPr>
            <w:r w:rsidRPr="0048780E">
              <w:rPr>
                <w:iCs/>
              </w:rPr>
              <w:t xml:space="preserve">3.АГРО-ГРУП ПП </w:t>
            </w:r>
            <w:hyperlink r:id="rId12" w:history="1">
              <w:r w:rsidRPr="0048780E">
                <w:rPr>
                  <w:rStyle w:val="af"/>
                  <w:iCs/>
                </w:rPr>
                <w:t>https://agrogryp.com.ua/ua</w:t>
              </w:r>
            </w:hyperlink>
            <w:r w:rsidRPr="0048780E">
              <w:rPr>
                <w:iCs/>
              </w:rPr>
              <w:t xml:space="preserve"> </w:t>
            </w:r>
          </w:p>
          <w:p w14:paraId="6FEBFD27" w14:textId="6CAD44ED" w:rsidR="00965EFE" w:rsidRPr="0048780E" w:rsidRDefault="00965EFE" w:rsidP="00965EFE">
            <w:pPr>
              <w:widowControl w:val="0"/>
              <w:rPr>
                <w:iCs/>
              </w:rPr>
            </w:pPr>
            <w:r w:rsidRPr="0048780E">
              <w:rPr>
                <w:iCs/>
              </w:rPr>
              <w:t>4.ПП</w:t>
            </w:r>
            <w:proofErr w:type="gramStart"/>
            <w:r w:rsidRPr="0048780E">
              <w:rPr>
                <w:iCs/>
              </w:rPr>
              <w:t xml:space="preserve">   </w:t>
            </w:r>
            <w:r>
              <w:rPr>
                <w:iCs/>
                <w:lang w:val="uk-UA"/>
              </w:rPr>
              <w:t>«</w:t>
            </w:r>
            <w:proofErr w:type="spellStart"/>
            <w:proofErr w:type="gramEnd"/>
            <w:r w:rsidRPr="0048780E">
              <w:rPr>
                <w:iCs/>
              </w:rPr>
              <w:t>Екотех</w:t>
            </w:r>
            <w:proofErr w:type="spellEnd"/>
            <w:r>
              <w:rPr>
                <w:iCs/>
                <w:lang w:val="uk-UA"/>
              </w:rPr>
              <w:t>»</w:t>
            </w:r>
            <w:r w:rsidRPr="0048780E">
              <w:rPr>
                <w:iCs/>
              </w:rPr>
              <w:t xml:space="preserve"> </w:t>
            </w:r>
            <w:hyperlink r:id="rId13" w:history="1">
              <w:r w:rsidRPr="0048780E">
                <w:rPr>
                  <w:rStyle w:val="af"/>
                  <w:iCs/>
                </w:rPr>
                <w:t>https://ekotech.com.ua/ua</w:t>
              </w:r>
            </w:hyperlink>
            <w:r w:rsidRPr="0048780E">
              <w:rPr>
                <w:iCs/>
              </w:rPr>
              <w:t xml:space="preserve"> </w:t>
            </w:r>
          </w:p>
          <w:p w14:paraId="12C973A2" w14:textId="4A6D695C" w:rsidR="00965EFE" w:rsidRDefault="00965EFE" w:rsidP="00965EFE">
            <w:pPr>
              <w:ind w:right="114"/>
              <w:jc w:val="both"/>
              <w:rPr>
                <w:lang w:val="uk-UA"/>
              </w:rPr>
            </w:pPr>
            <w:r w:rsidRPr="0048780E">
              <w:rPr>
                <w:iCs/>
              </w:rPr>
              <w:t xml:space="preserve">5.ТОВ </w:t>
            </w:r>
            <w:r>
              <w:rPr>
                <w:iCs/>
                <w:lang w:val="uk-UA"/>
              </w:rPr>
              <w:t>«</w:t>
            </w:r>
            <w:proofErr w:type="spellStart"/>
            <w:r w:rsidRPr="0048780E">
              <w:rPr>
                <w:iCs/>
              </w:rPr>
              <w:t>Білоцерківзапчастина</w:t>
            </w:r>
            <w:proofErr w:type="spellEnd"/>
            <w:r>
              <w:rPr>
                <w:iCs/>
                <w:lang w:val="uk-UA"/>
              </w:rPr>
              <w:t>»</w:t>
            </w:r>
            <w:r w:rsidRPr="0048780E">
              <w:rPr>
                <w:iCs/>
              </w:rPr>
              <w:t xml:space="preserve"> </w:t>
            </w:r>
            <w:hyperlink r:id="rId14" w:history="1">
              <w:r w:rsidRPr="0048780E">
                <w:rPr>
                  <w:rStyle w:val="af"/>
                  <w:iCs/>
                </w:rPr>
                <w:t>https://www.bczch.com</w:t>
              </w:r>
            </w:hyperlink>
          </w:p>
          <w:p w14:paraId="3A82F307" w14:textId="5D13558E" w:rsidR="00965EFE" w:rsidRDefault="00965EFE" w:rsidP="001D270C">
            <w:pPr>
              <w:ind w:right="114"/>
              <w:jc w:val="both"/>
              <w:rPr>
                <w:lang w:val="uk-UA"/>
              </w:rPr>
            </w:pPr>
            <w:r>
              <w:rPr>
                <w:lang w:val="uk-UA"/>
              </w:rPr>
              <w:t>--------------------------------------------------------------------------------------</w:t>
            </w:r>
          </w:p>
          <w:p w14:paraId="319F35A4" w14:textId="4CB21987" w:rsidR="006F428D" w:rsidRPr="001D270C" w:rsidRDefault="001D270C" w:rsidP="001D270C">
            <w:pPr>
              <w:ind w:right="114"/>
              <w:jc w:val="both"/>
              <w:rPr>
                <w:i/>
                <w:lang w:val="uk-UA"/>
              </w:rPr>
            </w:pPr>
            <w:r w:rsidRPr="001D270C">
              <w:rPr>
                <w:lang w:val="uk-UA"/>
              </w:rPr>
              <w:t>Період замовлення товарів – у період дії правового режиму воєнного стану в Україні та протягом 90 днів з дня його припинення або скасування.</w:t>
            </w:r>
          </w:p>
        </w:tc>
      </w:tr>
    </w:tbl>
    <w:p w14:paraId="0890B6EF" w14:textId="77777777" w:rsidR="006926A0" w:rsidRPr="001D270C" w:rsidRDefault="006926A0" w:rsidP="006926A0">
      <w:pPr>
        <w:ind w:firstLine="567"/>
        <w:jc w:val="both"/>
        <w:rPr>
          <w:lang w:val="uk-UA"/>
        </w:rPr>
      </w:pPr>
      <w:r w:rsidRPr="001D270C">
        <w:rPr>
          <w:lang w:val="uk-UA"/>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832"/>
        <w:gridCol w:w="2156"/>
        <w:gridCol w:w="680"/>
        <w:gridCol w:w="1162"/>
        <w:gridCol w:w="2241"/>
        <w:gridCol w:w="1179"/>
      </w:tblGrid>
      <w:tr w:rsidR="001D270C" w:rsidRPr="00A94E12" w14:paraId="09DEE0D2" w14:textId="77777777" w:rsidTr="00CE15A5">
        <w:trPr>
          <w:trHeight w:val="1965"/>
        </w:trPr>
        <w:tc>
          <w:tcPr>
            <w:tcW w:w="757" w:type="dxa"/>
            <w:tcBorders>
              <w:top w:val="single" w:sz="4" w:space="0" w:color="auto"/>
              <w:left w:val="single" w:sz="4" w:space="0" w:color="auto"/>
              <w:right w:val="single" w:sz="4" w:space="0" w:color="auto"/>
            </w:tcBorders>
            <w:shd w:val="clear" w:color="auto" w:fill="D9E2F3"/>
          </w:tcPr>
          <w:p w14:paraId="697F5641" w14:textId="77777777" w:rsidR="001D270C" w:rsidRPr="00A94E12" w:rsidRDefault="001D270C" w:rsidP="00CE15A5">
            <w:pPr>
              <w:widowControl w:val="0"/>
              <w:rPr>
                <w:sz w:val="22"/>
                <w:szCs w:val="22"/>
                <w:lang w:val="uk-UA"/>
              </w:rPr>
            </w:pPr>
            <w:r w:rsidRPr="00A94E12">
              <w:rPr>
                <w:sz w:val="22"/>
                <w:szCs w:val="22"/>
                <w:lang w:val="uk-UA"/>
              </w:rPr>
              <w:t>№ п/п</w:t>
            </w:r>
          </w:p>
        </w:tc>
        <w:tc>
          <w:tcPr>
            <w:tcW w:w="1832" w:type="dxa"/>
            <w:tcBorders>
              <w:top w:val="single" w:sz="4" w:space="0" w:color="auto"/>
              <w:left w:val="single" w:sz="4" w:space="0" w:color="auto"/>
              <w:right w:val="single" w:sz="4" w:space="0" w:color="auto"/>
            </w:tcBorders>
            <w:shd w:val="clear" w:color="auto" w:fill="D9E2F3"/>
          </w:tcPr>
          <w:p w14:paraId="551CE4BD" w14:textId="77777777" w:rsidR="001D270C" w:rsidRPr="00A94E12" w:rsidRDefault="001D270C" w:rsidP="00CE15A5">
            <w:pPr>
              <w:widowControl w:val="0"/>
              <w:jc w:val="center"/>
              <w:rPr>
                <w:sz w:val="22"/>
                <w:szCs w:val="22"/>
                <w:lang w:val="uk-UA"/>
              </w:rPr>
            </w:pPr>
            <w:r w:rsidRPr="00A94E12">
              <w:rPr>
                <w:sz w:val="22"/>
                <w:szCs w:val="22"/>
                <w:lang w:val="uk-UA"/>
              </w:rPr>
              <w:t>Найменування Товару</w:t>
            </w:r>
          </w:p>
          <w:p w14:paraId="507FFA6E" w14:textId="77777777" w:rsidR="001D270C" w:rsidRPr="00A94E12" w:rsidRDefault="001D270C" w:rsidP="00CE15A5">
            <w:pPr>
              <w:widowControl w:val="0"/>
              <w:jc w:val="center"/>
              <w:rPr>
                <w:sz w:val="22"/>
                <w:szCs w:val="22"/>
                <w:lang w:val="uk-UA"/>
              </w:rPr>
            </w:pPr>
          </w:p>
        </w:tc>
        <w:tc>
          <w:tcPr>
            <w:tcW w:w="2156" w:type="dxa"/>
            <w:tcBorders>
              <w:top w:val="single" w:sz="4" w:space="0" w:color="auto"/>
              <w:left w:val="single" w:sz="4" w:space="0" w:color="auto"/>
              <w:right w:val="single" w:sz="4" w:space="0" w:color="auto"/>
            </w:tcBorders>
            <w:shd w:val="clear" w:color="auto" w:fill="D9E2F3"/>
          </w:tcPr>
          <w:p w14:paraId="58B72AA5" w14:textId="77777777" w:rsidR="001D270C" w:rsidRPr="00A94E12" w:rsidRDefault="001D270C" w:rsidP="00CE15A5">
            <w:pPr>
              <w:widowControl w:val="0"/>
              <w:jc w:val="center"/>
              <w:rPr>
                <w:bCs/>
                <w:snapToGrid w:val="0"/>
                <w:sz w:val="22"/>
                <w:szCs w:val="22"/>
                <w:lang w:val="uk-UA"/>
              </w:rPr>
            </w:pPr>
            <w:r w:rsidRPr="00A94E12">
              <w:rPr>
                <w:bCs/>
                <w:snapToGrid w:val="0"/>
                <w:sz w:val="22"/>
                <w:szCs w:val="22"/>
                <w:lang w:val="uk-UA"/>
              </w:rPr>
              <w:t>Марка або модель, або артикул, або каталожний номер, або інші параметри для ідентифікації Товару</w:t>
            </w:r>
          </w:p>
        </w:tc>
        <w:tc>
          <w:tcPr>
            <w:tcW w:w="680" w:type="dxa"/>
            <w:tcBorders>
              <w:top w:val="single" w:sz="4" w:space="0" w:color="auto"/>
              <w:left w:val="single" w:sz="4" w:space="0" w:color="auto"/>
              <w:right w:val="single" w:sz="4" w:space="0" w:color="auto"/>
            </w:tcBorders>
            <w:shd w:val="clear" w:color="auto" w:fill="D9E2F3"/>
          </w:tcPr>
          <w:p w14:paraId="05EBF03C" w14:textId="77777777" w:rsidR="001D270C" w:rsidRPr="00A94E12" w:rsidRDefault="001D270C" w:rsidP="00CE15A5">
            <w:pPr>
              <w:widowControl w:val="0"/>
              <w:jc w:val="center"/>
              <w:rPr>
                <w:sz w:val="22"/>
                <w:szCs w:val="22"/>
                <w:lang w:val="uk-UA"/>
              </w:rPr>
            </w:pPr>
            <w:r w:rsidRPr="00A94E12">
              <w:rPr>
                <w:sz w:val="22"/>
                <w:szCs w:val="22"/>
                <w:lang w:val="uk-UA"/>
              </w:rPr>
              <w:t>Одиниця</w:t>
            </w:r>
          </w:p>
          <w:p w14:paraId="476BDDAD" w14:textId="77777777" w:rsidR="001D270C" w:rsidRPr="00A94E12" w:rsidRDefault="001D270C" w:rsidP="00CE15A5">
            <w:pPr>
              <w:widowControl w:val="0"/>
              <w:jc w:val="center"/>
              <w:rPr>
                <w:sz w:val="22"/>
                <w:szCs w:val="22"/>
                <w:lang w:val="uk-UA"/>
              </w:rPr>
            </w:pPr>
            <w:r w:rsidRPr="00A94E12">
              <w:rPr>
                <w:sz w:val="22"/>
                <w:szCs w:val="22"/>
                <w:lang w:val="uk-UA"/>
              </w:rPr>
              <w:t>виміру</w:t>
            </w:r>
          </w:p>
        </w:tc>
        <w:tc>
          <w:tcPr>
            <w:tcW w:w="1162" w:type="dxa"/>
            <w:tcBorders>
              <w:top w:val="single" w:sz="4" w:space="0" w:color="auto"/>
              <w:left w:val="single" w:sz="4" w:space="0" w:color="auto"/>
              <w:right w:val="single" w:sz="4" w:space="0" w:color="auto"/>
            </w:tcBorders>
            <w:shd w:val="clear" w:color="auto" w:fill="D9E2F3"/>
          </w:tcPr>
          <w:p w14:paraId="10241250" w14:textId="77777777" w:rsidR="001D270C" w:rsidRPr="00A94E12" w:rsidRDefault="001D270C" w:rsidP="00CE15A5">
            <w:pPr>
              <w:widowControl w:val="0"/>
              <w:jc w:val="center"/>
              <w:rPr>
                <w:sz w:val="22"/>
                <w:szCs w:val="22"/>
                <w:lang w:val="uk-UA"/>
              </w:rPr>
            </w:pPr>
            <w:r w:rsidRPr="00A94E12">
              <w:rPr>
                <w:sz w:val="22"/>
                <w:szCs w:val="22"/>
                <w:lang w:val="uk-UA"/>
              </w:rPr>
              <w:t>Кількість</w:t>
            </w:r>
          </w:p>
          <w:p w14:paraId="52DF4015" w14:textId="77777777" w:rsidR="001D270C" w:rsidRPr="00A94E12" w:rsidRDefault="001D270C" w:rsidP="00CE15A5">
            <w:pPr>
              <w:widowControl w:val="0"/>
              <w:jc w:val="center"/>
              <w:rPr>
                <w:sz w:val="22"/>
                <w:szCs w:val="22"/>
                <w:lang w:val="uk-UA"/>
              </w:rPr>
            </w:pPr>
          </w:p>
        </w:tc>
        <w:tc>
          <w:tcPr>
            <w:tcW w:w="2241" w:type="dxa"/>
            <w:tcBorders>
              <w:top w:val="single" w:sz="4" w:space="0" w:color="auto"/>
              <w:left w:val="single" w:sz="4" w:space="0" w:color="auto"/>
              <w:right w:val="single" w:sz="4" w:space="0" w:color="auto"/>
            </w:tcBorders>
            <w:shd w:val="clear" w:color="auto" w:fill="D9E2F3"/>
          </w:tcPr>
          <w:p w14:paraId="59AA483C" w14:textId="77777777" w:rsidR="001D270C" w:rsidRPr="00A94E12" w:rsidRDefault="001D270C" w:rsidP="00CE15A5">
            <w:pPr>
              <w:widowControl w:val="0"/>
              <w:jc w:val="center"/>
              <w:rPr>
                <w:sz w:val="22"/>
                <w:szCs w:val="22"/>
                <w:lang w:val="uk-UA"/>
              </w:rPr>
            </w:pPr>
            <w:r w:rsidRPr="00A94E12">
              <w:rPr>
                <w:sz w:val="22"/>
                <w:szCs w:val="22"/>
                <w:lang w:val="uk-UA"/>
              </w:rPr>
              <w:t>Технічні та якісні характеристики предмета закупівлі</w:t>
            </w:r>
          </w:p>
          <w:p w14:paraId="74A20122" w14:textId="77777777" w:rsidR="001D270C" w:rsidRPr="00A94E12" w:rsidRDefault="001D270C" w:rsidP="00CE15A5">
            <w:pPr>
              <w:widowControl w:val="0"/>
              <w:jc w:val="center"/>
              <w:rPr>
                <w:sz w:val="22"/>
                <w:szCs w:val="22"/>
                <w:lang w:val="uk-UA"/>
              </w:rPr>
            </w:pPr>
          </w:p>
        </w:tc>
        <w:tc>
          <w:tcPr>
            <w:tcW w:w="1179" w:type="dxa"/>
            <w:tcBorders>
              <w:top w:val="single" w:sz="4" w:space="0" w:color="auto"/>
              <w:left w:val="single" w:sz="4" w:space="0" w:color="auto"/>
              <w:right w:val="single" w:sz="4" w:space="0" w:color="auto"/>
            </w:tcBorders>
            <w:shd w:val="clear" w:color="auto" w:fill="D9E2F3"/>
          </w:tcPr>
          <w:p w14:paraId="06125F4E" w14:textId="77777777" w:rsidR="001D270C" w:rsidRPr="00A94E12" w:rsidRDefault="001D270C" w:rsidP="00CE15A5">
            <w:pPr>
              <w:widowControl w:val="0"/>
              <w:jc w:val="center"/>
              <w:rPr>
                <w:i/>
                <w:sz w:val="22"/>
                <w:szCs w:val="22"/>
                <w:highlight w:val="yellow"/>
                <w:lang w:val="uk-UA"/>
              </w:rPr>
            </w:pPr>
            <w:r w:rsidRPr="00A94E12">
              <w:rPr>
                <w:sz w:val="22"/>
                <w:szCs w:val="22"/>
                <w:lang w:val="uk-UA"/>
              </w:rPr>
              <w:t>Сфера застосування</w:t>
            </w:r>
          </w:p>
        </w:tc>
      </w:tr>
      <w:tr w:rsidR="001D270C" w:rsidRPr="00A94E12" w14:paraId="7B40A234" w14:textId="77777777" w:rsidTr="00CE15A5">
        <w:trPr>
          <w:trHeight w:val="229"/>
        </w:trPr>
        <w:tc>
          <w:tcPr>
            <w:tcW w:w="757" w:type="dxa"/>
            <w:tcBorders>
              <w:top w:val="single" w:sz="4" w:space="0" w:color="auto"/>
              <w:left w:val="single" w:sz="4" w:space="0" w:color="auto"/>
              <w:right w:val="single" w:sz="4" w:space="0" w:color="auto"/>
            </w:tcBorders>
          </w:tcPr>
          <w:p w14:paraId="46639595" w14:textId="77777777" w:rsidR="001D270C" w:rsidRPr="00A94E12" w:rsidRDefault="001D270C" w:rsidP="00CE15A5">
            <w:pPr>
              <w:widowControl w:val="0"/>
              <w:rPr>
                <w:sz w:val="22"/>
                <w:szCs w:val="22"/>
                <w:lang w:val="uk-UA"/>
              </w:rPr>
            </w:pPr>
            <w:r w:rsidRPr="00A94E12">
              <w:rPr>
                <w:sz w:val="22"/>
                <w:szCs w:val="22"/>
                <w:lang w:val="uk-UA"/>
              </w:rPr>
              <w:t>1</w:t>
            </w:r>
          </w:p>
        </w:tc>
        <w:tc>
          <w:tcPr>
            <w:tcW w:w="1832" w:type="dxa"/>
            <w:tcBorders>
              <w:top w:val="single" w:sz="4" w:space="0" w:color="auto"/>
              <w:left w:val="single" w:sz="4" w:space="0" w:color="auto"/>
              <w:right w:val="single" w:sz="4" w:space="0" w:color="auto"/>
            </w:tcBorders>
          </w:tcPr>
          <w:p w14:paraId="756E3EEE" w14:textId="77777777" w:rsidR="001D270C" w:rsidRPr="00A94E12" w:rsidRDefault="001D270C" w:rsidP="00CE15A5">
            <w:pPr>
              <w:widowControl w:val="0"/>
              <w:jc w:val="center"/>
              <w:rPr>
                <w:b/>
                <w:sz w:val="22"/>
                <w:szCs w:val="22"/>
                <w:lang w:val="uk-UA"/>
              </w:rPr>
            </w:pPr>
            <w:r w:rsidRPr="00A94E12">
              <w:rPr>
                <w:sz w:val="22"/>
                <w:szCs w:val="22"/>
                <w:lang w:val="uk-UA"/>
              </w:rPr>
              <w:t>Ніж для косарки</w:t>
            </w:r>
          </w:p>
        </w:tc>
        <w:tc>
          <w:tcPr>
            <w:tcW w:w="2156" w:type="dxa"/>
            <w:tcBorders>
              <w:top w:val="single" w:sz="4" w:space="0" w:color="auto"/>
              <w:left w:val="single" w:sz="4" w:space="0" w:color="auto"/>
              <w:right w:val="single" w:sz="4" w:space="0" w:color="auto"/>
            </w:tcBorders>
          </w:tcPr>
          <w:p w14:paraId="21712D72" w14:textId="77777777" w:rsidR="001D270C" w:rsidRPr="00A94E12" w:rsidRDefault="001D270C" w:rsidP="00CE15A5">
            <w:pPr>
              <w:suppressAutoHyphens/>
              <w:jc w:val="center"/>
              <w:rPr>
                <w:sz w:val="22"/>
                <w:szCs w:val="22"/>
                <w:lang w:val="uk-UA"/>
              </w:rPr>
            </w:pPr>
            <w:r w:rsidRPr="00A94E12">
              <w:rPr>
                <w:sz w:val="22"/>
                <w:szCs w:val="22"/>
                <w:lang w:val="uk-UA"/>
              </w:rPr>
              <w:t>КРП 00.00.01-02</w:t>
            </w:r>
          </w:p>
          <w:p w14:paraId="0DE920FE" w14:textId="77777777" w:rsidR="001D270C" w:rsidRPr="00A94E12" w:rsidRDefault="001D270C" w:rsidP="00CE15A5">
            <w:pPr>
              <w:widowControl w:val="0"/>
              <w:jc w:val="center"/>
              <w:rPr>
                <w:b/>
                <w:bCs/>
                <w:snapToGrid w:val="0"/>
                <w:sz w:val="22"/>
                <w:szCs w:val="22"/>
                <w:lang w:val="uk-UA"/>
              </w:rPr>
            </w:pPr>
            <w:r w:rsidRPr="00A94E12">
              <w:rPr>
                <w:color w:val="0F4761" w:themeColor="accent1" w:themeShade="BF"/>
                <w:sz w:val="22"/>
                <w:szCs w:val="22"/>
                <w:lang w:val="uk-UA"/>
              </w:rPr>
              <w:t>або еквівалент</w:t>
            </w:r>
          </w:p>
        </w:tc>
        <w:tc>
          <w:tcPr>
            <w:tcW w:w="680" w:type="dxa"/>
            <w:tcBorders>
              <w:top w:val="single" w:sz="4" w:space="0" w:color="auto"/>
              <w:left w:val="single" w:sz="4" w:space="0" w:color="auto"/>
              <w:right w:val="single" w:sz="4" w:space="0" w:color="auto"/>
            </w:tcBorders>
          </w:tcPr>
          <w:p w14:paraId="43A37B0D" w14:textId="77777777" w:rsidR="001D270C" w:rsidRPr="008070AD" w:rsidRDefault="001D270C" w:rsidP="00CE15A5">
            <w:pPr>
              <w:widowControl w:val="0"/>
              <w:jc w:val="center"/>
              <w:rPr>
                <w:bCs/>
                <w:noProof/>
                <w:sz w:val="22"/>
                <w:szCs w:val="22"/>
                <w:lang w:val="uk-UA"/>
              </w:rPr>
            </w:pPr>
            <w:r w:rsidRPr="008070AD">
              <w:rPr>
                <w:bCs/>
                <w:noProof/>
                <w:sz w:val="22"/>
                <w:szCs w:val="22"/>
                <w:lang w:val="uk-UA"/>
              </w:rPr>
              <w:t>шт</w:t>
            </w:r>
          </w:p>
        </w:tc>
        <w:tc>
          <w:tcPr>
            <w:tcW w:w="1162" w:type="dxa"/>
            <w:tcBorders>
              <w:top w:val="single" w:sz="4" w:space="0" w:color="auto"/>
              <w:left w:val="single" w:sz="4" w:space="0" w:color="auto"/>
              <w:right w:val="single" w:sz="4" w:space="0" w:color="auto"/>
            </w:tcBorders>
          </w:tcPr>
          <w:p w14:paraId="71B48633" w14:textId="77777777" w:rsidR="001D270C" w:rsidRPr="008070AD" w:rsidRDefault="001D270C" w:rsidP="00CE15A5">
            <w:pPr>
              <w:widowControl w:val="0"/>
              <w:jc w:val="center"/>
              <w:rPr>
                <w:bCs/>
                <w:noProof/>
                <w:sz w:val="22"/>
                <w:szCs w:val="22"/>
                <w:lang w:val="uk-UA"/>
              </w:rPr>
            </w:pPr>
            <w:r w:rsidRPr="008070AD">
              <w:rPr>
                <w:bCs/>
                <w:noProof/>
                <w:sz w:val="22"/>
                <w:szCs w:val="22"/>
                <w:lang w:val="uk-UA"/>
              </w:rPr>
              <w:t>90</w:t>
            </w:r>
          </w:p>
        </w:tc>
        <w:tc>
          <w:tcPr>
            <w:tcW w:w="2241" w:type="dxa"/>
            <w:tcBorders>
              <w:top w:val="single" w:sz="4" w:space="0" w:color="auto"/>
              <w:left w:val="single" w:sz="4" w:space="0" w:color="auto"/>
              <w:right w:val="single" w:sz="4" w:space="0" w:color="auto"/>
            </w:tcBorders>
          </w:tcPr>
          <w:p w14:paraId="358D429F" w14:textId="77777777" w:rsidR="001D270C" w:rsidRPr="00A94E12" w:rsidRDefault="001D270C" w:rsidP="00CE15A5">
            <w:pPr>
              <w:widowControl w:val="0"/>
              <w:jc w:val="center"/>
              <w:rPr>
                <w:b/>
                <w:sz w:val="22"/>
                <w:szCs w:val="22"/>
                <w:lang w:val="uk-UA"/>
              </w:rPr>
            </w:pPr>
            <w:r w:rsidRPr="00A94E12">
              <w:rPr>
                <w:sz w:val="22"/>
                <w:szCs w:val="22"/>
                <w:lang w:val="uk-UA"/>
              </w:rPr>
              <w:t>Ширина -10</w:t>
            </w:r>
            <w:r>
              <w:rPr>
                <w:sz w:val="22"/>
                <w:szCs w:val="22"/>
                <w:lang w:val="uk-UA"/>
              </w:rPr>
              <w:t xml:space="preserve"> </w:t>
            </w:r>
            <w:r w:rsidRPr="00A94E12">
              <w:rPr>
                <w:sz w:val="22"/>
                <w:szCs w:val="22"/>
                <w:lang w:val="uk-UA"/>
              </w:rPr>
              <w:t>мм</w:t>
            </w:r>
          </w:p>
        </w:tc>
        <w:tc>
          <w:tcPr>
            <w:tcW w:w="1179" w:type="dxa"/>
            <w:tcBorders>
              <w:top w:val="single" w:sz="4" w:space="0" w:color="auto"/>
              <w:left w:val="single" w:sz="4" w:space="0" w:color="auto"/>
              <w:right w:val="single" w:sz="4" w:space="0" w:color="auto"/>
            </w:tcBorders>
          </w:tcPr>
          <w:p w14:paraId="07419D6A" w14:textId="77777777" w:rsidR="001D270C" w:rsidRPr="00A94E12" w:rsidRDefault="001D270C" w:rsidP="00CE15A5">
            <w:pPr>
              <w:widowControl w:val="0"/>
              <w:jc w:val="center"/>
              <w:rPr>
                <w:i/>
                <w:sz w:val="22"/>
                <w:szCs w:val="22"/>
                <w:highlight w:val="yellow"/>
                <w:lang w:val="uk-UA"/>
              </w:rPr>
            </w:pPr>
            <w:r w:rsidRPr="00A94E12">
              <w:rPr>
                <w:sz w:val="22"/>
                <w:szCs w:val="22"/>
                <w:lang w:val="uk-UA"/>
              </w:rPr>
              <w:t>КРП-2,0 «Рось-2»</w:t>
            </w:r>
          </w:p>
        </w:tc>
      </w:tr>
    </w:tbl>
    <w:p w14:paraId="32C69736" w14:textId="77777777" w:rsidR="006F428D" w:rsidRPr="007101A5" w:rsidRDefault="006F428D" w:rsidP="00A12478">
      <w:pPr>
        <w:rPr>
          <w:b/>
          <w:lang w:val="uk-UA"/>
        </w:rPr>
      </w:pPr>
    </w:p>
    <w:p w14:paraId="234444FA" w14:textId="77777777" w:rsidR="009165D1" w:rsidRPr="005F37AD" w:rsidRDefault="009165D1" w:rsidP="009165D1">
      <w:pPr>
        <w:jc w:val="both"/>
        <w:rPr>
          <w:b/>
          <w:bCs/>
          <w:sz w:val="22"/>
          <w:szCs w:val="22"/>
          <w:lang w:val="uk-UA" w:eastAsia="uk-UA"/>
        </w:rPr>
      </w:pPr>
      <w:r w:rsidRPr="005F37AD">
        <w:rPr>
          <w:b/>
          <w:bCs/>
          <w:sz w:val="22"/>
          <w:szCs w:val="22"/>
          <w:lang w:val="uk-UA"/>
        </w:rPr>
        <w:t>Додаткова інформація.</w:t>
      </w:r>
    </w:p>
    <w:p w14:paraId="0D16ED49" w14:textId="77777777" w:rsidR="009165D1" w:rsidRPr="005F37AD" w:rsidRDefault="009165D1" w:rsidP="009165D1">
      <w:pPr>
        <w:jc w:val="both"/>
        <w:rPr>
          <w:sz w:val="22"/>
          <w:szCs w:val="22"/>
          <w:lang w:val="uk-UA"/>
        </w:rPr>
      </w:pPr>
      <w:r w:rsidRPr="005F37AD">
        <w:rPr>
          <w:b/>
          <w:bCs/>
          <w:sz w:val="22"/>
          <w:szCs w:val="22"/>
          <w:lang w:val="uk-UA"/>
        </w:rPr>
        <w:t>1.</w:t>
      </w:r>
      <w:r w:rsidRPr="005F37AD">
        <w:rPr>
          <w:sz w:val="22"/>
          <w:szCs w:val="22"/>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5F37AD">
        <w:rPr>
          <w:b/>
          <w:bCs/>
          <w:sz w:val="22"/>
          <w:szCs w:val="22"/>
          <w:lang w:val="uk-UA"/>
        </w:rPr>
        <w:t>біля кожного такого посилання вважати вираз «або еквівалент»</w:t>
      </w:r>
      <w:r w:rsidRPr="005F37AD">
        <w:rPr>
          <w:sz w:val="22"/>
          <w:szCs w:val="22"/>
          <w:lang w:val="uk-UA"/>
        </w:rPr>
        <w:t xml:space="preserve">. Таким чином вважається, що до кожного посилання додається вираз </w:t>
      </w:r>
      <w:r w:rsidRPr="005F37AD">
        <w:rPr>
          <w:b/>
          <w:bCs/>
          <w:sz w:val="22"/>
          <w:szCs w:val="22"/>
          <w:lang w:val="uk-UA"/>
        </w:rPr>
        <w:t>«або еквівалент»</w:t>
      </w:r>
      <w:r w:rsidRPr="005F37AD">
        <w:rPr>
          <w:sz w:val="22"/>
          <w:szCs w:val="22"/>
          <w:lang w:val="uk-UA"/>
        </w:rPr>
        <w:t xml:space="preserve">. </w:t>
      </w:r>
    </w:p>
    <w:p w14:paraId="4399C16B" w14:textId="77777777" w:rsidR="009165D1" w:rsidRPr="005F37AD" w:rsidRDefault="009165D1" w:rsidP="009165D1">
      <w:pPr>
        <w:jc w:val="both"/>
        <w:rPr>
          <w:sz w:val="22"/>
          <w:szCs w:val="22"/>
          <w:lang w:val="uk-UA"/>
        </w:rPr>
      </w:pPr>
      <w:r w:rsidRPr="005F37AD">
        <w:rPr>
          <w:sz w:val="22"/>
          <w:szCs w:val="22"/>
          <w:lang w:val="uk-UA"/>
        </w:rPr>
        <w:t xml:space="preserve">У місцях, де технічна специфікація містить посилання </w:t>
      </w:r>
      <w:r w:rsidRPr="005F37AD">
        <w:rPr>
          <w:sz w:val="22"/>
          <w:szCs w:val="22"/>
          <w:vertAlign w:val="superscript"/>
          <w:lang w:val="uk-UA"/>
        </w:rPr>
        <w:t>1)</w:t>
      </w:r>
      <w:r w:rsidRPr="005F37AD">
        <w:rPr>
          <w:sz w:val="22"/>
          <w:szCs w:val="22"/>
          <w:lang w:val="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5F37AD">
        <w:rPr>
          <w:b/>
          <w:bCs/>
          <w:sz w:val="22"/>
          <w:szCs w:val="22"/>
          <w:lang w:val="uk-UA"/>
        </w:rPr>
        <w:t>вважати наявним вираз «або еквівалент»</w:t>
      </w:r>
      <w:r w:rsidRPr="005F37AD">
        <w:rPr>
          <w:sz w:val="22"/>
          <w:szCs w:val="22"/>
          <w:lang w:val="uk-UA"/>
        </w:rPr>
        <w:t xml:space="preserve">. Таким чином вважається, що до кожного посилання додається вираз «або еквівалент» </w:t>
      </w:r>
      <w:r w:rsidRPr="005F37AD">
        <w:rPr>
          <w:b/>
          <w:bCs/>
          <w:i/>
          <w:iCs/>
          <w:sz w:val="22"/>
          <w:szCs w:val="22"/>
          <w:lang w:val="uk-UA"/>
        </w:rPr>
        <w:t>(</w:t>
      </w:r>
      <w:r w:rsidRPr="005F37AD">
        <w:rPr>
          <w:b/>
          <w:bCs/>
          <w:i/>
          <w:iCs/>
          <w:sz w:val="22"/>
          <w:szCs w:val="22"/>
          <w:vertAlign w:val="superscript"/>
          <w:lang w:val="uk-UA"/>
        </w:rPr>
        <w:t>1)</w:t>
      </w:r>
      <w:r w:rsidRPr="005F37AD">
        <w:rPr>
          <w:b/>
          <w:bCs/>
          <w:i/>
          <w:iCs/>
          <w:sz w:val="22"/>
          <w:szCs w:val="22"/>
          <w:lang w:val="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5F37AD">
        <w:rPr>
          <w:sz w:val="22"/>
          <w:szCs w:val="22"/>
          <w:lang w:val="uk-UA"/>
        </w:rPr>
        <w:t xml:space="preserve">. </w:t>
      </w:r>
    </w:p>
    <w:p w14:paraId="518D9BA3" w14:textId="23174ED2" w:rsidR="00A256E7" w:rsidRPr="007101A5" w:rsidRDefault="00FF1108" w:rsidP="00FF1108">
      <w:pPr>
        <w:autoSpaceDE w:val="0"/>
        <w:autoSpaceDN w:val="0"/>
        <w:ind w:firstLine="709"/>
        <w:jc w:val="both"/>
        <w:rPr>
          <w:color w:val="000000"/>
          <w:sz w:val="26"/>
          <w:szCs w:val="26"/>
          <w:lang w:val="uk-UA"/>
        </w:rPr>
      </w:pPr>
      <w:r w:rsidRPr="00C8569C">
        <w:rPr>
          <w:noProof/>
          <w:sz w:val="22"/>
          <w:szCs w:val="22"/>
          <w:lang w:val="uk-UA" w:eastAsia="uk-UA"/>
        </w:rPr>
        <w:t>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w:t>
      </w:r>
      <w:r>
        <w:rPr>
          <w:noProof/>
          <w:sz w:val="22"/>
          <w:szCs w:val="22"/>
          <w:lang w:val="uk-UA" w:eastAsia="uk-UA"/>
        </w:rPr>
        <w:t xml:space="preserve"> сфері застосування </w:t>
      </w:r>
      <w:r w:rsidRPr="00C8569C">
        <w:rPr>
          <w:noProof/>
          <w:sz w:val="22"/>
          <w:szCs w:val="22"/>
          <w:lang w:val="uk-UA" w:eastAsia="uk-UA"/>
        </w:rPr>
        <w:t>запропонованого еквіваленту повинні відповідати встановленим в Додатку 1 технічним та якісним характеристикам предмета закупівлі</w:t>
      </w:r>
      <w:r w:rsidRPr="00FB6E20">
        <w:rPr>
          <w:noProof/>
          <w:sz w:val="22"/>
          <w:szCs w:val="22"/>
          <w:lang w:val="uk-UA" w:eastAsia="uk-UA"/>
        </w:rPr>
        <w:t>, в тому числі сфері застосування ).</w:t>
      </w:r>
    </w:p>
    <w:sectPr w:rsidR="00A256E7" w:rsidRPr="007101A5" w:rsidSect="00F318CA">
      <w:headerReference w:type="even" r:id="rId15"/>
      <w:headerReference w:type="default" r:id="rId16"/>
      <w:footerReference w:type="even" r:id="rId17"/>
      <w:footerReference w:type="default" r:id="rId18"/>
      <w:headerReference w:type="first" r:id="rId19"/>
      <w:footerReference w:type="first" r:id="rId20"/>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4AE7" w14:textId="77777777" w:rsidR="00A546E7" w:rsidRDefault="00A546E7">
      <w:r>
        <w:separator/>
      </w:r>
    </w:p>
  </w:endnote>
  <w:endnote w:type="continuationSeparator" w:id="0">
    <w:p w14:paraId="0450592B" w14:textId="77777777" w:rsidR="00A546E7" w:rsidRDefault="00A5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8315"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A469" w14:textId="50B76FB4" w:rsidR="00A256E7" w:rsidRPr="00A256E7" w:rsidRDefault="00C62B7A"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4F3C0B46" wp14:editId="4F502565">
              <wp:simplePos x="0" y="0"/>
              <wp:positionH relativeFrom="column">
                <wp:posOffset>-180340</wp:posOffset>
              </wp:positionH>
              <wp:positionV relativeFrom="paragraph">
                <wp:posOffset>7620</wp:posOffset>
              </wp:positionV>
              <wp:extent cx="6357620" cy="14605"/>
              <wp:effectExtent l="10160" t="7620" r="13970" b="6350"/>
              <wp:wrapNone/>
              <wp:docPr id="143441424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C47828"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636D39">
      <w:rPr>
        <w:sz w:val="20"/>
        <w:szCs w:val="20"/>
        <w:lang w:val="uk-UA"/>
      </w:rPr>
      <w:t>Ножі для косарки, код ДК 021:2015 - 16810000-6 - Частини для сільськогосподарської техніки</w:t>
    </w:r>
  </w:p>
  <w:p w14:paraId="7BF7354B"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0C9A"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B7CB" w14:textId="77777777" w:rsidR="00A546E7" w:rsidRDefault="00A546E7">
      <w:r>
        <w:separator/>
      </w:r>
    </w:p>
  </w:footnote>
  <w:footnote w:type="continuationSeparator" w:id="0">
    <w:p w14:paraId="0F7A6447" w14:textId="77777777" w:rsidR="00A546E7" w:rsidRDefault="00A5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C7AA"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3F6729E"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3A2E" w14:textId="6C84168D" w:rsidR="002D6492" w:rsidRPr="003C4B6B" w:rsidRDefault="00C62B7A"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3092DD17" wp14:editId="3CE306AE">
              <wp:simplePos x="0" y="0"/>
              <wp:positionH relativeFrom="column">
                <wp:posOffset>-17145</wp:posOffset>
              </wp:positionH>
              <wp:positionV relativeFrom="paragraph">
                <wp:posOffset>476885</wp:posOffset>
              </wp:positionV>
              <wp:extent cx="6329045" cy="13970"/>
              <wp:effectExtent l="11430" t="10160" r="12700" b="13970"/>
              <wp:wrapNone/>
              <wp:docPr id="19565881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E24C5"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D38986B" wp14:editId="7D2AF160">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C509"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892571974">
    <w:abstractNumId w:val="20"/>
  </w:num>
  <w:num w:numId="2" w16cid:durableId="1289162188">
    <w:abstractNumId w:val="22"/>
  </w:num>
  <w:num w:numId="3" w16cid:durableId="1916668060">
    <w:abstractNumId w:val="0"/>
  </w:num>
  <w:num w:numId="4" w16cid:durableId="36055013">
    <w:abstractNumId w:val="23"/>
  </w:num>
  <w:num w:numId="5" w16cid:durableId="614412184">
    <w:abstractNumId w:val="7"/>
  </w:num>
  <w:num w:numId="6" w16cid:durableId="401752899">
    <w:abstractNumId w:val="5"/>
  </w:num>
  <w:num w:numId="7" w16cid:durableId="685400366">
    <w:abstractNumId w:val="6"/>
  </w:num>
  <w:num w:numId="8" w16cid:durableId="1571109414">
    <w:abstractNumId w:val="19"/>
  </w:num>
  <w:num w:numId="9" w16cid:durableId="114830067">
    <w:abstractNumId w:val="1"/>
  </w:num>
  <w:num w:numId="10" w16cid:durableId="2045717048">
    <w:abstractNumId w:val="16"/>
  </w:num>
  <w:num w:numId="11" w16cid:durableId="1527477088">
    <w:abstractNumId w:val="14"/>
  </w:num>
  <w:num w:numId="12" w16cid:durableId="2049641561">
    <w:abstractNumId w:val="12"/>
  </w:num>
  <w:num w:numId="13" w16cid:durableId="1453943567">
    <w:abstractNumId w:val="13"/>
  </w:num>
  <w:num w:numId="14" w16cid:durableId="1966544471">
    <w:abstractNumId w:val="3"/>
  </w:num>
  <w:num w:numId="15" w16cid:durableId="812716330">
    <w:abstractNumId w:val="15"/>
  </w:num>
  <w:num w:numId="16" w16cid:durableId="509108127">
    <w:abstractNumId w:val="2"/>
  </w:num>
  <w:num w:numId="17" w16cid:durableId="456606934">
    <w:abstractNumId w:val="11"/>
  </w:num>
  <w:num w:numId="18" w16cid:durableId="2101681403">
    <w:abstractNumId w:val="4"/>
  </w:num>
  <w:num w:numId="19" w16cid:durableId="270205118">
    <w:abstractNumId w:val="8"/>
  </w:num>
  <w:num w:numId="20" w16cid:durableId="346298072">
    <w:abstractNumId w:val="18"/>
  </w:num>
  <w:num w:numId="21" w16cid:durableId="478159434">
    <w:abstractNumId w:val="9"/>
  </w:num>
  <w:num w:numId="22" w16cid:durableId="788936357">
    <w:abstractNumId w:val="17"/>
  </w:num>
  <w:num w:numId="23" w16cid:durableId="432437800">
    <w:abstractNumId w:val="10"/>
  </w:num>
  <w:num w:numId="24" w16cid:durableId="549609962">
    <w:abstractNumId w:val="21"/>
  </w:num>
  <w:num w:numId="25" w16cid:durableId="5621762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181"/>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C571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19FC"/>
    <w:rsid w:val="001C274B"/>
    <w:rsid w:val="001C2BA2"/>
    <w:rsid w:val="001C2F2E"/>
    <w:rsid w:val="001C6C90"/>
    <w:rsid w:val="001D22FA"/>
    <w:rsid w:val="001D270C"/>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1F4"/>
    <w:rsid w:val="002327BE"/>
    <w:rsid w:val="00235295"/>
    <w:rsid w:val="00237D60"/>
    <w:rsid w:val="00240738"/>
    <w:rsid w:val="00240770"/>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4DD4"/>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3F6183"/>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1A3A"/>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28A9"/>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36D39"/>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A6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2751E"/>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5EFE"/>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A74FE"/>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6E7"/>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46AAF"/>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2B7A"/>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147D"/>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08"/>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EAE4C"/>
  <w15:chartTrackingRefBased/>
  <w15:docId w15:val="{E97E8920-C2EF-4D56-B44A-88680973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styleId="af9">
    <w:name w:val="Unresolved Mention"/>
    <w:basedOn w:val="a0"/>
    <w:uiPriority w:val="99"/>
    <w:semiHidden/>
    <w:unhideWhenUsed/>
    <w:rsid w:val="00232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kotech.com.ua/u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grogryp.com.ua/u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otechbc.com.u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nagrotech.com.u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rozorro.gov.ua/tender/UA-2025-10-13-014154-a/" TargetMode="External"/><Relationship Id="rId14" Type="http://schemas.openxmlformats.org/officeDocument/2006/relationships/hyperlink" Target="https://www.bczch.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3471</Words>
  <Characters>1980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Гапонюк Наталія Володимирівна</cp:lastModifiedBy>
  <cp:revision>9</cp:revision>
  <cp:lastPrinted>2021-11-17T09:02:00Z</cp:lastPrinted>
  <dcterms:created xsi:type="dcterms:W3CDTF">2025-08-18T13:54:00Z</dcterms:created>
  <dcterms:modified xsi:type="dcterms:W3CDTF">2025-10-13T14:46:00Z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