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4B1B7C59" w14:textId="77777777" w:rsidTr="001021AF">
        <w:tc>
          <w:tcPr>
            <w:tcW w:w="4683" w:type="dxa"/>
          </w:tcPr>
          <w:p w14:paraId="3E21CA91" w14:textId="1DAAC609" w:rsidR="00825A6B" w:rsidRPr="007101A5" w:rsidRDefault="00FB6386" w:rsidP="006926A0">
            <w:pPr>
              <w:pStyle w:val="a4"/>
              <w:widowControl w:val="0"/>
              <w:rPr>
                <w:szCs w:val="17"/>
                <w:lang w:val="uk-UA"/>
              </w:rPr>
            </w:pPr>
            <w:r>
              <w:rPr>
                <w:noProof/>
                <w:lang w:val="uk-UA"/>
              </w:rPr>
              <w:drawing>
                <wp:inline distT="0" distB="0" distL="0" distR="0" wp14:anchorId="691B96A5" wp14:editId="0F4DDB3D">
                  <wp:extent cx="1446530" cy="28638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530" cy="286385"/>
                          </a:xfrm>
                          <a:prstGeom prst="rect">
                            <a:avLst/>
                          </a:prstGeom>
                          <a:noFill/>
                          <a:ln>
                            <a:noFill/>
                          </a:ln>
                        </pic:spPr>
                      </pic:pic>
                    </a:graphicData>
                  </a:graphic>
                </wp:inline>
              </w:drawing>
            </w:r>
          </w:p>
        </w:tc>
        <w:tc>
          <w:tcPr>
            <w:tcW w:w="5171" w:type="dxa"/>
          </w:tcPr>
          <w:p w14:paraId="316502E1"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0B2C424A"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3BF7CE79"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2CB8DDA3"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566596B2" w14:textId="77777777" w:rsidTr="00C62708">
        <w:tc>
          <w:tcPr>
            <w:tcW w:w="9854" w:type="dxa"/>
            <w:gridSpan w:val="2"/>
          </w:tcPr>
          <w:p w14:paraId="787E3CC4" w14:textId="77777777" w:rsidR="003C4B6B" w:rsidRPr="007101A5" w:rsidRDefault="003C4B6B" w:rsidP="007D7B6F">
            <w:pPr>
              <w:pStyle w:val="1"/>
              <w:keepNext w:val="0"/>
              <w:widowControl w:val="0"/>
              <w:rPr>
                <w:sz w:val="28"/>
                <w:szCs w:val="28"/>
              </w:rPr>
            </w:pPr>
          </w:p>
          <w:p w14:paraId="1DEE34A0"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125309D3" w14:textId="77777777" w:rsidR="005F3529" w:rsidRPr="007101A5" w:rsidRDefault="005F3529" w:rsidP="0063471D">
      <w:pPr>
        <w:pStyle w:val="a4"/>
        <w:widowControl w:val="0"/>
        <w:jc w:val="both"/>
        <w:rPr>
          <w:sz w:val="24"/>
          <w:szCs w:val="24"/>
          <w:lang w:val="uk-UA"/>
        </w:rPr>
      </w:pPr>
    </w:p>
    <w:p w14:paraId="16ACB15B"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7A1CB165"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784B0491" w14:textId="77777777" w:rsidTr="00C62708">
        <w:tc>
          <w:tcPr>
            <w:tcW w:w="487" w:type="pct"/>
            <w:shd w:val="clear" w:color="auto" w:fill="DEEAF6"/>
          </w:tcPr>
          <w:p w14:paraId="39CE5884"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3C269E4A"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30934AA9"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1DA3FDB4"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3748A0BB"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7BD4713E" w14:textId="77777777" w:rsidTr="00212515">
        <w:tc>
          <w:tcPr>
            <w:tcW w:w="487" w:type="pct"/>
          </w:tcPr>
          <w:p w14:paraId="70FB1852" w14:textId="24475F73" w:rsidR="00A76484" w:rsidRPr="007E0A8A" w:rsidRDefault="004072F7" w:rsidP="005469FD">
            <w:pPr>
              <w:widowControl w:val="0"/>
              <w:ind w:right="-11"/>
              <w:jc w:val="center"/>
              <w:rPr>
                <w:sz w:val="22"/>
                <w:szCs w:val="22"/>
                <w:lang w:val="uk-UA" w:eastAsia="uk-UA"/>
              </w:rPr>
            </w:pPr>
            <w:r w:rsidRPr="007E0A8A">
              <w:rPr>
                <w:sz w:val="22"/>
                <w:szCs w:val="22"/>
                <w:lang w:val="uk-UA"/>
              </w:rPr>
              <w:t>п.</w:t>
            </w:r>
            <w:r w:rsidR="00A76484" w:rsidRPr="007E0A8A">
              <w:rPr>
                <w:sz w:val="22"/>
                <w:szCs w:val="22"/>
                <w:lang w:val="uk-UA"/>
              </w:rPr>
              <w:t xml:space="preserve"> </w:t>
            </w:r>
            <w:r w:rsidR="00CB2B38" w:rsidRPr="007E0A8A">
              <w:rPr>
                <w:sz w:val="22"/>
                <w:szCs w:val="22"/>
                <w:lang w:val="uk-UA"/>
              </w:rPr>
              <w:t xml:space="preserve">40.07 </w:t>
            </w:r>
            <w:r w:rsidR="00BD6E95" w:rsidRPr="007E0A8A">
              <w:rPr>
                <w:sz w:val="22"/>
                <w:szCs w:val="22"/>
                <w:lang w:val="uk-UA" w:eastAsia="uk-UA"/>
              </w:rPr>
              <w:t>(202</w:t>
            </w:r>
            <w:r w:rsidR="00E96F02" w:rsidRPr="007E0A8A">
              <w:rPr>
                <w:sz w:val="22"/>
                <w:szCs w:val="22"/>
                <w:lang w:val="uk-UA" w:eastAsia="uk-UA"/>
              </w:rPr>
              <w:t>5</w:t>
            </w:r>
            <w:r w:rsidR="00A76484" w:rsidRPr="007E0A8A">
              <w:rPr>
                <w:sz w:val="22"/>
                <w:szCs w:val="22"/>
                <w:lang w:val="uk-UA" w:eastAsia="uk-UA"/>
              </w:rPr>
              <w:t>)</w:t>
            </w:r>
          </w:p>
        </w:tc>
        <w:tc>
          <w:tcPr>
            <w:tcW w:w="1527" w:type="pct"/>
          </w:tcPr>
          <w:p w14:paraId="6BE1067C" w14:textId="32CD7EF4" w:rsidR="00A76484" w:rsidRPr="007E0A8A" w:rsidRDefault="00CB2B38" w:rsidP="00A12478">
            <w:pPr>
              <w:widowControl w:val="0"/>
              <w:rPr>
                <w:bCs/>
                <w:sz w:val="22"/>
                <w:szCs w:val="22"/>
                <w:lang w:val="uk-UA"/>
              </w:rPr>
            </w:pPr>
            <w:r w:rsidRPr="007E0A8A">
              <w:rPr>
                <w:b/>
                <w:sz w:val="22"/>
                <w:szCs w:val="22"/>
                <w:lang w:val="uk-UA"/>
              </w:rPr>
              <w:t xml:space="preserve">Послуга з проведення калібрування приладів для виміру коефіцієнту зчеплення, </w:t>
            </w:r>
            <w:r w:rsidRPr="007E0A8A">
              <w:rPr>
                <w:bCs/>
                <w:sz w:val="22"/>
                <w:szCs w:val="22"/>
                <w:lang w:val="uk-UA"/>
              </w:rPr>
              <w:t>код ДК 021:2015 - 50430000-8 - Послуги з ремонтування і технічного обслуговування високоточного обладнання</w:t>
            </w:r>
          </w:p>
        </w:tc>
        <w:tc>
          <w:tcPr>
            <w:tcW w:w="947" w:type="pct"/>
          </w:tcPr>
          <w:p w14:paraId="32C2B743" w14:textId="0B00C95B" w:rsidR="00A76484" w:rsidRPr="00D934A7" w:rsidRDefault="00CB2B38" w:rsidP="002D4D30">
            <w:pPr>
              <w:widowControl w:val="0"/>
              <w:jc w:val="center"/>
              <w:rPr>
                <w:sz w:val="22"/>
                <w:szCs w:val="22"/>
                <w:lang w:val="uk-UA"/>
              </w:rPr>
            </w:pPr>
            <w:r w:rsidRPr="00D934A7">
              <w:rPr>
                <w:sz w:val="22"/>
                <w:szCs w:val="22"/>
                <w:lang w:val="uk-UA"/>
              </w:rPr>
              <w:t>382 481,64</w:t>
            </w:r>
            <w:r w:rsidR="00A76484" w:rsidRPr="00D934A7">
              <w:rPr>
                <w:sz w:val="22"/>
                <w:szCs w:val="22"/>
                <w:lang w:val="uk-UA"/>
              </w:rPr>
              <w:t xml:space="preserve"> </w:t>
            </w:r>
          </w:p>
          <w:p w14:paraId="72FD54B0" w14:textId="77777777" w:rsidR="00A76484" w:rsidRPr="00D934A7" w:rsidRDefault="00A76484" w:rsidP="002D4D30">
            <w:pPr>
              <w:widowControl w:val="0"/>
              <w:jc w:val="center"/>
              <w:rPr>
                <w:sz w:val="22"/>
                <w:szCs w:val="22"/>
                <w:lang w:val="uk-UA"/>
              </w:rPr>
            </w:pPr>
            <w:r w:rsidRPr="00D934A7">
              <w:rPr>
                <w:sz w:val="22"/>
                <w:szCs w:val="22"/>
                <w:lang w:val="uk-UA"/>
              </w:rPr>
              <w:t>грн. з ПДВ</w:t>
            </w:r>
          </w:p>
        </w:tc>
        <w:tc>
          <w:tcPr>
            <w:tcW w:w="1102" w:type="pct"/>
          </w:tcPr>
          <w:p w14:paraId="7BA6CB7C" w14:textId="0B2EA42D" w:rsidR="00A76484" w:rsidRPr="00D934A7" w:rsidRDefault="00D934A7" w:rsidP="002D4D30">
            <w:pPr>
              <w:widowControl w:val="0"/>
              <w:jc w:val="center"/>
              <w:rPr>
                <w:sz w:val="22"/>
                <w:szCs w:val="22"/>
                <w:lang w:val="uk-UA"/>
              </w:rPr>
            </w:pPr>
            <w:r w:rsidRPr="00D934A7">
              <w:rPr>
                <w:sz w:val="22"/>
                <w:szCs w:val="22"/>
                <w:lang w:val="uk-UA"/>
              </w:rPr>
              <w:t>318 734,70</w:t>
            </w:r>
          </w:p>
          <w:p w14:paraId="48D95573" w14:textId="77777777" w:rsidR="00A76484" w:rsidRPr="00D934A7" w:rsidRDefault="00A76484" w:rsidP="002D4D30">
            <w:pPr>
              <w:widowControl w:val="0"/>
              <w:jc w:val="center"/>
              <w:rPr>
                <w:sz w:val="22"/>
                <w:szCs w:val="22"/>
                <w:lang w:val="uk-UA"/>
              </w:rPr>
            </w:pPr>
            <w:r w:rsidRPr="00D934A7">
              <w:rPr>
                <w:sz w:val="22"/>
                <w:szCs w:val="22"/>
                <w:lang w:val="uk-UA"/>
              </w:rPr>
              <w:t xml:space="preserve">грн. без ПДВ </w:t>
            </w:r>
          </w:p>
        </w:tc>
        <w:tc>
          <w:tcPr>
            <w:tcW w:w="936" w:type="pct"/>
          </w:tcPr>
          <w:p w14:paraId="54AFEAED" w14:textId="7149236B" w:rsidR="00A76484" w:rsidRPr="007101A5" w:rsidRDefault="0067046F" w:rsidP="002D4D30">
            <w:pPr>
              <w:widowControl w:val="0"/>
              <w:jc w:val="center"/>
              <w:rPr>
                <w:color w:val="0000FF"/>
                <w:sz w:val="22"/>
                <w:szCs w:val="22"/>
                <w:lang w:val="uk-UA"/>
              </w:rPr>
            </w:pPr>
            <w:r w:rsidRPr="0067046F">
              <w:rPr>
                <w:b/>
                <w:sz w:val="22"/>
                <w:szCs w:val="22"/>
                <w:lang w:val="uk-UA"/>
              </w:rPr>
              <w:t>UA-2025-10-17-007221-a</w:t>
            </w:r>
          </w:p>
        </w:tc>
      </w:tr>
    </w:tbl>
    <w:p w14:paraId="20094DFD" w14:textId="77777777" w:rsidR="00A12478" w:rsidRPr="007101A5" w:rsidRDefault="00A12478" w:rsidP="0063471D">
      <w:pPr>
        <w:pStyle w:val="a4"/>
        <w:widowControl w:val="0"/>
        <w:jc w:val="both"/>
        <w:rPr>
          <w:sz w:val="24"/>
          <w:szCs w:val="24"/>
          <w:lang w:val="uk-UA"/>
        </w:rPr>
      </w:pPr>
    </w:p>
    <w:p w14:paraId="20019D22"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78F5D9FF"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551D11" w:rsidRPr="007101A5" w14:paraId="65C8D246"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AB8F1C4" w14:textId="77777777" w:rsidR="00551D11" w:rsidRPr="007101A5" w:rsidRDefault="00551D11" w:rsidP="00551D11">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41FB5DB" w14:textId="77777777" w:rsidR="00551D11" w:rsidRPr="00095270" w:rsidRDefault="00551D11" w:rsidP="00551D11">
            <w:pPr>
              <w:rPr>
                <w:noProof/>
                <w:lang w:val="uk-UA"/>
              </w:rPr>
            </w:pPr>
            <w:r w:rsidRPr="00095270">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7FC9A28" w14:textId="77777777" w:rsidR="00551D11" w:rsidRPr="00095270" w:rsidRDefault="00551D11" w:rsidP="00551D11">
            <w:pPr>
              <w:widowControl w:val="0"/>
              <w:jc w:val="both"/>
              <w:rPr>
                <w:noProof/>
                <w:lang w:val="uk-UA"/>
              </w:rPr>
            </w:pPr>
            <w:r w:rsidRPr="00095270">
              <w:rPr>
                <w:noProof/>
                <w:lang w:val="uk-UA"/>
              </w:rPr>
              <w:t>Для визначення очікуваної вартості предмета закупівлі  здійснено аналіз ринку. У зв’язку  з обмеженою конкуренцією на ринку послуг з проведення калібрування приладів для виміру коефіцієнту зчеплення та неможливості отримання достатньої кількості інформації щодо актуальних ринкових цін аеродромною службою було застосовано комбінований метод порівняння ринкових цін, а саме:</w:t>
            </w:r>
          </w:p>
          <w:p w14:paraId="60B2D9CE" w14:textId="77777777" w:rsidR="00551D11" w:rsidRPr="00095270" w:rsidRDefault="00551D11" w:rsidP="00551D11">
            <w:pPr>
              <w:pStyle w:val="af6"/>
              <w:widowControl w:val="0"/>
              <w:numPr>
                <w:ilvl w:val="0"/>
                <w:numId w:val="27"/>
              </w:numPr>
              <w:spacing w:after="0" w:line="240" w:lineRule="auto"/>
              <w:jc w:val="both"/>
              <w:rPr>
                <w:rFonts w:ascii="Times New Roman" w:hAnsi="Times New Roman"/>
                <w:noProof/>
                <w:sz w:val="24"/>
                <w:szCs w:val="24"/>
                <w:lang w:val="uk-UA"/>
              </w:rPr>
            </w:pPr>
            <w:r w:rsidRPr="00095270">
              <w:rPr>
                <w:rFonts w:ascii="Times New Roman" w:hAnsi="Times New Roman"/>
                <w:noProof/>
                <w:sz w:val="24"/>
                <w:szCs w:val="24"/>
                <w:lang w:val="uk-UA"/>
              </w:rPr>
              <w:t>отримано 3 цінові пропозиції шляхом направлення запитів потенційним постачальникам послуг;</w:t>
            </w:r>
          </w:p>
          <w:p w14:paraId="7F908199" w14:textId="47934E81" w:rsidR="00551D11" w:rsidRPr="004F41F1" w:rsidRDefault="00551D11" w:rsidP="004F41F1">
            <w:pPr>
              <w:pStyle w:val="af6"/>
              <w:numPr>
                <w:ilvl w:val="0"/>
                <w:numId w:val="30"/>
              </w:numPr>
              <w:rPr>
                <w:iCs/>
                <w:noProof/>
                <w:lang w:val="uk-UA"/>
              </w:rPr>
            </w:pPr>
            <w:r w:rsidRPr="004F41F1">
              <w:rPr>
                <w:rFonts w:ascii="Times New Roman" w:hAnsi="Times New Roman"/>
                <w:noProof/>
                <w:sz w:val="24"/>
                <w:szCs w:val="24"/>
                <w:lang w:val="uk-UA"/>
              </w:rPr>
              <w:t>2 ціни отримано шляхом використання досвіду попередніх закупівель.</w:t>
            </w:r>
          </w:p>
        </w:tc>
      </w:tr>
      <w:tr w:rsidR="00551D11" w:rsidRPr="007101A5" w14:paraId="32992CE6"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437C5D5" w14:textId="77777777" w:rsidR="00551D11" w:rsidRPr="007101A5" w:rsidRDefault="00551D11" w:rsidP="00551D11">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AAD66A0" w14:textId="77777777" w:rsidR="00551D11" w:rsidRPr="00095270" w:rsidRDefault="00551D11" w:rsidP="00551D11">
            <w:pPr>
              <w:rPr>
                <w:noProof/>
                <w:lang w:val="uk-UA"/>
              </w:rPr>
            </w:pPr>
            <w:r w:rsidRPr="00095270">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5627C9F0" w14:textId="77777777" w:rsidR="00551D11" w:rsidRPr="00095270" w:rsidRDefault="00551D11" w:rsidP="00551D11">
            <w:pPr>
              <w:pStyle w:val="Default"/>
              <w:jc w:val="both"/>
              <w:rPr>
                <w:noProof/>
                <w:color w:val="000000" w:themeColor="text1"/>
              </w:rPr>
            </w:pPr>
            <w:r w:rsidRPr="00095270">
              <w:rPr>
                <w:noProof/>
                <w:color w:val="000000" w:themeColor="text1"/>
              </w:rPr>
              <w:t>Відповідно до рекомендацій п. 5.5.3 «Керівництва по аеропортовим службам» DOC 9137 частина 2, а також згідно вимог до технічного обслуговування Інструкції з експлуатації, для забезпечення достовірних даних о зчепленні, рекомендовано проводити щорічне калібрування всіх приладів виміру зчеплення, тому планується закупівля для двох наявних приладів для виміру коефіцієнта зчеплення</w:t>
            </w:r>
            <w:r w:rsidRPr="00095270">
              <w:rPr>
                <w:noProof/>
              </w:rPr>
              <w:t>:</w:t>
            </w:r>
          </w:p>
          <w:p w14:paraId="4F7AF13A" w14:textId="77777777" w:rsidR="00551D11" w:rsidRPr="00095270" w:rsidRDefault="00551D11" w:rsidP="00551D11">
            <w:pPr>
              <w:pStyle w:val="af6"/>
              <w:numPr>
                <w:ilvl w:val="0"/>
                <w:numId w:val="28"/>
              </w:numPr>
              <w:spacing w:after="0" w:line="240" w:lineRule="auto"/>
              <w:jc w:val="both"/>
              <w:rPr>
                <w:rFonts w:ascii="Times New Roman" w:hAnsi="Times New Roman"/>
                <w:noProof/>
                <w:sz w:val="24"/>
                <w:szCs w:val="24"/>
                <w:lang w:val="uk-UA"/>
              </w:rPr>
            </w:pPr>
            <w:r w:rsidRPr="00095270">
              <w:rPr>
                <w:rFonts w:ascii="Times New Roman" w:hAnsi="Times New Roman"/>
                <w:noProof/>
                <w:sz w:val="24"/>
                <w:szCs w:val="24"/>
                <w:lang w:val="uk-UA"/>
              </w:rPr>
              <w:lastRenderedPageBreak/>
              <w:t>Причіпний агрегат  для вимірювання зчеплення на злітній полосі Skiddometer BV-11  2005 року інв. № 48415/РМО, завод. № 04254;</w:t>
            </w:r>
          </w:p>
          <w:p w14:paraId="7946F7B1" w14:textId="3DBABFAA" w:rsidR="00551D11" w:rsidRPr="00095270" w:rsidRDefault="00551D11" w:rsidP="00551D11">
            <w:pPr>
              <w:pStyle w:val="af6"/>
              <w:numPr>
                <w:ilvl w:val="0"/>
                <w:numId w:val="29"/>
              </w:numPr>
              <w:rPr>
                <w:rFonts w:ascii="Times New Roman" w:hAnsi="Times New Roman"/>
                <w:i/>
                <w:noProof/>
                <w:sz w:val="24"/>
                <w:szCs w:val="24"/>
                <w:lang w:val="uk-UA"/>
              </w:rPr>
            </w:pPr>
            <w:r w:rsidRPr="00095270">
              <w:rPr>
                <w:rFonts w:ascii="Times New Roman" w:hAnsi="Times New Roman"/>
                <w:noProof/>
                <w:sz w:val="24"/>
                <w:szCs w:val="24"/>
                <w:lang w:val="uk-UA"/>
              </w:rPr>
              <w:t>Обладнання для виміру К</w:t>
            </w:r>
            <w:r w:rsidRPr="00095270">
              <w:rPr>
                <w:rFonts w:ascii="Times New Roman" w:hAnsi="Times New Roman"/>
                <w:noProof/>
                <w:sz w:val="24"/>
                <w:szCs w:val="24"/>
                <w:vertAlign w:val="subscript"/>
                <w:lang w:val="uk-UA"/>
              </w:rPr>
              <w:t>зч</w:t>
            </w:r>
            <w:r w:rsidRPr="00095270">
              <w:rPr>
                <w:rFonts w:ascii="Times New Roman" w:hAnsi="Times New Roman"/>
                <w:noProof/>
                <w:sz w:val="24"/>
                <w:szCs w:val="24"/>
                <w:lang w:val="uk-UA"/>
              </w:rPr>
              <w:t>на ЗПС Skiddometer BV-11 2016 року інв. № 49427/РМО, Завод. № 319.</w:t>
            </w:r>
          </w:p>
        </w:tc>
      </w:tr>
    </w:tbl>
    <w:p w14:paraId="422C7629" w14:textId="77777777" w:rsidR="006F428D" w:rsidRPr="007101A5" w:rsidRDefault="006F428D" w:rsidP="00A12478">
      <w:pPr>
        <w:rPr>
          <w:b/>
          <w:lang w:val="uk-UA"/>
        </w:rPr>
      </w:pPr>
    </w:p>
    <w:p w14:paraId="3EBDD35F" w14:textId="77777777" w:rsidR="006926A0" w:rsidRPr="00BC280B" w:rsidRDefault="006926A0" w:rsidP="006926A0">
      <w:pPr>
        <w:ind w:firstLine="567"/>
        <w:jc w:val="both"/>
        <w:rPr>
          <w:sz w:val="22"/>
          <w:szCs w:val="22"/>
          <w:lang w:val="uk-UA"/>
        </w:rPr>
      </w:pPr>
      <w:r w:rsidRPr="00BC280B">
        <w:rPr>
          <w:sz w:val="22"/>
          <w:szCs w:val="22"/>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1362B124" w14:textId="77777777" w:rsidR="006F428D" w:rsidRPr="007101A5" w:rsidRDefault="006F428D" w:rsidP="00A12478">
      <w:pPr>
        <w:rPr>
          <w:b/>
          <w:lang w:val="uk-UA"/>
        </w:rPr>
      </w:pPr>
    </w:p>
    <w:tbl>
      <w:tblPr>
        <w:tblW w:w="102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429"/>
        <w:gridCol w:w="1135"/>
        <w:gridCol w:w="5953"/>
      </w:tblGrid>
      <w:tr w:rsidR="00BC280B" w:rsidRPr="006A7F26" w14:paraId="6A693267" w14:textId="77777777" w:rsidTr="007D6184">
        <w:trPr>
          <w:trHeight w:val="583"/>
        </w:trPr>
        <w:tc>
          <w:tcPr>
            <w:tcW w:w="757" w:type="dxa"/>
            <w:tcBorders>
              <w:top w:val="single" w:sz="4" w:space="0" w:color="auto"/>
              <w:left w:val="single" w:sz="4" w:space="0" w:color="auto"/>
              <w:right w:val="single" w:sz="4" w:space="0" w:color="auto"/>
            </w:tcBorders>
            <w:shd w:val="clear" w:color="auto" w:fill="D9E2F3"/>
          </w:tcPr>
          <w:p w14:paraId="42F4C1B1" w14:textId="77777777" w:rsidR="00BC280B" w:rsidRPr="00397918" w:rsidRDefault="00BC280B" w:rsidP="007D6184">
            <w:pPr>
              <w:widowControl w:val="0"/>
              <w:rPr>
                <w:sz w:val="22"/>
                <w:szCs w:val="22"/>
                <w:lang w:val="uk-UA"/>
              </w:rPr>
            </w:pPr>
            <w:r w:rsidRPr="00397918">
              <w:rPr>
                <w:sz w:val="22"/>
                <w:szCs w:val="22"/>
                <w:lang w:val="uk-UA"/>
              </w:rPr>
              <w:t>№ п/п</w:t>
            </w:r>
          </w:p>
        </w:tc>
        <w:tc>
          <w:tcPr>
            <w:tcW w:w="2429" w:type="dxa"/>
            <w:tcBorders>
              <w:top w:val="single" w:sz="4" w:space="0" w:color="auto"/>
              <w:left w:val="single" w:sz="4" w:space="0" w:color="auto"/>
              <w:right w:val="single" w:sz="4" w:space="0" w:color="auto"/>
            </w:tcBorders>
            <w:shd w:val="clear" w:color="auto" w:fill="D9E2F3"/>
          </w:tcPr>
          <w:p w14:paraId="42B7841C" w14:textId="77777777" w:rsidR="00BC280B" w:rsidRPr="006A7F26" w:rsidRDefault="00BC280B" w:rsidP="007D6184">
            <w:pPr>
              <w:widowControl w:val="0"/>
              <w:jc w:val="center"/>
              <w:rPr>
                <w:sz w:val="22"/>
                <w:szCs w:val="22"/>
                <w:lang w:val="uk-UA"/>
              </w:rPr>
            </w:pPr>
            <w:r w:rsidRPr="006A7F26">
              <w:rPr>
                <w:sz w:val="22"/>
                <w:szCs w:val="22"/>
                <w:lang w:val="uk-UA"/>
              </w:rPr>
              <w:t>Найменування послуги</w:t>
            </w:r>
          </w:p>
        </w:tc>
        <w:tc>
          <w:tcPr>
            <w:tcW w:w="1135" w:type="dxa"/>
            <w:tcBorders>
              <w:top w:val="single" w:sz="4" w:space="0" w:color="auto"/>
              <w:left w:val="single" w:sz="4" w:space="0" w:color="auto"/>
              <w:right w:val="single" w:sz="4" w:space="0" w:color="auto"/>
            </w:tcBorders>
            <w:shd w:val="clear" w:color="auto" w:fill="D9E2F3"/>
          </w:tcPr>
          <w:p w14:paraId="1553F3BA" w14:textId="77777777" w:rsidR="00BC280B" w:rsidRPr="006A7F26" w:rsidRDefault="00BC280B" w:rsidP="007D6184">
            <w:pPr>
              <w:widowControl w:val="0"/>
              <w:jc w:val="center"/>
              <w:rPr>
                <w:sz w:val="22"/>
                <w:szCs w:val="22"/>
                <w:lang w:val="uk-UA"/>
              </w:rPr>
            </w:pPr>
            <w:r w:rsidRPr="006A7F26">
              <w:rPr>
                <w:sz w:val="22"/>
                <w:szCs w:val="22"/>
                <w:lang w:val="uk-UA"/>
              </w:rPr>
              <w:t>Кількість</w:t>
            </w:r>
            <w:r>
              <w:rPr>
                <w:sz w:val="22"/>
                <w:szCs w:val="22"/>
                <w:lang w:val="uk-UA"/>
              </w:rPr>
              <w:t xml:space="preserve"> послуг</w:t>
            </w:r>
          </w:p>
          <w:p w14:paraId="50B9D9F8" w14:textId="77777777" w:rsidR="00BC280B" w:rsidRPr="006A7F26" w:rsidRDefault="00BC280B" w:rsidP="007D6184">
            <w:pPr>
              <w:widowControl w:val="0"/>
              <w:jc w:val="center"/>
              <w:rPr>
                <w:sz w:val="22"/>
                <w:szCs w:val="22"/>
                <w:lang w:val="uk-UA"/>
              </w:rPr>
            </w:pPr>
          </w:p>
        </w:tc>
        <w:tc>
          <w:tcPr>
            <w:tcW w:w="5953" w:type="dxa"/>
            <w:tcBorders>
              <w:top w:val="single" w:sz="4" w:space="0" w:color="auto"/>
              <w:left w:val="single" w:sz="4" w:space="0" w:color="auto"/>
              <w:right w:val="single" w:sz="4" w:space="0" w:color="auto"/>
            </w:tcBorders>
            <w:shd w:val="clear" w:color="auto" w:fill="D9E2F3"/>
          </w:tcPr>
          <w:p w14:paraId="04EBF02A" w14:textId="77777777" w:rsidR="00BC280B" w:rsidRPr="006A7F26" w:rsidRDefault="00BC280B" w:rsidP="007D6184">
            <w:pPr>
              <w:widowControl w:val="0"/>
              <w:jc w:val="center"/>
              <w:rPr>
                <w:sz w:val="22"/>
                <w:szCs w:val="22"/>
                <w:lang w:val="uk-UA"/>
              </w:rPr>
            </w:pPr>
            <w:r w:rsidRPr="006A7F26">
              <w:rPr>
                <w:sz w:val="22"/>
                <w:szCs w:val="22"/>
                <w:lang w:val="uk-UA"/>
              </w:rPr>
              <w:t>Технічні та якісні характеристики предмета закупівлі</w:t>
            </w:r>
          </w:p>
        </w:tc>
      </w:tr>
      <w:tr w:rsidR="00BC280B" w:rsidRPr="00C77F05" w14:paraId="622F4046" w14:textId="77777777" w:rsidTr="007D6184">
        <w:trPr>
          <w:trHeight w:val="229"/>
        </w:trPr>
        <w:tc>
          <w:tcPr>
            <w:tcW w:w="757" w:type="dxa"/>
            <w:tcBorders>
              <w:top w:val="single" w:sz="4" w:space="0" w:color="auto"/>
              <w:left w:val="single" w:sz="4" w:space="0" w:color="auto"/>
              <w:right w:val="single" w:sz="4" w:space="0" w:color="auto"/>
            </w:tcBorders>
          </w:tcPr>
          <w:p w14:paraId="60BF8DA1" w14:textId="77777777" w:rsidR="00BC280B" w:rsidRPr="001406D3" w:rsidRDefault="00BC280B" w:rsidP="007D6184">
            <w:pPr>
              <w:widowControl w:val="0"/>
              <w:rPr>
                <w:sz w:val="22"/>
                <w:szCs w:val="22"/>
                <w:lang w:val="uk-UA"/>
              </w:rPr>
            </w:pPr>
            <w:r w:rsidRPr="001406D3">
              <w:rPr>
                <w:sz w:val="22"/>
                <w:szCs w:val="22"/>
                <w:lang w:val="uk-UA"/>
              </w:rPr>
              <w:t>1</w:t>
            </w:r>
          </w:p>
        </w:tc>
        <w:tc>
          <w:tcPr>
            <w:tcW w:w="2429" w:type="dxa"/>
            <w:tcBorders>
              <w:top w:val="single" w:sz="4" w:space="0" w:color="auto"/>
              <w:left w:val="single" w:sz="4" w:space="0" w:color="auto"/>
              <w:right w:val="single" w:sz="4" w:space="0" w:color="auto"/>
            </w:tcBorders>
          </w:tcPr>
          <w:p w14:paraId="2FA94F21" w14:textId="77777777" w:rsidR="00BC280B" w:rsidRPr="00C77F05" w:rsidRDefault="00BC280B" w:rsidP="007D6184">
            <w:pPr>
              <w:widowControl w:val="0"/>
              <w:rPr>
                <w:bCs/>
                <w:sz w:val="22"/>
                <w:szCs w:val="22"/>
                <w:lang w:val="uk-UA"/>
              </w:rPr>
            </w:pPr>
            <w:r w:rsidRPr="00C77F05">
              <w:rPr>
                <w:bCs/>
                <w:sz w:val="22"/>
                <w:szCs w:val="22"/>
                <w:lang w:val="uk-UA"/>
              </w:rPr>
              <w:t>Послуга з проведення калібрування приладів для виміру коефіцієнту зчеплення</w:t>
            </w:r>
          </w:p>
        </w:tc>
        <w:tc>
          <w:tcPr>
            <w:tcW w:w="1135" w:type="dxa"/>
            <w:tcBorders>
              <w:top w:val="single" w:sz="4" w:space="0" w:color="auto"/>
              <w:left w:val="single" w:sz="4" w:space="0" w:color="auto"/>
              <w:right w:val="single" w:sz="4" w:space="0" w:color="auto"/>
            </w:tcBorders>
          </w:tcPr>
          <w:p w14:paraId="0D4D5F36" w14:textId="77777777" w:rsidR="00BC280B" w:rsidRPr="00C77F05" w:rsidRDefault="00BC280B" w:rsidP="007D6184">
            <w:pPr>
              <w:widowControl w:val="0"/>
              <w:rPr>
                <w:bCs/>
                <w:sz w:val="22"/>
                <w:szCs w:val="22"/>
                <w:lang w:val="uk-UA"/>
              </w:rPr>
            </w:pPr>
            <w:r w:rsidRPr="00C77F05">
              <w:rPr>
                <w:bCs/>
                <w:sz w:val="22"/>
                <w:szCs w:val="22"/>
                <w:lang w:val="uk-UA"/>
              </w:rPr>
              <w:t>одна</w:t>
            </w:r>
          </w:p>
        </w:tc>
        <w:tc>
          <w:tcPr>
            <w:tcW w:w="5953" w:type="dxa"/>
            <w:tcBorders>
              <w:top w:val="single" w:sz="4" w:space="0" w:color="auto"/>
              <w:left w:val="single" w:sz="4" w:space="0" w:color="auto"/>
              <w:right w:val="single" w:sz="4" w:space="0" w:color="auto"/>
            </w:tcBorders>
          </w:tcPr>
          <w:p w14:paraId="6C4A5343" w14:textId="77777777" w:rsidR="00BC280B" w:rsidRPr="00C77F05" w:rsidRDefault="00BC280B" w:rsidP="007D6184">
            <w:pPr>
              <w:pStyle w:val="af6"/>
              <w:spacing w:after="0" w:line="240" w:lineRule="auto"/>
              <w:ind w:left="0" w:firstLine="567"/>
              <w:jc w:val="both"/>
              <w:rPr>
                <w:rFonts w:ascii="Times New Roman" w:hAnsi="Times New Roman"/>
                <w:bCs/>
                <w:lang w:val="uk-UA"/>
              </w:rPr>
            </w:pPr>
            <w:r w:rsidRPr="00C77F05">
              <w:rPr>
                <w:rFonts w:ascii="Times New Roman" w:hAnsi="Times New Roman"/>
                <w:bCs/>
                <w:lang w:val="uk-UA"/>
              </w:rPr>
              <w:t>Калібрування проводиться для 2-ох приладів заміру коефіцієнта зчеплення на ЗПС (</w:t>
            </w:r>
            <w:proofErr w:type="spellStart"/>
            <w:r w:rsidRPr="00C77F05">
              <w:rPr>
                <w:rFonts w:ascii="Times New Roman" w:hAnsi="Times New Roman"/>
                <w:bCs/>
                <w:lang w:val="uk-UA"/>
              </w:rPr>
              <w:t>Skiddometer</w:t>
            </w:r>
            <w:proofErr w:type="spellEnd"/>
            <w:r w:rsidRPr="00C77F05">
              <w:rPr>
                <w:rFonts w:ascii="Times New Roman" w:hAnsi="Times New Roman"/>
                <w:bCs/>
                <w:lang w:val="uk-UA"/>
              </w:rPr>
              <w:t xml:space="preserve"> BV11), а саме:</w:t>
            </w:r>
          </w:p>
          <w:p w14:paraId="7A691777" w14:textId="77777777" w:rsidR="00BC280B" w:rsidRPr="00C77F05" w:rsidRDefault="00BC280B" w:rsidP="007D6184">
            <w:pPr>
              <w:pStyle w:val="af6"/>
              <w:spacing w:after="0" w:line="240" w:lineRule="auto"/>
              <w:ind w:left="39"/>
              <w:jc w:val="both"/>
              <w:rPr>
                <w:rFonts w:ascii="Times New Roman" w:hAnsi="Times New Roman"/>
                <w:bCs/>
                <w:color w:val="000000"/>
                <w:lang w:val="uk-UA"/>
              </w:rPr>
            </w:pPr>
            <w:r w:rsidRPr="00C77F05">
              <w:rPr>
                <w:rFonts w:ascii="Times New Roman" w:hAnsi="Times New Roman"/>
                <w:bCs/>
                <w:color w:val="000000"/>
                <w:lang w:val="uk-UA"/>
              </w:rPr>
              <w:t xml:space="preserve">- Причіпний агрегат для вимірювання зчеплення на злітній полосі </w:t>
            </w:r>
            <w:proofErr w:type="spellStart"/>
            <w:r w:rsidRPr="00C77F05">
              <w:rPr>
                <w:rFonts w:ascii="Times New Roman" w:hAnsi="Times New Roman"/>
                <w:bCs/>
                <w:color w:val="000000"/>
                <w:lang w:val="uk-UA"/>
              </w:rPr>
              <w:t>Skiddometer</w:t>
            </w:r>
            <w:proofErr w:type="spellEnd"/>
            <w:r w:rsidRPr="00C77F05">
              <w:rPr>
                <w:rFonts w:ascii="Times New Roman" w:hAnsi="Times New Roman"/>
                <w:bCs/>
                <w:color w:val="000000"/>
                <w:lang w:val="uk-UA"/>
              </w:rPr>
              <w:t xml:space="preserve"> BV-11  2005 року </w:t>
            </w:r>
            <w:proofErr w:type="spellStart"/>
            <w:r w:rsidRPr="00C77F05">
              <w:rPr>
                <w:rFonts w:ascii="Times New Roman" w:hAnsi="Times New Roman"/>
                <w:bCs/>
                <w:color w:val="000000"/>
                <w:lang w:val="uk-UA"/>
              </w:rPr>
              <w:t>інв</w:t>
            </w:r>
            <w:proofErr w:type="spellEnd"/>
            <w:r w:rsidRPr="00C77F05">
              <w:rPr>
                <w:rFonts w:ascii="Times New Roman" w:hAnsi="Times New Roman"/>
                <w:bCs/>
                <w:color w:val="000000"/>
                <w:lang w:val="uk-UA"/>
              </w:rPr>
              <w:t>. № 48415/РМО, завод. № 04254;</w:t>
            </w:r>
          </w:p>
          <w:p w14:paraId="2CB62040" w14:textId="77777777" w:rsidR="00BC280B" w:rsidRPr="00C77F05" w:rsidRDefault="00BC280B" w:rsidP="007D6184">
            <w:pPr>
              <w:pStyle w:val="af6"/>
              <w:spacing w:after="0" w:line="240" w:lineRule="auto"/>
              <w:ind w:left="39"/>
              <w:jc w:val="both"/>
              <w:rPr>
                <w:rFonts w:ascii="Times New Roman" w:hAnsi="Times New Roman"/>
                <w:bCs/>
                <w:color w:val="000000"/>
                <w:lang w:val="uk-UA"/>
              </w:rPr>
            </w:pPr>
            <w:r w:rsidRPr="00C77F05">
              <w:rPr>
                <w:rFonts w:ascii="Times New Roman" w:hAnsi="Times New Roman"/>
                <w:bCs/>
                <w:color w:val="000000"/>
                <w:lang w:val="uk-UA"/>
              </w:rPr>
              <w:t xml:space="preserve">- Обладнання для виміру </w:t>
            </w:r>
            <w:proofErr w:type="spellStart"/>
            <w:r w:rsidRPr="00C77F05">
              <w:rPr>
                <w:rFonts w:ascii="Times New Roman" w:hAnsi="Times New Roman"/>
                <w:bCs/>
                <w:color w:val="000000"/>
                <w:lang w:val="uk-UA"/>
              </w:rPr>
              <w:t>К</w:t>
            </w:r>
            <w:r w:rsidRPr="008B7B86">
              <w:rPr>
                <w:rFonts w:ascii="Times New Roman" w:hAnsi="Times New Roman"/>
                <w:bCs/>
                <w:color w:val="000000"/>
                <w:vertAlign w:val="subscript"/>
                <w:lang w:val="uk-UA"/>
              </w:rPr>
              <w:t>зч</w:t>
            </w:r>
            <w:proofErr w:type="spellEnd"/>
            <w:r>
              <w:rPr>
                <w:rFonts w:ascii="Times New Roman" w:hAnsi="Times New Roman"/>
                <w:bCs/>
                <w:color w:val="000000"/>
                <w:lang w:val="uk-UA"/>
              </w:rPr>
              <w:t xml:space="preserve"> </w:t>
            </w:r>
            <w:r w:rsidRPr="00C77F05">
              <w:rPr>
                <w:rFonts w:ascii="Times New Roman" w:hAnsi="Times New Roman"/>
                <w:bCs/>
                <w:color w:val="000000"/>
                <w:lang w:val="uk-UA"/>
              </w:rPr>
              <w:t xml:space="preserve">на ЗПС </w:t>
            </w:r>
            <w:proofErr w:type="spellStart"/>
            <w:r w:rsidRPr="00C77F05">
              <w:rPr>
                <w:rFonts w:ascii="Times New Roman" w:hAnsi="Times New Roman"/>
                <w:bCs/>
                <w:color w:val="000000"/>
                <w:lang w:val="uk-UA"/>
              </w:rPr>
              <w:t>Skiddometer</w:t>
            </w:r>
            <w:proofErr w:type="spellEnd"/>
            <w:r w:rsidRPr="00C77F05">
              <w:rPr>
                <w:rFonts w:ascii="Times New Roman" w:hAnsi="Times New Roman"/>
                <w:bCs/>
                <w:color w:val="000000"/>
                <w:lang w:val="uk-UA"/>
              </w:rPr>
              <w:t xml:space="preserve"> BV-11 2016 року </w:t>
            </w:r>
            <w:proofErr w:type="spellStart"/>
            <w:r w:rsidRPr="00C77F05">
              <w:rPr>
                <w:rFonts w:ascii="Times New Roman" w:hAnsi="Times New Roman"/>
                <w:bCs/>
                <w:color w:val="000000"/>
                <w:lang w:val="uk-UA"/>
              </w:rPr>
              <w:t>інв</w:t>
            </w:r>
            <w:proofErr w:type="spellEnd"/>
            <w:r w:rsidRPr="00C77F05">
              <w:rPr>
                <w:rFonts w:ascii="Times New Roman" w:hAnsi="Times New Roman"/>
                <w:bCs/>
                <w:color w:val="000000"/>
                <w:lang w:val="uk-UA"/>
              </w:rPr>
              <w:t>. № 49427/РМО, Завод. № 319.</w:t>
            </w:r>
          </w:p>
          <w:p w14:paraId="62000001" w14:textId="77777777" w:rsidR="00BC280B" w:rsidRPr="008660A6" w:rsidRDefault="00BC280B" w:rsidP="007D6184">
            <w:pPr>
              <w:pStyle w:val="af6"/>
              <w:spacing w:after="0" w:line="240" w:lineRule="auto"/>
              <w:ind w:left="0" w:firstLine="567"/>
              <w:jc w:val="both"/>
              <w:rPr>
                <w:rFonts w:ascii="Times New Roman" w:hAnsi="Times New Roman"/>
                <w:bCs/>
                <w:color w:val="000000"/>
                <w:lang w:val="uk-UA"/>
              </w:rPr>
            </w:pPr>
            <w:r w:rsidRPr="008660A6">
              <w:rPr>
                <w:rFonts w:ascii="Times New Roman" w:hAnsi="Times New Roman"/>
                <w:bCs/>
                <w:color w:val="000000"/>
                <w:lang w:val="uk-UA"/>
              </w:rPr>
              <w:t>Калібрування включає в себе:</w:t>
            </w:r>
          </w:p>
          <w:p w14:paraId="350D0E84" w14:textId="77777777" w:rsidR="00BC280B" w:rsidRPr="008660A6" w:rsidRDefault="00BC280B" w:rsidP="00BC280B">
            <w:pPr>
              <w:pStyle w:val="af6"/>
              <w:numPr>
                <w:ilvl w:val="0"/>
                <w:numId w:val="26"/>
              </w:numPr>
              <w:spacing w:after="0" w:line="240" w:lineRule="auto"/>
              <w:ind w:left="0" w:firstLine="567"/>
              <w:jc w:val="both"/>
              <w:rPr>
                <w:rFonts w:ascii="Times New Roman" w:hAnsi="Times New Roman"/>
                <w:bCs/>
                <w:color w:val="000000"/>
                <w:lang w:val="uk-UA"/>
              </w:rPr>
            </w:pPr>
            <w:r w:rsidRPr="008660A6">
              <w:rPr>
                <w:rFonts w:ascii="Times New Roman" w:hAnsi="Times New Roman"/>
                <w:bCs/>
                <w:color w:val="000000"/>
                <w:lang w:val="uk-UA"/>
              </w:rPr>
              <w:t>перевірку тиску у шинах, зносу шин, гальмової системи, рівню рідини гальмової системи з гідравлікою;</w:t>
            </w:r>
          </w:p>
          <w:p w14:paraId="50F2A3DC" w14:textId="77777777" w:rsidR="00BC280B" w:rsidRPr="00C77F05" w:rsidRDefault="00BC280B" w:rsidP="00BC280B">
            <w:pPr>
              <w:pStyle w:val="af6"/>
              <w:numPr>
                <w:ilvl w:val="0"/>
                <w:numId w:val="26"/>
              </w:numPr>
              <w:spacing w:after="0" w:line="240" w:lineRule="auto"/>
              <w:ind w:left="0" w:firstLine="567"/>
              <w:jc w:val="both"/>
              <w:rPr>
                <w:rFonts w:ascii="Times New Roman" w:hAnsi="Times New Roman"/>
                <w:bCs/>
                <w:color w:val="000000"/>
                <w:lang w:val="uk-UA"/>
              </w:rPr>
            </w:pPr>
            <w:r w:rsidRPr="008660A6">
              <w:rPr>
                <w:rFonts w:ascii="Times New Roman" w:hAnsi="Times New Roman"/>
                <w:bCs/>
                <w:color w:val="000000"/>
                <w:lang w:val="uk-UA"/>
              </w:rPr>
              <w:t>налаштування вимірювальної системи (перевірка датчиків сили третя, тиску, прискорення, тестування відгуку</w:t>
            </w:r>
            <w:r w:rsidRPr="00C77F05">
              <w:rPr>
                <w:rFonts w:ascii="Times New Roman" w:hAnsi="Times New Roman"/>
                <w:bCs/>
                <w:color w:val="000000"/>
                <w:lang w:val="uk-UA"/>
              </w:rPr>
              <w:t xml:space="preserve"> на вимір умов, встановлення параметрів типу покриття, типу рідини, що використовується);</w:t>
            </w:r>
          </w:p>
          <w:p w14:paraId="07851AD3" w14:textId="77777777" w:rsidR="00BC280B" w:rsidRPr="00C77F05" w:rsidRDefault="00BC280B" w:rsidP="00BC280B">
            <w:pPr>
              <w:pStyle w:val="af6"/>
              <w:numPr>
                <w:ilvl w:val="0"/>
                <w:numId w:val="26"/>
              </w:numPr>
              <w:spacing w:after="0" w:line="240" w:lineRule="auto"/>
              <w:ind w:left="0" w:firstLine="567"/>
              <w:jc w:val="both"/>
              <w:rPr>
                <w:rFonts w:ascii="Times New Roman" w:hAnsi="Times New Roman"/>
                <w:bCs/>
                <w:color w:val="000000"/>
                <w:lang w:val="uk-UA"/>
              </w:rPr>
            </w:pPr>
            <w:r w:rsidRPr="00C77F05">
              <w:rPr>
                <w:rFonts w:ascii="Times New Roman" w:hAnsi="Times New Roman"/>
                <w:bCs/>
                <w:color w:val="000000"/>
                <w:lang w:val="uk-UA"/>
              </w:rPr>
              <w:t>проведення контрольних замірів (використання еталонної поверхні з визнаним коефіцієнтом зчеплення, проведення пробігів на різних швидкостях 40, 65, 95 км/год., порівняння отриманих даних з очікуваними значеннями);</w:t>
            </w:r>
          </w:p>
          <w:p w14:paraId="1862B359" w14:textId="77777777" w:rsidR="00BC280B" w:rsidRPr="00C77F05" w:rsidRDefault="00BC280B" w:rsidP="00BC280B">
            <w:pPr>
              <w:pStyle w:val="af6"/>
              <w:numPr>
                <w:ilvl w:val="0"/>
                <w:numId w:val="26"/>
              </w:numPr>
              <w:spacing w:after="0" w:line="240" w:lineRule="auto"/>
              <w:ind w:left="0" w:firstLine="567"/>
              <w:jc w:val="both"/>
              <w:rPr>
                <w:rFonts w:ascii="Times New Roman" w:hAnsi="Times New Roman"/>
                <w:bCs/>
                <w:color w:val="000000"/>
                <w:lang w:val="uk-UA"/>
              </w:rPr>
            </w:pPr>
            <w:r w:rsidRPr="00C77F05">
              <w:rPr>
                <w:rFonts w:ascii="Times New Roman" w:hAnsi="Times New Roman"/>
                <w:bCs/>
                <w:color w:val="000000"/>
                <w:lang w:val="uk-UA"/>
              </w:rPr>
              <w:t>порівняння з еталонним обладнанням (паралельний вимір з іншим відкаліброваним приладом);</w:t>
            </w:r>
            <w:r w:rsidRPr="00C77F05">
              <w:rPr>
                <w:rFonts w:ascii="Times New Roman" w:hAnsi="Times New Roman"/>
                <w:bCs/>
                <w:color w:val="000000"/>
                <w:lang w:val="uk-UA"/>
              </w:rPr>
              <w:cr/>
              <w:t xml:space="preserve">           - налаштування та корегування (калібрування програмним способом або механічне налаштування обладнання, внесення коефіцієнтів корекції до системи);</w:t>
            </w:r>
          </w:p>
          <w:p w14:paraId="1D8714A2" w14:textId="77777777" w:rsidR="00BC280B" w:rsidRPr="00C77F05" w:rsidRDefault="00BC280B" w:rsidP="007D6184">
            <w:pPr>
              <w:tabs>
                <w:tab w:val="left" w:pos="567"/>
              </w:tabs>
              <w:autoSpaceDE w:val="0"/>
              <w:autoSpaceDN w:val="0"/>
              <w:adjustRightInd w:val="0"/>
              <w:ind w:firstLine="567"/>
              <w:jc w:val="both"/>
              <w:rPr>
                <w:b/>
                <w:sz w:val="22"/>
                <w:szCs w:val="22"/>
                <w:lang w:val="uk-UA"/>
              </w:rPr>
            </w:pPr>
            <w:r w:rsidRPr="00C77F05">
              <w:rPr>
                <w:bCs/>
                <w:color w:val="000000"/>
                <w:sz w:val="22"/>
                <w:szCs w:val="22"/>
                <w:lang w:val="uk-UA"/>
              </w:rPr>
              <w:t xml:space="preserve">- документування (оформлення протоколу калібрування, зазначення дати наступного калібрування). </w:t>
            </w:r>
          </w:p>
        </w:tc>
      </w:tr>
    </w:tbl>
    <w:p w14:paraId="2A506411"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EC3C" w14:textId="77777777" w:rsidR="00AD2200" w:rsidRDefault="00AD2200">
      <w:r>
        <w:separator/>
      </w:r>
    </w:p>
  </w:endnote>
  <w:endnote w:type="continuationSeparator" w:id="0">
    <w:p w14:paraId="271DA7E7" w14:textId="77777777" w:rsidR="00AD2200" w:rsidRDefault="00AD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D3EE"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04FE" w14:textId="593056D7" w:rsidR="00A256E7" w:rsidRPr="00A256E7" w:rsidRDefault="00FB6386"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2BC552D7" wp14:editId="1DA8361A">
              <wp:simplePos x="0" y="0"/>
              <wp:positionH relativeFrom="column">
                <wp:posOffset>-180340</wp:posOffset>
              </wp:positionH>
              <wp:positionV relativeFrom="paragraph">
                <wp:posOffset>7620</wp:posOffset>
              </wp:positionV>
              <wp:extent cx="6357620" cy="14605"/>
              <wp:effectExtent l="10160" t="7620" r="13970" b="6350"/>
              <wp:wrapNone/>
              <wp:docPr id="173931474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0626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CB2B38">
      <w:rPr>
        <w:sz w:val="20"/>
        <w:szCs w:val="20"/>
        <w:lang w:val="uk-UA"/>
      </w:rPr>
      <w:t>Послуга з проведення калібрування приладів для виміру коефіцієнту зчеплення, код ДК 021:2015 - 50430000-8 - Послуги з ремонтування і технічного обслуговування високоточного обладнання</w:t>
    </w:r>
  </w:p>
  <w:p w14:paraId="5F904E14"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C669"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C069" w14:textId="77777777" w:rsidR="00AD2200" w:rsidRDefault="00AD2200">
      <w:r>
        <w:separator/>
      </w:r>
    </w:p>
  </w:footnote>
  <w:footnote w:type="continuationSeparator" w:id="0">
    <w:p w14:paraId="004E1BEE" w14:textId="77777777" w:rsidR="00AD2200" w:rsidRDefault="00AD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08F1"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E86B222"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F06D" w14:textId="11E773A3" w:rsidR="002D6492" w:rsidRPr="003C4B6B" w:rsidRDefault="00FB6386"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32384B3E" wp14:editId="51F07C90">
              <wp:simplePos x="0" y="0"/>
              <wp:positionH relativeFrom="column">
                <wp:posOffset>-17145</wp:posOffset>
              </wp:positionH>
              <wp:positionV relativeFrom="paragraph">
                <wp:posOffset>476885</wp:posOffset>
              </wp:positionV>
              <wp:extent cx="6329045" cy="13970"/>
              <wp:effectExtent l="11430" t="10160" r="12700" b="13970"/>
              <wp:wrapNone/>
              <wp:docPr id="568159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432BA"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4AB5414" wp14:editId="3BD32E8C">
          <wp:extent cx="1446530" cy="28638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28638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560B"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7C928A5"/>
    <w:multiLevelType w:val="hybridMultilevel"/>
    <w:tmpl w:val="FFFFFFFF"/>
    <w:lvl w:ilvl="0" w:tplc="36AAA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0E154E"/>
    <w:multiLevelType w:val="hybridMultilevel"/>
    <w:tmpl w:val="D4ECEECC"/>
    <w:lvl w:ilvl="0" w:tplc="E3584328">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2F74D0"/>
    <w:multiLevelType w:val="hybridMultilevel"/>
    <w:tmpl w:val="33EA1680"/>
    <w:lvl w:ilvl="0" w:tplc="89527412">
      <w:start w:val="1"/>
      <w:numFmt w:val="bullet"/>
      <w:lvlText w:val="-"/>
      <w:lvlJc w:val="left"/>
      <w:pPr>
        <w:ind w:left="927" w:hanging="360"/>
      </w:pPr>
      <w:rPr>
        <w:rFonts w:ascii="Calibri" w:eastAsia="Times New Roman" w:hAnsi="Calibri" w:cs="Calibri" w:hint="default"/>
      </w:rPr>
    </w:lvl>
    <w:lvl w:ilvl="1" w:tplc="04220003">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3D5642EA"/>
    <w:multiLevelType w:val="hybridMultilevel"/>
    <w:tmpl w:val="FFFFFFFF"/>
    <w:lvl w:ilvl="0" w:tplc="36AAA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A3185D"/>
    <w:multiLevelType w:val="hybridMultilevel"/>
    <w:tmpl w:val="72A8F14C"/>
    <w:lvl w:ilvl="0" w:tplc="1616A7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3"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48767799">
    <w:abstractNumId w:val="25"/>
  </w:num>
  <w:num w:numId="2" w16cid:durableId="1006979233">
    <w:abstractNumId w:val="27"/>
  </w:num>
  <w:num w:numId="3" w16cid:durableId="100418596">
    <w:abstractNumId w:val="0"/>
  </w:num>
  <w:num w:numId="4" w16cid:durableId="1348754039">
    <w:abstractNumId w:val="28"/>
  </w:num>
  <w:num w:numId="5" w16cid:durableId="1452437877">
    <w:abstractNumId w:val="8"/>
  </w:num>
  <w:num w:numId="6" w16cid:durableId="1666281919">
    <w:abstractNumId w:val="6"/>
  </w:num>
  <w:num w:numId="7" w16cid:durableId="156457583">
    <w:abstractNumId w:val="7"/>
  </w:num>
  <w:num w:numId="8" w16cid:durableId="631718954">
    <w:abstractNumId w:val="24"/>
  </w:num>
  <w:num w:numId="9" w16cid:durableId="961571977">
    <w:abstractNumId w:val="1"/>
  </w:num>
  <w:num w:numId="10" w16cid:durableId="2137329751">
    <w:abstractNumId w:val="21"/>
  </w:num>
  <w:num w:numId="11" w16cid:durableId="467363243">
    <w:abstractNumId w:val="19"/>
  </w:num>
  <w:num w:numId="12" w16cid:durableId="540946407">
    <w:abstractNumId w:val="16"/>
  </w:num>
  <w:num w:numId="13" w16cid:durableId="1879973086">
    <w:abstractNumId w:val="18"/>
  </w:num>
  <w:num w:numId="14" w16cid:durableId="721248726">
    <w:abstractNumId w:val="3"/>
  </w:num>
  <w:num w:numId="15" w16cid:durableId="387606779">
    <w:abstractNumId w:val="20"/>
  </w:num>
  <w:num w:numId="16" w16cid:durableId="606549665">
    <w:abstractNumId w:val="2"/>
  </w:num>
  <w:num w:numId="17" w16cid:durableId="1793596630">
    <w:abstractNumId w:val="12"/>
  </w:num>
  <w:num w:numId="18" w16cid:durableId="1753820097">
    <w:abstractNumId w:val="5"/>
  </w:num>
  <w:num w:numId="19" w16cid:durableId="1238906034">
    <w:abstractNumId w:val="9"/>
  </w:num>
  <w:num w:numId="20" w16cid:durableId="1173686419">
    <w:abstractNumId w:val="23"/>
  </w:num>
  <w:num w:numId="21" w16cid:durableId="296566179">
    <w:abstractNumId w:val="10"/>
  </w:num>
  <w:num w:numId="22" w16cid:durableId="1537161350">
    <w:abstractNumId w:val="22"/>
  </w:num>
  <w:num w:numId="23" w16cid:durableId="775905393">
    <w:abstractNumId w:val="11"/>
  </w:num>
  <w:num w:numId="24" w16cid:durableId="711538629">
    <w:abstractNumId w:val="26"/>
  </w:num>
  <w:num w:numId="25" w16cid:durableId="898594875">
    <w:abstractNumId w:val="26"/>
  </w:num>
  <w:num w:numId="26" w16cid:durableId="1054963901">
    <w:abstractNumId w:val="14"/>
  </w:num>
  <w:num w:numId="27" w16cid:durableId="73673008">
    <w:abstractNumId w:val="4"/>
  </w:num>
  <w:num w:numId="28" w16cid:durableId="636883384">
    <w:abstractNumId w:val="15"/>
  </w:num>
  <w:num w:numId="29" w16cid:durableId="1404989783">
    <w:abstractNumId w:val="13"/>
  </w:num>
  <w:num w:numId="30" w16cid:durableId="21043777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5270"/>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1F1"/>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1D11"/>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ACD"/>
    <w:rsid w:val="00651D77"/>
    <w:rsid w:val="00652A01"/>
    <w:rsid w:val="00653279"/>
    <w:rsid w:val="006539DE"/>
    <w:rsid w:val="00653B26"/>
    <w:rsid w:val="00661EE8"/>
    <w:rsid w:val="006631EF"/>
    <w:rsid w:val="006653FA"/>
    <w:rsid w:val="0067046F"/>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1E52"/>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A8A"/>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2200"/>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1785"/>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507"/>
    <w:rsid w:val="00BA7BBB"/>
    <w:rsid w:val="00BB1020"/>
    <w:rsid w:val="00BB24C6"/>
    <w:rsid w:val="00BB5AE8"/>
    <w:rsid w:val="00BB5F09"/>
    <w:rsid w:val="00BB6B1A"/>
    <w:rsid w:val="00BC2719"/>
    <w:rsid w:val="00BC280B"/>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2B38"/>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4A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6F02"/>
    <w:rsid w:val="00E975B2"/>
    <w:rsid w:val="00E9767B"/>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5F57"/>
    <w:rsid w:val="00FB638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DEB0D"/>
  <w15:chartTrackingRefBased/>
  <w15:docId w15:val="{3FFEA720-461C-4E5B-9624-782D05CD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qFormat/>
    <w:locked/>
    <w:rsid w:val="006F0757"/>
    <w:rPr>
      <w:rFonts w:ascii="Calibri" w:eastAsia="Calibri" w:hAnsi="Calibri"/>
      <w:sz w:val="22"/>
      <w:szCs w:val="22"/>
      <w:lang w:val="ru-RU" w:eastAsia="en-US"/>
    </w:rPr>
  </w:style>
  <w:style w:type="paragraph" w:customStyle="1" w:styleId="Default">
    <w:name w:val="Default"/>
    <w:rsid w:val="00551D11"/>
    <w:pPr>
      <w:autoSpaceDE w:val="0"/>
      <w:autoSpaceDN w:val="0"/>
      <w:adjustRightInd w:val="0"/>
    </w:pPr>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3395</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12</cp:revision>
  <cp:lastPrinted>2021-11-17T09:02:00Z</cp:lastPrinted>
  <dcterms:created xsi:type="dcterms:W3CDTF">2025-10-08T14:22:00Z</dcterms:created>
  <dcterms:modified xsi:type="dcterms:W3CDTF">2025-10-17T11:33:00Z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