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6F38EE3A" w14:textId="77777777" w:rsidTr="001021AF">
        <w:tc>
          <w:tcPr>
            <w:tcW w:w="4683" w:type="dxa"/>
          </w:tcPr>
          <w:p w14:paraId="6BF30FC7" w14:textId="5885267D" w:rsidR="00825A6B" w:rsidRPr="007101A5" w:rsidRDefault="00035514" w:rsidP="006926A0">
            <w:pPr>
              <w:pStyle w:val="a4"/>
              <w:widowControl w:val="0"/>
              <w:rPr>
                <w:szCs w:val="17"/>
                <w:lang w:val="uk-UA"/>
              </w:rPr>
            </w:pPr>
            <w:r>
              <w:rPr>
                <w:noProof/>
                <w:lang w:val="uk-UA"/>
              </w:rPr>
              <w:drawing>
                <wp:inline distT="0" distB="0" distL="0" distR="0" wp14:anchorId="60994913" wp14:editId="44C83EDC">
                  <wp:extent cx="1447800" cy="2857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p>
        </w:tc>
        <w:tc>
          <w:tcPr>
            <w:tcW w:w="5171" w:type="dxa"/>
          </w:tcPr>
          <w:p w14:paraId="66B1408C"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3906336B"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3DEF73AD"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26358B97"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327A1D00" w14:textId="77777777" w:rsidTr="00C62708">
        <w:tc>
          <w:tcPr>
            <w:tcW w:w="9854" w:type="dxa"/>
            <w:gridSpan w:val="2"/>
          </w:tcPr>
          <w:p w14:paraId="7618271F" w14:textId="77777777" w:rsidR="003C4B6B" w:rsidRPr="007101A5" w:rsidRDefault="003C4B6B" w:rsidP="007D7B6F">
            <w:pPr>
              <w:pStyle w:val="1"/>
              <w:keepNext w:val="0"/>
              <w:widowControl w:val="0"/>
              <w:rPr>
                <w:sz w:val="28"/>
                <w:szCs w:val="28"/>
              </w:rPr>
            </w:pPr>
          </w:p>
          <w:p w14:paraId="17A1BA70"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11B75954" w14:textId="77777777" w:rsidR="005F3529" w:rsidRPr="007101A5" w:rsidRDefault="005F3529" w:rsidP="0063471D">
      <w:pPr>
        <w:pStyle w:val="a4"/>
        <w:widowControl w:val="0"/>
        <w:jc w:val="both"/>
        <w:rPr>
          <w:sz w:val="24"/>
          <w:szCs w:val="24"/>
          <w:lang w:val="uk-UA"/>
        </w:rPr>
      </w:pPr>
    </w:p>
    <w:p w14:paraId="41EA9434" w14:textId="77777777" w:rsidR="007D7B6F" w:rsidRPr="00FB0C57" w:rsidRDefault="003C4B6B" w:rsidP="0063471D">
      <w:pPr>
        <w:pStyle w:val="a4"/>
        <w:widowControl w:val="0"/>
        <w:jc w:val="both"/>
        <w:rPr>
          <w:noProof/>
          <w:sz w:val="24"/>
          <w:szCs w:val="24"/>
          <w:lang w:val="uk-UA"/>
        </w:rPr>
      </w:pPr>
      <w:r w:rsidRPr="00FB0C57">
        <w:rPr>
          <w:noProof/>
          <w:sz w:val="24"/>
          <w:szCs w:val="24"/>
          <w:lang w:val="uk-UA"/>
        </w:rPr>
        <w:t xml:space="preserve">Підстава: </w:t>
      </w:r>
      <w:r w:rsidR="007D7B6F" w:rsidRPr="00FB0C57">
        <w:rPr>
          <w:noProof/>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5F445A91" w14:textId="77777777" w:rsidR="009F35DC" w:rsidRPr="00FB0C57" w:rsidRDefault="009F35DC" w:rsidP="00440A74">
      <w:pPr>
        <w:widowControl w:val="0"/>
        <w:shd w:val="clear" w:color="auto" w:fill="FFFFFF"/>
        <w:ind w:firstLine="708"/>
        <w:contextualSpacing/>
        <w:jc w:val="both"/>
        <w:rPr>
          <w:noProof/>
          <w:lang w:val="uk-UA"/>
        </w:rPr>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FB0C57" w14:paraId="1D6E5551" w14:textId="77777777" w:rsidTr="00C62708">
        <w:tc>
          <w:tcPr>
            <w:tcW w:w="487" w:type="pct"/>
            <w:shd w:val="clear" w:color="auto" w:fill="DEEAF6"/>
          </w:tcPr>
          <w:p w14:paraId="5C53580C" w14:textId="77777777" w:rsidR="00A76484" w:rsidRPr="00FB0C57" w:rsidRDefault="00A76484" w:rsidP="002D4D30">
            <w:pPr>
              <w:widowControl w:val="0"/>
              <w:contextualSpacing/>
              <w:jc w:val="center"/>
              <w:rPr>
                <w:b/>
                <w:noProof/>
                <w:lang w:val="uk-UA"/>
              </w:rPr>
            </w:pPr>
            <w:r w:rsidRPr="00FB0C57">
              <w:rPr>
                <w:b/>
                <w:noProof/>
                <w:lang w:val="uk-UA"/>
              </w:rPr>
              <w:t>Пункт Кошторису</w:t>
            </w:r>
          </w:p>
        </w:tc>
        <w:tc>
          <w:tcPr>
            <w:tcW w:w="1527" w:type="pct"/>
            <w:shd w:val="clear" w:color="auto" w:fill="DEEAF6"/>
          </w:tcPr>
          <w:p w14:paraId="0465A95E" w14:textId="77777777" w:rsidR="00A76484" w:rsidRPr="00FB0C57" w:rsidRDefault="00A76484" w:rsidP="002D4D30">
            <w:pPr>
              <w:widowControl w:val="0"/>
              <w:contextualSpacing/>
              <w:jc w:val="center"/>
              <w:rPr>
                <w:b/>
                <w:noProof/>
                <w:lang w:val="uk-UA"/>
              </w:rPr>
            </w:pPr>
            <w:r w:rsidRPr="00FB0C57">
              <w:rPr>
                <w:b/>
                <w:noProof/>
                <w:lang w:val="uk-UA"/>
              </w:rPr>
              <w:t>Назва предмета закупівлі із зазначенням коду за Єдиним закупівельним словником</w:t>
            </w:r>
          </w:p>
        </w:tc>
        <w:tc>
          <w:tcPr>
            <w:tcW w:w="947" w:type="pct"/>
            <w:shd w:val="clear" w:color="auto" w:fill="DEEAF6"/>
          </w:tcPr>
          <w:p w14:paraId="4B1F28EE" w14:textId="77777777" w:rsidR="00A76484" w:rsidRPr="00FB0C57" w:rsidRDefault="00A76484" w:rsidP="00DB2D70">
            <w:pPr>
              <w:widowControl w:val="0"/>
              <w:contextualSpacing/>
              <w:jc w:val="center"/>
              <w:rPr>
                <w:b/>
                <w:noProof/>
                <w:lang w:val="uk-UA"/>
              </w:rPr>
            </w:pPr>
            <w:r w:rsidRPr="00FB0C57">
              <w:rPr>
                <w:b/>
                <w:noProof/>
                <w:lang w:val="uk-UA"/>
              </w:rPr>
              <w:t>Очікувана варт</w:t>
            </w:r>
            <w:r w:rsidR="00DB2D70" w:rsidRPr="00FB0C57">
              <w:rPr>
                <w:b/>
                <w:noProof/>
                <w:lang w:val="uk-UA"/>
              </w:rPr>
              <w:t>ість предмета закупівлі згідно р</w:t>
            </w:r>
            <w:r w:rsidRPr="00FB0C57">
              <w:rPr>
                <w:b/>
                <w:noProof/>
                <w:lang w:val="uk-UA"/>
              </w:rPr>
              <w:t>ічного плану закупівель</w:t>
            </w:r>
          </w:p>
        </w:tc>
        <w:tc>
          <w:tcPr>
            <w:tcW w:w="1102" w:type="pct"/>
            <w:shd w:val="clear" w:color="auto" w:fill="DEEAF6"/>
          </w:tcPr>
          <w:p w14:paraId="05720BA1" w14:textId="77777777" w:rsidR="00A76484" w:rsidRPr="00FB0C57" w:rsidRDefault="00A76484" w:rsidP="002D4D30">
            <w:pPr>
              <w:widowControl w:val="0"/>
              <w:contextualSpacing/>
              <w:jc w:val="center"/>
              <w:rPr>
                <w:b/>
                <w:noProof/>
                <w:lang w:val="uk-UA"/>
              </w:rPr>
            </w:pPr>
            <w:r w:rsidRPr="00FB0C57">
              <w:rPr>
                <w:b/>
                <w:noProof/>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0334D8D0" w14:textId="77777777" w:rsidR="00A76484" w:rsidRPr="00FB0C57" w:rsidRDefault="00A355EA" w:rsidP="002D4D30">
            <w:pPr>
              <w:widowControl w:val="0"/>
              <w:contextualSpacing/>
              <w:jc w:val="center"/>
              <w:rPr>
                <w:b/>
                <w:noProof/>
                <w:lang w:val="uk-UA"/>
              </w:rPr>
            </w:pPr>
            <w:r w:rsidRPr="00FB0C57">
              <w:rPr>
                <w:b/>
                <w:noProof/>
                <w:lang w:val="uk-UA"/>
              </w:rPr>
              <w:t>Ідентифікатор процедури закупівлі</w:t>
            </w:r>
          </w:p>
        </w:tc>
      </w:tr>
      <w:tr w:rsidR="00A76484" w:rsidRPr="00FB0C57" w14:paraId="6BE3BBC7" w14:textId="77777777" w:rsidTr="00212515">
        <w:tc>
          <w:tcPr>
            <w:tcW w:w="487" w:type="pct"/>
          </w:tcPr>
          <w:p w14:paraId="2CCBCF48" w14:textId="3FB32F80" w:rsidR="00A76484" w:rsidRPr="00FB0C57" w:rsidRDefault="004072F7" w:rsidP="005469FD">
            <w:pPr>
              <w:widowControl w:val="0"/>
              <w:ind w:right="-11"/>
              <w:jc w:val="center"/>
              <w:rPr>
                <w:noProof/>
                <w:lang w:val="uk-UA" w:eastAsia="uk-UA"/>
              </w:rPr>
            </w:pPr>
            <w:r w:rsidRPr="00FB0C57">
              <w:rPr>
                <w:noProof/>
                <w:lang w:val="uk-UA"/>
              </w:rPr>
              <w:t>п.</w:t>
            </w:r>
            <w:r w:rsidR="00A76484" w:rsidRPr="00FB0C57">
              <w:rPr>
                <w:noProof/>
                <w:lang w:val="uk-UA"/>
              </w:rPr>
              <w:t xml:space="preserve"> </w:t>
            </w:r>
            <w:r w:rsidR="00C21F32" w:rsidRPr="00FB0C57">
              <w:rPr>
                <w:noProof/>
                <w:lang w:val="uk-UA"/>
              </w:rPr>
              <w:t xml:space="preserve">2.05 </w:t>
            </w:r>
            <w:r w:rsidR="00BD6E95" w:rsidRPr="00FB0C57">
              <w:rPr>
                <w:noProof/>
                <w:lang w:val="uk-UA" w:eastAsia="uk-UA"/>
              </w:rPr>
              <w:t>(202</w:t>
            </w:r>
            <w:r w:rsidR="000C7914" w:rsidRPr="00FB0C57">
              <w:rPr>
                <w:noProof/>
                <w:lang w:val="uk-UA" w:eastAsia="uk-UA"/>
              </w:rPr>
              <w:t>5</w:t>
            </w:r>
            <w:r w:rsidR="00A76484" w:rsidRPr="00FB0C57">
              <w:rPr>
                <w:noProof/>
                <w:lang w:val="uk-UA" w:eastAsia="uk-UA"/>
              </w:rPr>
              <w:t>)</w:t>
            </w:r>
          </w:p>
        </w:tc>
        <w:tc>
          <w:tcPr>
            <w:tcW w:w="1527" w:type="pct"/>
          </w:tcPr>
          <w:p w14:paraId="21DBD93F" w14:textId="70378260" w:rsidR="00A76484" w:rsidRPr="00FB0C57" w:rsidRDefault="00C21F32" w:rsidP="00A12478">
            <w:pPr>
              <w:widowControl w:val="0"/>
              <w:rPr>
                <w:bCs/>
                <w:noProof/>
                <w:lang w:val="uk-UA"/>
              </w:rPr>
            </w:pPr>
            <w:r w:rsidRPr="00FB0C57">
              <w:rPr>
                <w:b/>
                <w:noProof/>
                <w:lang w:val="uk-UA"/>
              </w:rPr>
              <w:t xml:space="preserve">Мастильні матеріали різні, код ДК 021:2015 - 09210000-4 - Мастильні засоби </w:t>
            </w:r>
          </w:p>
        </w:tc>
        <w:tc>
          <w:tcPr>
            <w:tcW w:w="947" w:type="pct"/>
          </w:tcPr>
          <w:p w14:paraId="0A2A026F" w14:textId="5B255E20" w:rsidR="00A76484" w:rsidRPr="00FB0C57" w:rsidRDefault="00C21F32" w:rsidP="002D4D30">
            <w:pPr>
              <w:widowControl w:val="0"/>
              <w:jc w:val="center"/>
              <w:rPr>
                <w:noProof/>
                <w:lang w:val="uk-UA"/>
              </w:rPr>
            </w:pPr>
            <w:r w:rsidRPr="00FB0C57">
              <w:rPr>
                <w:noProof/>
                <w:lang w:val="uk-UA"/>
              </w:rPr>
              <w:t>165 212,40</w:t>
            </w:r>
            <w:r w:rsidR="00A76484" w:rsidRPr="00FB0C57">
              <w:rPr>
                <w:noProof/>
                <w:lang w:val="uk-UA"/>
              </w:rPr>
              <w:t xml:space="preserve"> </w:t>
            </w:r>
          </w:p>
          <w:p w14:paraId="08AC06D0" w14:textId="77777777" w:rsidR="00A76484" w:rsidRPr="00FB0C57" w:rsidRDefault="00A76484" w:rsidP="002D4D30">
            <w:pPr>
              <w:widowControl w:val="0"/>
              <w:jc w:val="center"/>
              <w:rPr>
                <w:noProof/>
                <w:lang w:val="uk-UA"/>
              </w:rPr>
            </w:pPr>
            <w:r w:rsidRPr="00FB0C57">
              <w:rPr>
                <w:noProof/>
                <w:lang w:val="uk-UA"/>
              </w:rPr>
              <w:t>грн. з ПДВ</w:t>
            </w:r>
          </w:p>
        </w:tc>
        <w:tc>
          <w:tcPr>
            <w:tcW w:w="1102" w:type="pct"/>
          </w:tcPr>
          <w:p w14:paraId="4A8E0CAA" w14:textId="6C6D2A78" w:rsidR="00A76484" w:rsidRPr="00FB0C57" w:rsidRDefault="000C7914" w:rsidP="002D4D30">
            <w:pPr>
              <w:widowControl w:val="0"/>
              <w:jc w:val="center"/>
              <w:rPr>
                <w:noProof/>
                <w:lang w:val="uk-UA"/>
              </w:rPr>
            </w:pPr>
            <w:r w:rsidRPr="00FB0C57">
              <w:rPr>
                <w:noProof/>
                <w:lang w:val="uk-UA"/>
              </w:rPr>
              <w:t>137 677,00</w:t>
            </w:r>
          </w:p>
          <w:p w14:paraId="4688AAF4" w14:textId="77777777" w:rsidR="00A76484" w:rsidRPr="00FB0C57" w:rsidRDefault="00A76484" w:rsidP="002D4D30">
            <w:pPr>
              <w:widowControl w:val="0"/>
              <w:jc w:val="center"/>
              <w:rPr>
                <w:noProof/>
                <w:lang w:val="uk-UA"/>
              </w:rPr>
            </w:pPr>
            <w:r w:rsidRPr="00FB0C57">
              <w:rPr>
                <w:noProof/>
                <w:lang w:val="uk-UA"/>
              </w:rPr>
              <w:t xml:space="preserve">грн. без ПДВ </w:t>
            </w:r>
          </w:p>
        </w:tc>
        <w:tc>
          <w:tcPr>
            <w:tcW w:w="936" w:type="pct"/>
          </w:tcPr>
          <w:p w14:paraId="04131A47" w14:textId="4EC9A74B" w:rsidR="00A76484" w:rsidRPr="00FB0C57" w:rsidRDefault="00FB1C4F" w:rsidP="002D4D30">
            <w:pPr>
              <w:widowControl w:val="0"/>
              <w:jc w:val="center"/>
              <w:rPr>
                <w:noProof/>
                <w:color w:val="0000FF"/>
                <w:lang w:val="uk-UA"/>
              </w:rPr>
            </w:pPr>
            <w:r w:rsidRPr="00FB0C57">
              <w:rPr>
                <w:b/>
                <w:bCs/>
                <w:noProof/>
                <w:color w:val="2070D1"/>
                <w:shd w:val="clear" w:color="auto" w:fill="F8F8F8"/>
                <w:lang w:val="uk-UA"/>
              </w:rPr>
              <w:t>UA-2025-12-10-015343-a</w:t>
            </w:r>
          </w:p>
        </w:tc>
      </w:tr>
    </w:tbl>
    <w:p w14:paraId="1AA7C505" w14:textId="77777777" w:rsidR="00A12478" w:rsidRPr="00FB0C57" w:rsidRDefault="00A12478" w:rsidP="0063471D">
      <w:pPr>
        <w:pStyle w:val="a4"/>
        <w:widowControl w:val="0"/>
        <w:jc w:val="both"/>
        <w:rPr>
          <w:noProof/>
          <w:sz w:val="24"/>
          <w:szCs w:val="24"/>
          <w:lang w:val="uk-UA"/>
        </w:rPr>
      </w:pPr>
    </w:p>
    <w:p w14:paraId="313E10E2" w14:textId="77777777" w:rsidR="00A355EA" w:rsidRPr="00FB0C57" w:rsidRDefault="00A355EA" w:rsidP="00C62708">
      <w:pPr>
        <w:widowControl w:val="0"/>
        <w:shd w:val="clear" w:color="auto" w:fill="DEEAF6"/>
        <w:jc w:val="center"/>
        <w:rPr>
          <w:noProof/>
          <w:lang w:val="uk-UA"/>
        </w:rPr>
      </w:pPr>
      <w:r w:rsidRPr="00FB0C57">
        <w:rPr>
          <w:b/>
          <w:noProof/>
          <w:lang w:val="uk-UA"/>
        </w:rPr>
        <w:t>Обґрунтування на виконання вимог Постанови КМУ від 11.10.2016 № 710:</w:t>
      </w:r>
    </w:p>
    <w:p w14:paraId="351A6D31" w14:textId="77777777" w:rsidR="006F428D" w:rsidRPr="00FB0C57" w:rsidRDefault="006F428D" w:rsidP="00A12478">
      <w:pPr>
        <w:rPr>
          <w:b/>
          <w:noProof/>
          <w:lang w:val="uk-UA"/>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8335E7" w:rsidRPr="00FB0C57" w14:paraId="7802EACB"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1DBC864" w14:textId="77777777" w:rsidR="008335E7" w:rsidRPr="00FB0C57" w:rsidRDefault="008335E7" w:rsidP="00C62708">
            <w:pPr>
              <w:rPr>
                <w:noProof/>
                <w:lang w:val="uk-UA"/>
              </w:rPr>
            </w:pPr>
            <w:r w:rsidRPr="00FB0C57">
              <w:rPr>
                <w:noProof/>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77A38B20" w14:textId="77777777" w:rsidR="008335E7" w:rsidRPr="00FB0C57" w:rsidRDefault="008335E7" w:rsidP="00C62708">
            <w:pPr>
              <w:rPr>
                <w:noProof/>
                <w:lang w:val="uk-UA"/>
              </w:rPr>
            </w:pPr>
            <w:r w:rsidRPr="00FB0C57">
              <w:rPr>
                <w:noProof/>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5465EFF0" w14:textId="77777777" w:rsidR="000C7914" w:rsidRPr="00FB0C57" w:rsidRDefault="000C7914" w:rsidP="000C7914">
            <w:pPr>
              <w:widowControl w:val="0"/>
              <w:jc w:val="both"/>
              <w:rPr>
                <w:noProof/>
                <w:lang w:val="uk-UA"/>
              </w:rPr>
            </w:pPr>
            <w:r w:rsidRPr="00FB0C57">
              <w:rPr>
                <w:noProof/>
                <w:lang w:val="uk-UA"/>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10AD5955" w14:textId="77777777" w:rsidR="000C7914" w:rsidRPr="00FB0C57" w:rsidRDefault="000C7914" w:rsidP="000C7914">
            <w:pPr>
              <w:widowControl w:val="0"/>
              <w:jc w:val="both"/>
              <w:rPr>
                <w:noProof/>
                <w:lang w:val="uk-UA"/>
              </w:rPr>
            </w:pPr>
            <w:r w:rsidRPr="00FB0C57">
              <w:rPr>
                <w:noProof/>
                <w:lang w:val="uk-UA"/>
              </w:rPr>
              <w:t xml:space="preserve">При визначенні очікуваної вартості проаналізовано результати попередніх власних закупівель за останні два роки з урахуванням індексу інфляції, умов оплати, логістики та моніторингу ринку, а саме: направлено низку запитів підприємствам, що постачають </w:t>
            </w:r>
            <w:r w:rsidRPr="00FB0C57">
              <w:rPr>
                <w:i/>
                <w:noProof/>
                <w:color w:val="000000"/>
                <w:lang w:val="uk-UA"/>
              </w:rPr>
              <w:t>Мастильні матеріали для автомобілів та спецтехніки</w:t>
            </w:r>
            <w:r w:rsidRPr="00FB0C57">
              <w:rPr>
                <w:i/>
                <w:noProof/>
                <w:lang w:val="uk-UA"/>
              </w:rPr>
              <w:t xml:space="preserve"> </w:t>
            </w:r>
            <w:r w:rsidRPr="00FB0C57">
              <w:rPr>
                <w:noProof/>
                <w:lang w:val="uk-UA"/>
              </w:rPr>
              <w:t xml:space="preserve">в умовах воєнного стану з подальшим отриманням комерційних пропозицій потенційних Учасників процедури закупівлі та за основу очікуваної вартості взята </w:t>
            </w:r>
            <w:r w:rsidRPr="00FB0C57">
              <w:rPr>
                <w:b/>
                <w:noProof/>
                <w:lang w:val="uk-UA"/>
              </w:rPr>
              <w:t>найменша запропонована ціна за одиницю товару</w:t>
            </w:r>
            <w:r w:rsidRPr="00FB0C57">
              <w:rPr>
                <w:noProof/>
                <w:lang w:val="uk-UA"/>
              </w:rPr>
              <w:t xml:space="preserve"> наданих комерційних пропозицій потенційних Учасників закупівлі з урахуванням моніторингу ринку, проведеного через доступні інтернет джерела (пункт 4.1.2 Положення про порядок визначення очікуваної вартості предмета закупівлі від 17.05.2022 № 50-06-1).</w:t>
            </w:r>
          </w:p>
          <w:p w14:paraId="581D52EB" w14:textId="77777777" w:rsidR="008335E7" w:rsidRPr="00FB0C57" w:rsidRDefault="008335E7" w:rsidP="00C62708">
            <w:pPr>
              <w:rPr>
                <w:i/>
                <w:noProof/>
                <w:lang w:val="uk-UA"/>
              </w:rPr>
            </w:pPr>
          </w:p>
        </w:tc>
      </w:tr>
      <w:tr w:rsidR="000C7914" w:rsidRPr="00FB0C57" w14:paraId="11D7D052"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22F65D64" w14:textId="77777777" w:rsidR="000C7914" w:rsidRPr="00FB0C57" w:rsidRDefault="000C7914" w:rsidP="000C7914">
            <w:pPr>
              <w:rPr>
                <w:noProof/>
                <w:lang w:val="uk-UA"/>
              </w:rPr>
            </w:pPr>
            <w:r w:rsidRPr="00FB0C57">
              <w:rPr>
                <w:noProof/>
                <w:lang w:val="uk-UA"/>
              </w:rPr>
              <w:lastRenderedPageBreak/>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606991AE" w14:textId="77777777" w:rsidR="000C7914" w:rsidRPr="00FB0C57" w:rsidRDefault="000C7914" w:rsidP="000C7914">
            <w:pPr>
              <w:rPr>
                <w:noProof/>
                <w:lang w:val="uk-UA"/>
              </w:rPr>
            </w:pPr>
            <w:r w:rsidRPr="00FB0C57">
              <w:rPr>
                <w:noProof/>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70731FD2" w14:textId="77777777" w:rsidR="000C7914" w:rsidRPr="00FB0C57" w:rsidRDefault="000C7914" w:rsidP="000C7914">
            <w:pPr>
              <w:ind w:firstLine="217"/>
              <w:jc w:val="both"/>
              <w:rPr>
                <w:noProof/>
                <w:lang w:val="uk-UA"/>
              </w:rPr>
            </w:pPr>
            <w:r w:rsidRPr="00FB0C57">
              <w:rPr>
                <w:noProof/>
                <w:lang w:val="uk-UA"/>
              </w:rPr>
              <w:t xml:space="preserve">Закупівля </w:t>
            </w:r>
            <w:r w:rsidRPr="00FB0C57">
              <w:rPr>
                <w:i/>
                <w:noProof/>
                <w:color w:val="000000"/>
                <w:lang w:val="uk-UA"/>
              </w:rPr>
              <w:t>Мастильні матеріали для автомобілів та спецтехніки</w:t>
            </w:r>
            <w:r w:rsidRPr="00FB0C57">
              <w:rPr>
                <w:noProof/>
                <w:lang w:val="uk-UA"/>
              </w:rPr>
              <w:t xml:space="preserve"> обумовлена необхідністю забезпечення виробничого процесу: для проведення планових технічних оглядів, заправки та ремонтів транспортних засобів, механізмів та обладнання </w:t>
            </w:r>
          </w:p>
          <w:p w14:paraId="78EB55BB" w14:textId="77777777" w:rsidR="000C7914" w:rsidRPr="00FB0C57" w:rsidRDefault="000C7914" w:rsidP="000C7914">
            <w:pPr>
              <w:jc w:val="both"/>
              <w:rPr>
                <w:b/>
                <w:i/>
                <w:noProof/>
                <w:lang w:val="uk-UA"/>
              </w:rPr>
            </w:pPr>
            <w:r w:rsidRPr="00FB0C57">
              <w:rPr>
                <w:b/>
                <w:i/>
                <w:noProof/>
                <w:lang w:val="uk-UA"/>
              </w:rPr>
              <w:t>Обґрунтування обсягів закупівлі:</w:t>
            </w:r>
          </w:p>
          <w:p w14:paraId="7744DBF8" w14:textId="77777777" w:rsidR="000C7914" w:rsidRPr="00FB0C57" w:rsidRDefault="000C7914" w:rsidP="000C7914">
            <w:pPr>
              <w:jc w:val="both"/>
              <w:rPr>
                <w:noProof/>
                <w:lang w:val="uk-UA"/>
              </w:rPr>
            </w:pPr>
            <w:r w:rsidRPr="00FB0C57">
              <w:rPr>
                <w:noProof/>
                <w:lang w:val="uk-UA"/>
              </w:rPr>
              <w:t>Обсяги визначено відповідно до очікуваної потреби та обсягу фінансування.</w:t>
            </w:r>
          </w:p>
          <w:p w14:paraId="4CB9FC76" w14:textId="77777777" w:rsidR="000C7914" w:rsidRPr="00FB0C57" w:rsidRDefault="000C7914" w:rsidP="000C7914">
            <w:pPr>
              <w:jc w:val="both"/>
              <w:rPr>
                <w:b/>
                <w:i/>
                <w:noProof/>
                <w:lang w:val="uk-UA"/>
              </w:rPr>
            </w:pPr>
            <w:r w:rsidRPr="00FB0C57">
              <w:rPr>
                <w:b/>
                <w:i/>
                <w:noProof/>
                <w:lang w:val="uk-UA"/>
              </w:rPr>
              <w:t>Обґрунтування технічних та якісних характеристик предмета закупівлі:</w:t>
            </w:r>
          </w:p>
          <w:p w14:paraId="16171CBA" w14:textId="77777777" w:rsidR="000C7914" w:rsidRPr="00FB0C57" w:rsidRDefault="000C7914" w:rsidP="000C7914">
            <w:pPr>
              <w:widowControl w:val="0"/>
              <w:jc w:val="both"/>
              <w:rPr>
                <w:noProof/>
                <w:lang w:val="uk-UA"/>
              </w:rPr>
            </w:pPr>
            <w:r w:rsidRPr="00FB0C57">
              <w:rPr>
                <w:noProof/>
                <w:lang w:val="uk-UA"/>
              </w:rPr>
              <w:t>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p>
          <w:p w14:paraId="4D069D92" w14:textId="4BB6B24A" w:rsidR="000C7914" w:rsidRPr="00FB0C57" w:rsidRDefault="000C7914" w:rsidP="000C7914">
            <w:pPr>
              <w:rPr>
                <w:i/>
                <w:noProof/>
                <w:lang w:val="uk-UA"/>
              </w:rPr>
            </w:pPr>
            <w:r w:rsidRPr="00FB0C57">
              <w:rPr>
                <w:noProof/>
                <w:lang w:val="uk-UA"/>
              </w:rPr>
              <w:t xml:space="preserve">Предмет закупівлі повинен відповідати </w:t>
            </w:r>
            <w:r w:rsidRPr="00FB0C57">
              <w:rPr>
                <w:rStyle w:val="af9"/>
                <w:noProof/>
                <w:lang w:val="uk-UA" w:eastAsia="uk-UA"/>
              </w:rPr>
              <w:t xml:space="preserve">вимогам </w:t>
            </w:r>
            <w:r w:rsidRPr="00FB0C57">
              <w:rPr>
                <w:noProof/>
                <w:color w:val="000000"/>
                <w:spacing w:val="-2"/>
                <w:lang w:val="uk-UA"/>
              </w:rPr>
              <w:t xml:space="preserve">щодо застосування </w:t>
            </w:r>
            <w:r w:rsidRPr="00FB0C57">
              <w:rPr>
                <w:i/>
                <w:noProof/>
                <w:color w:val="000000"/>
                <w:spacing w:val="-2"/>
                <w:lang w:val="uk-UA"/>
              </w:rPr>
              <w:t>(технічні характеристики, сфера застосування, тощо)</w:t>
            </w:r>
            <w:r w:rsidRPr="00FB0C57">
              <w:rPr>
                <w:rStyle w:val="af9"/>
                <w:noProof/>
                <w:lang w:val="uk-UA" w:eastAsia="uk-UA"/>
              </w:rPr>
              <w:t xml:space="preserve"> зазначеним в описах конкретного найменування Товару.</w:t>
            </w:r>
          </w:p>
        </w:tc>
      </w:tr>
      <w:tr w:rsidR="000C7914" w:rsidRPr="00FB0C57" w14:paraId="523667A4"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1F5F8AF2" w14:textId="77777777" w:rsidR="000C7914" w:rsidRPr="00FB0C57" w:rsidRDefault="000C7914" w:rsidP="000C7914">
            <w:pPr>
              <w:rPr>
                <w:bCs/>
                <w:noProof/>
                <w:lang w:val="uk-UA"/>
              </w:rPr>
            </w:pPr>
            <w:r w:rsidRPr="00FB0C57">
              <w:rPr>
                <w:bCs/>
                <w:noProof/>
                <w:lang w:val="uk-UA"/>
              </w:rPr>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2F621F63" w14:textId="77777777" w:rsidR="000C7914" w:rsidRPr="00FB0C57" w:rsidRDefault="000C7914" w:rsidP="000C7914">
            <w:pPr>
              <w:rPr>
                <w:noProof/>
                <w:lang w:val="uk-UA"/>
              </w:rPr>
            </w:pPr>
            <w:r w:rsidRPr="00FB0C57">
              <w:rPr>
                <w:noProof/>
                <w:lang w:val="uk-UA"/>
              </w:rPr>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3EE3B9E" w14:textId="77777777" w:rsidR="000C7914" w:rsidRPr="00FB0C57" w:rsidRDefault="000C7914" w:rsidP="000C7914">
            <w:pPr>
              <w:widowControl w:val="0"/>
              <w:jc w:val="both"/>
              <w:rPr>
                <w:noProof/>
                <w:color w:val="000000" w:themeColor="text1"/>
                <w:lang w:val="uk-UA"/>
              </w:rPr>
            </w:pPr>
            <w:r w:rsidRPr="00FB0C57">
              <w:rPr>
                <w:noProof/>
                <w:lang w:val="uk-UA"/>
              </w:rPr>
              <w:t xml:space="preserve">Для визначення очікуваної вартості предмета закупівлі застосовувався  метод порівняння ринкових цін на підставі отриманих цінових пропозицій (п.4.1.2  «Положення про порядок визначення очікуваної вартості </w:t>
            </w:r>
            <w:r w:rsidRPr="00FB0C57">
              <w:rPr>
                <w:noProof/>
                <w:color w:val="000000" w:themeColor="text1"/>
                <w:lang w:val="uk-UA"/>
              </w:rPr>
              <w:t>предмета закупівлі»).</w:t>
            </w:r>
          </w:p>
          <w:p w14:paraId="5571DEEF" w14:textId="77777777" w:rsidR="000C7914" w:rsidRPr="00FB0C57" w:rsidRDefault="000C7914" w:rsidP="000C7914">
            <w:pPr>
              <w:widowControl w:val="0"/>
              <w:jc w:val="both"/>
              <w:rPr>
                <w:noProof/>
                <w:color w:val="000000" w:themeColor="text1"/>
                <w:lang w:val="uk-UA"/>
              </w:rPr>
            </w:pPr>
          </w:p>
          <w:p w14:paraId="0C825C0E" w14:textId="77777777" w:rsidR="000C7914" w:rsidRPr="00FB0C57" w:rsidRDefault="000C7914" w:rsidP="000C7914">
            <w:pPr>
              <w:widowControl w:val="0"/>
              <w:jc w:val="both"/>
              <w:rPr>
                <w:noProof/>
                <w:color w:val="000000" w:themeColor="text1"/>
                <w:lang w:val="uk-UA"/>
              </w:rPr>
            </w:pPr>
            <w:r w:rsidRPr="00FB0C57">
              <w:rPr>
                <w:noProof/>
                <w:color w:val="000000" w:themeColor="text1"/>
                <w:lang w:val="uk-UA"/>
              </w:rPr>
              <w:t>Перелік потенційних постачальників, яким направлялись запити цінових пропозицій:</w:t>
            </w:r>
          </w:p>
          <w:p w14:paraId="001247C7" w14:textId="77777777" w:rsidR="000C7914" w:rsidRPr="00FB0C57" w:rsidRDefault="000C7914" w:rsidP="000C7914">
            <w:pPr>
              <w:widowControl w:val="0"/>
              <w:jc w:val="both"/>
              <w:rPr>
                <w:noProof/>
                <w:color w:val="000000" w:themeColor="text1"/>
                <w:lang w:val="uk-UA"/>
              </w:rPr>
            </w:pPr>
            <w:r w:rsidRPr="00FB0C57">
              <w:rPr>
                <w:noProof/>
                <w:color w:val="000000" w:themeColor="text1"/>
                <w:lang w:val="uk-UA"/>
              </w:rPr>
              <w:t xml:space="preserve">1 ТОВ "Нефтехимсоюз"- </w:t>
            </w:r>
            <w:hyperlink r:id="rId9" w:history="1">
              <w:r w:rsidRPr="00FB0C57">
                <w:rPr>
                  <w:rStyle w:val="af"/>
                  <w:noProof/>
                  <w:lang w:val="uk-UA"/>
                </w:rPr>
                <w:t>neftehimsintez@ukr.net</w:t>
              </w:r>
            </w:hyperlink>
          </w:p>
          <w:p w14:paraId="585843BB" w14:textId="77777777" w:rsidR="000C7914" w:rsidRPr="00FB0C57" w:rsidRDefault="000C7914" w:rsidP="000C7914">
            <w:pPr>
              <w:widowControl w:val="0"/>
              <w:jc w:val="both"/>
              <w:rPr>
                <w:noProof/>
                <w:color w:val="000000" w:themeColor="text1"/>
                <w:lang w:val="uk-UA"/>
              </w:rPr>
            </w:pPr>
            <w:r w:rsidRPr="00FB0C57">
              <w:rPr>
                <w:noProof/>
                <w:color w:val="000000" w:themeColor="text1"/>
                <w:lang w:val="uk-UA"/>
              </w:rPr>
              <w:t xml:space="preserve">2 ТОВ "Енергомережа" - </w:t>
            </w:r>
            <w:hyperlink r:id="rId10" w:history="1">
              <w:r w:rsidRPr="00FB0C57">
                <w:rPr>
                  <w:rStyle w:val="af"/>
                  <w:noProof/>
                  <w:lang w:val="uk-UA"/>
                </w:rPr>
                <w:t>ac@energynet.com.ua</w:t>
              </w:r>
            </w:hyperlink>
          </w:p>
          <w:p w14:paraId="4D2B3DBE" w14:textId="77777777" w:rsidR="000C7914" w:rsidRPr="00FB0C57" w:rsidRDefault="000C7914" w:rsidP="000C7914">
            <w:pPr>
              <w:widowControl w:val="0"/>
              <w:jc w:val="both"/>
              <w:rPr>
                <w:noProof/>
                <w:color w:val="000000" w:themeColor="text1"/>
                <w:lang w:val="uk-UA"/>
              </w:rPr>
            </w:pPr>
            <w:r w:rsidRPr="00FB0C57">
              <w:rPr>
                <w:noProof/>
                <w:color w:val="000000" w:themeColor="text1"/>
                <w:lang w:val="uk-UA"/>
              </w:rPr>
              <w:t>3</w:t>
            </w:r>
            <w:r w:rsidRPr="00FB0C57">
              <w:rPr>
                <w:noProof/>
                <w:lang w:val="uk-UA"/>
              </w:rPr>
              <w:t xml:space="preserve"> </w:t>
            </w:r>
            <w:r w:rsidRPr="00FB0C57">
              <w:rPr>
                <w:noProof/>
                <w:color w:val="000000" w:themeColor="text1"/>
                <w:lang w:val="uk-UA"/>
              </w:rPr>
              <w:t xml:space="preserve">ТОВ "Торговий дім "УКРСМАЗКОМ" - </w:t>
            </w:r>
            <w:hyperlink r:id="rId11" w:history="1">
              <w:r w:rsidRPr="00FB0C57">
                <w:rPr>
                  <w:rStyle w:val="af"/>
                  <w:noProof/>
                  <w:lang w:val="uk-UA"/>
                </w:rPr>
                <w:t>ukrsmazcom@ukr.net</w:t>
              </w:r>
            </w:hyperlink>
          </w:p>
          <w:p w14:paraId="0EEC7D37" w14:textId="77777777" w:rsidR="000C7914" w:rsidRPr="00FB0C57" w:rsidRDefault="000C7914" w:rsidP="000C7914">
            <w:pPr>
              <w:widowControl w:val="0"/>
              <w:jc w:val="both"/>
              <w:rPr>
                <w:noProof/>
                <w:color w:val="0F4761" w:themeColor="accent1" w:themeShade="BF"/>
                <w:lang w:val="uk-UA"/>
              </w:rPr>
            </w:pPr>
            <w:r w:rsidRPr="00FB0C57">
              <w:rPr>
                <w:noProof/>
                <w:color w:val="000000" w:themeColor="text1"/>
                <w:lang w:val="uk-UA"/>
              </w:rPr>
              <w:t xml:space="preserve">4 ТОВ "Торговий дім Укрспецмасла"- </w:t>
            </w:r>
            <w:hyperlink r:id="rId12" w:history="1">
              <w:r w:rsidRPr="00FB0C57">
                <w:rPr>
                  <w:rStyle w:val="af"/>
                  <w:noProof/>
                  <w:color w:val="064D9F"/>
                  <w:lang w:val="uk-UA"/>
                  <w14:textFill>
                    <w14:solidFill>
                      <w14:srgbClr w14:val="064D9F">
                        <w14:lumMod w14:val="75000"/>
                      </w14:srgbClr>
                    </w14:solidFill>
                  </w14:textFill>
                </w:rPr>
                <w:t>ukrspecmasla@gmail.com</w:t>
              </w:r>
            </w:hyperlink>
          </w:p>
          <w:p w14:paraId="218C5CA2" w14:textId="77777777" w:rsidR="000C7914" w:rsidRPr="00FB0C57" w:rsidRDefault="000C7914" w:rsidP="000C7914">
            <w:pPr>
              <w:widowControl w:val="0"/>
              <w:jc w:val="both"/>
              <w:rPr>
                <w:noProof/>
                <w:color w:val="000000" w:themeColor="text1"/>
                <w:lang w:val="uk-UA"/>
              </w:rPr>
            </w:pPr>
            <w:r w:rsidRPr="00FB0C57">
              <w:rPr>
                <w:noProof/>
                <w:color w:val="000000" w:themeColor="text1"/>
                <w:lang w:val="uk-UA"/>
              </w:rPr>
              <w:t xml:space="preserve">5 ТОВ «БОРА Б» - </w:t>
            </w:r>
            <w:hyperlink r:id="rId13" w:history="1">
              <w:r w:rsidRPr="00FB0C57">
                <w:rPr>
                  <w:rStyle w:val="af"/>
                  <w:noProof/>
                  <w:shd w:val="clear" w:color="auto" w:fill="FFFFFF"/>
                  <w:lang w:val="uk-UA"/>
                </w:rPr>
                <w:t>bora-b@ukr.net</w:t>
              </w:r>
            </w:hyperlink>
          </w:p>
          <w:p w14:paraId="20CA686D" w14:textId="77777777" w:rsidR="000C7914" w:rsidRPr="00FB0C57" w:rsidRDefault="000C7914" w:rsidP="000C7914">
            <w:pPr>
              <w:widowControl w:val="0"/>
              <w:jc w:val="both"/>
              <w:rPr>
                <w:noProof/>
                <w:color w:val="000000" w:themeColor="text1"/>
                <w:lang w:val="uk-UA"/>
              </w:rPr>
            </w:pPr>
          </w:p>
          <w:p w14:paraId="1014F292" w14:textId="77777777" w:rsidR="000C7914" w:rsidRPr="00FB0C57" w:rsidRDefault="000C7914" w:rsidP="000C7914">
            <w:pPr>
              <w:widowControl w:val="0"/>
              <w:jc w:val="both"/>
              <w:rPr>
                <w:noProof/>
                <w:color w:val="000000" w:themeColor="text1"/>
                <w:lang w:val="uk-UA" w:eastAsia="en-US"/>
              </w:rPr>
            </w:pPr>
            <w:r w:rsidRPr="00FB0C57">
              <w:rPr>
                <w:noProof/>
                <w:color w:val="000000" w:themeColor="text1"/>
                <w:lang w:val="uk-UA"/>
              </w:rPr>
              <w:t xml:space="preserve">Отримано комерційні пропозиції від ТОВ "Нефтехимсоюз", "Торговий дім "УКРСМАЗКОМ", ТОВ «БОРА Б» </w:t>
            </w:r>
            <w:r w:rsidRPr="00FB0C57">
              <w:rPr>
                <w:noProof/>
                <w:color w:val="000000" w:themeColor="text1"/>
                <w:lang w:val="uk-UA" w:eastAsia="en-US"/>
              </w:rPr>
              <w:t>в яких підтверджені всі умови, зазначені в запиті (умови оплати, місце постачання, наявність дозвільних документів, гарантії на товар , строки постачання, тощо).</w:t>
            </w:r>
          </w:p>
          <w:p w14:paraId="625AD8A7" w14:textId="0EAA7DC5" w:rsidR="000C7914" w:rsidRPr="00FB0C57" w:rsidRDefault="000C7914" w:rsidP="000C7914">
            <w:pPr>
              <w:rPr>
                <w:i/>
                <w:noProof/>
                <w:lang w:val="uk-UA"/>
              </w:rPr>
            </w:pPr>
            <w:r w:rsidRPr="00FB0C57">
              <w:rPr>
                <w:noProof/>
                <w:color w:val="000000" w:themeColor="text1"/>
                <w:lang w:val="uk-UA"/>
              </w:rPr>
              <w:t>Інші компанії не надали свої комерційні пропозиції</w:t>
            </w:r>
          </w:p>
        </w:tc>
      </w:tr>
    </w:tbl>
    <w:p w14:paraId="0C32EAC7" w14:textId="77777777" w:rsidR="006F428D" w:rsidRPr="00FB0C57" w:rsidRDefault="006F428D" w:rsidP="00A12478">
      <w:pPr>
        <w:rPr>
          <w:b/>
          <w:noProof/>
          <w:lang w:val="uk-UA"/>
        </w:rPr>
      </w:pPr>
    </w:p>
    <w:p w14:paraId="11FF0A0D" w14:textId="4633AB13" w:rsidR="00277D2E" w:rsidRPr="00FB0C57" w:rsidRDefault="006926A0" w:rsidP="00277D2E">
      <w:pPr>
        <w:ind w:firstLine="567"/>
        <w:jc w:val="both"/>
        <w:rPr>
          <w:noProof/>
          <w:lang w:val="uk-UA"/>
        </w:rPr>
      </w:pPr>
      <w:r w:rsidRPr="00FB0C57">
        <w:rPr>
          <w:noProof/>
          <w:lang w:val="uk-UA"/>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117" w:type="dxa"/>
        <w:tblInd w:w="-224" w:type="dxa"/>
        <w:tblLayout w:type="fixed"/>
        <w:tblCellMar>
          <w:top w:w="30" w:type="dxa"/>
          <w:left w:w="60" w:type="dxa"/>
          <w:bottom w:w="30" w:type="dxa"/>
          <w:right w:w="30" w:type="dxa"/>
        </w:tblCellMar>
        <w:tblLook w:val="0000" w:firstRow="0" w:lastRow="0" w:firstColumn="0" w:lastColumn="0" w:noHBand="0" w:noVBand="0"/>
      </w:tblPr>
      <w:tblGrid>
        <w:gridCol w:w="681"/>
        <w:gridCol w:w="2108"/>
        <w:gridCol w:w="1301"/>
        <w:gridCol w:w="914"/>
        <w:gridCol w:w="1130"/>
        <w:gridCol w:w="1130"/>
        <w:gridCol w:w="2853"/>
      </w:tblGrid>
      <w:tr w:rsidR="00277D2E" w:rsidRPr="00FB0C57" w14:paraId="6738D443" w14:textId="77777777" w:rsidTr="001D429D">
        <w:tc>
          <w:tcPr>
            <w:tcW w:w="567"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E7E6E6"/>
          </w:tcPr>
          <w:p w14:paraId="00314043" w14:textId="77777777" w:rsidR="00277D2E" w:rsidRPr="00FB0C57" w:rsidRDefault="00277D2E" w:rsidP="001D429D">
            <w:pPr>
              <w:widowControl w:val="0"/>
              <w:contextualSpacing/>
              <w:rPr>
                <w:b/>
                <w:noProof/>
                <w:lang w:val="uk-UA"/>
              </w:rPr>
            </w:pPr>
            <w:r w:rsidRPr="00FB0C57">
              <w:rPr>
                <w:b/>
                <w:noProof/>
                <w:lang w:val="uk-UA"/>
              </w:rPr>
              <w:t>№ п/п</w:t>
            </w:r>
          </w:p>
        </w:tc>
        <w:tc>
          <w:tcPr>
            <w:tcW w:w="1754"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E7E6E6"/>
          </w:tcPr>
          <w:p w14:paraId="7C7AEBE8" w14:textId="77777777" w:rsidR="00277D2E" w:rsidRPr="00FB0C57" w:rsidRDefault="00277D2E" w:rsidP="001D429D">
            <w:pPr>
              <w:widowControl w:val="0"/>
              <w:contextualSpacing/>
              <w:jc w:val="center"/>
              <w:rPr>
                <w:b/>
                <w:noProof/>
                <w:lang w:val="uk-UA"/>
              </w:rPr>
            </w:pPr>
            <w:r w:rsidRPr="00FB0C57">
              <w:rPr>
                <w:b/>
                <w:bCs/>
                <w:noProof/>
                <w:color w:val="000000"/>
                <w:lang w:val="uk-UA"/>
              </w:rPr>
              <w:t>Найменування Товару</w:t>
            </w:r>
          </w:p>
        </w:tc>
        <w:tc>
          <w:tcPr>
            <w:tcW w:w="1082"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E7E6E6"/>
          </w:tcPr>
          <w:p w14:paraId="12B90B83" w14:textId="77777777" w:rsidR="00277D2E" w:rsidRPr="00FB0C57" w:rsidRDefault="00277D2E" w:rsidP="001D429D">
            <w:pPr>
              <w:ind w:hanging="65"/>
              <w:contextualSpacing/>
              <w:jc w:val="center"/>
              <w:rPr>
                <w:b/>
                <w:noProof/>
                <w:lang w:val="uk-UA"/>
              </w:rPr>
            </w:pPr>
            <w:r w:rsidRPr="00FB0C57">
              <w:rPr>
                <w:b/>
                <w:noProof/>
                <w:lang w:val="uk-UA"/>
              </w:rPr>
              <w:t>Виробник Товару</w:t>
            </w:r>
          </w:p>
          <w:p w14:paraId="5FFB5590" w14:textId="77777777" w:rsidR="00277D2E" w:rsidRPr="00FB0C57" w:rsidRDefault="00277D2E" w:rsidP="001D429D">
            <w:pPr>
              <w:widowControl w:val="0"/>
              <w:contextualSpacing/>
              <w:jc w:val="center"/>
              <w:rPr>
                <w:b/>
                <w:noProof/>
                <w:lang w:val="uk-UA"/>
              </w:rPr>
            </w:pPr>
            <w:r w:rsidRPr="00FB0C57">
              <w:rPr>
                <w:b/>
                <w:noProof/>
                <w:lang w:val="uk-UA"/>
              </w:rPr>
              <w:t>(торгова марка, бренд або таке інше)</w:t>
            </w:r>
          </w:p>
        </w:tc>
        <w:tc>
          <w:tcPr>
            <w:tcW w:w="76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E7E6E6"/>
          </w:tcPr>
          <w:p w14:paraId="480E5F43" w14:textId="77777777" w:rsidR="00277D2E" w:rsidRPr="00FB0C57" w:rsidRDefault="00277D2E" w:rsidP="001D429D">
            <w:pPr>
              <w:widowControl w:val="0"/>
              <w:contextualSpacing/>
              <w:jc w:val="center"/>
              <w:rPr>
                <w:b/>
                <w:noProof/>
                <w:lang w:val="uk-UA"/>
              </w:rPr>
            </w:pPr>
            <w:r w:rsidRPr="00FB0C57">
              <w:rPr>
                <w:b/>
                <w:noProof/>
                <w:lang w:val="uk-UA"/>
              </w:rPr>
              <w:t>Од.</w:t>
            </w:r>
          </w:p>
          <w:p w14:paraId="6A696108" w14:textId="77777777" w:rsidR="00277D2E" w:rsidRPr="00FB0C57" w:rsidRDefault="00277D2E" w:rsidP="001D429D">
            <w:pPr>
              <w:widowControl w:val="0"/>
              <w:contextualSpacing/>
              <w:jc w:val="center"/>
              <w:rPr>
                <w:b/>
                <w:noProof/>
                <w:lang w:val="uk-UA"/>
              </w:rPr>
            </w:pPr>
            <w:r w:rsidRPr="00FB0C57">
              <w:rPr>
                <w:b/>
                <w:noProof/>
                <w:lang w:val="uk-UA"/>
              </w:rPr>
              <w:t>виміру</w:t>
            </w:r>
          </w:p>
        </w:tc>
        <w:tc>
          <w:tcPr>
            <w:tcW w:w="94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E7E6E6"/>
          </w:tcPr>
          <w:p w14:paraId="67BC6BFC" w14:textId="77777777" w:rsidR="00277D2E" w:rsidRPr="00FB0C57" w:rsidRDefault="00277D2E" w:rsidP="001D429D">
            <w:pPr>
              <w:widowControl w:val="0"/>
              <w:contextualSpacing/>
              <w:jc w:val="center"/>
              <w:rPr>
                <w:b/>
                <w:noProof/>
                <w:lang w:val="uk-UA"/>
              </w:rPr>
            </w:pPr>
            <w:r w:rsidRPr="00FB0C57">
              <w:rPr>
                <w:b/>
                <w:noProof/>
                <w:lang w:val="uk-UA"/>
              </w:rPr>
              <w:t>Кількість</w:t>
            </w:r>
          </w:p>
        </w:tc>
        <w:tc>
          <w:tcPr>
            <w:tcW w:w="94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E7E6E6"/>
          </w:tcPr>
          <w:p w14:paraId="42879AF5" w14:textId="77777777" w:rsidR="00277D2E" w:rsidRPr="00FB0C57" w:rsidRDefault="00277D2E" w:rsidP="001D429D">
            <w:pPr>
              <w:widowControl w:val="0"/>
              <w:contextualSpacing/>
              <w:jc w:val="center"/>
              <w:rPr>
                <w:b/>
                <w:noProof/>
                <w:lang w:val="uk-UA"/>
              </w:rPr>
            </w:pPr>
            <w:r w:rsidRPr="00FB0C57">
              <w:rPr>
                <w:b/>
                <w:noProof/>
                <w:lang w:val="uk-UA"/>
              </w:rPr>
              <w:t>Тара</w:t>
            </w:r>
          </w:p>
        </w:tc>
        <w:tc>
          <w:tcPr>
            <w:tcW w:w="2373"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E7E6E6"/>
          </w:tcPr>
          <w:p w14:paraId="67507EDF" w14:textId="77777777" w:rsidR="00277D2E" w:rsidRPr="00FB0C57" w:rsidRDefault="00277D2E" w:rsidP="001D429D">
            <w:pPr>
              <w:widowControl w:val="0"/>
              <w:contextualSpacing/>
              <w:jc w:val="center"/>
              <w:rPr>
                <w:b/>
                <w:noProof/>
                <w:lang w:val="uk-UA"/>
              </w:rPr>
            </w:pPr>
            <w:r w:rsidRPr="00FB0C57">
              <w:rPr>
                <w:b/>
                <w:noProof/>
                <w:lang w:val="uk-UA"/>
              </w:rPr>
              <w:t>Технічні та інші характеристики</w:t>
            </w:r>
          </w:p>
          <w:p w14:paraId="162010FF" w14:textId="77777777" w:rsidR="00277D2E" w:rsidRPr="00FB0C57" w:rsidRDefault="00277D2E" w:rsidP="001D429D">
            <w:pPr>
              <w:widowControl w:val="0"/>
              <w:contextualSpacing/>
              <w:jc w:val="center"/>
              <w:rPr>
                <w:b/>
                <w:noProof/>
                <w:lang w:val="uk-UA"/>
              </w:rPr>
            </w:pPr>
            <w:r w:rsidRPr="00FB0C57">
              <w:rPr>
                <w:b/>
                <w:noProof/>
                <w:lang w:val="uk-UA"/>
              </w:rPr>
              <w:t>(технічна специфікація)</w:t>
            </w:r>
          </w:p>
        </w:tc>
      </w:tr>
      <w:tr w:rsidR="00277D2E" w:rsidRPr="00FB0C57" w14:paraId="6D66C42B" w14:textId="77777777" w:rsidTr="001D429D">
        <w:tc>
          <w:tcPr>
            <w:tcW w:w="567" w:type="dxa"/>
            <w:tcBorders>
              <w:top w:val="thickThinLargeGap" w:sz="6" w:space="0" w:color="000000"/>
              <w:left w:val="thickThinLargeGap" w:sz="6" w:space="0" w:color="000000"/>
              <w:bottom w:val="thickThinLargeGap" w:sz="6" w:space="0" w:color="000000"/>
              <w:right w:val="thickThinLargeGap" w:sz="6" w:space="0" w:color="000000"/>
            </w:tcBorders>
          </w:tcPr>
          <w:p w14:paraId="0A33EF13" w14:textId="77777777" w:rsidR="00277D2E" w:rsidRPr="00FB0C57" w:rsidRDefault="00277D2E" w:rsidP="001D429D">
            <w:pPr>
              <w:suppressAutoHyphens/>
              <w:contextualSpacing/>
              <w:jc w:val="center"/>
              <w:rPr>
                <w:noProof/>
                <w:kern w:val="1"/>
                <w:lang w:val="uk-UA"/>
              </w:rPr>
            </w:pPr>
            <w:r w:rsidRPr="00FB0C57">
              <w:rPr>
                <w:noProof/>
                <w:kern w:val="1"/>
                <w:lang w:val="uk-UA"/>
              </w:rPr>
              <w:lastRenderedPageBreak/>
              <w:t>1</w:t>
            </w:r>
          </w:p>
        </w:tc>
        <w:tc>
          <w:tcPr>
            <w:tcW w:w="1754" w:type="dxa"/>
            <w:tcBorders>
              <w:top w:val="thickThinLargeGap" w:sz="6" w:space="0" w:color="000000"/>
              <w:left w:val="thickThinLargeGap" w:sz="6" w:space="0" w:color="000000"/>
              <w:bottom w:val="thickThinLargeGap" w:sz="6" w:space="0" w:color="000000"/>
              <w:right w:val="thickThinLargeGap" w:sz="6" w:space="0" w:color="000000"/>
            </w:tcBorders>
          </w:tcPr>
          <w:p w14:paraId="0567727D" w14:textId="77777777" w:rsidR="00277D2E" w:rsidRPr="00FB0C57" w:rsidRDefault="00277D2E" w:rsidP="001D429D">
            <w:pPr>
              <w:keepNext/>
              <w:keepLines/>
              <w:widowControl w:val="0"/>
              <w:spacing w:after="200"/>
              <w:contextualSpacing/>
              <w:jc w:val="center"/>
              <w:rPr>
                <w:noProof/>
                <w:lang w:val="uk-UA"/>
              </w:rPr>
            </w:pPr>
            <w:r w:rsidRPr="00FB0C57">
              <w:rPr>
                <w:noProof/>
                <w:lang w:val="uk-UA"/>
              </w:rPr>
              <w:t xml:space="preserve">Олива моторна (SAE 5W-40 </w:t>
            </w:r>
          </w:p>
          <w:p w14:paraId="4BEB8727" w14:textId="4736D916" w:rsidR="00277D2E" w:rsidRPr="00FB0C57" w:rsidRDefault="00277D2E" w:rsidP="00277D2E">
            <w:pPr>
              <w:keepNext/>
              <w:keepLines/>
              <w:widowControl w:val="0"/>
              <w:spacing w:after="200"/>
              <w:contextualSpacing/>
              <w:jc w:val="center"/>
              <w:rPr>
                <w:noProof/>
                <w:lang w:val="uk-UA"/>
              </w:rPr>
            </w:pPr>
            <w:r w:rsidRPr="00FB0C57">
              <w:rPr>
                <w:noProof/>
                <w:lang w:val="uk-UA"/>
              </w:rPr>
              <w:t>ACEA A3/B4</w:t>
            </w:r>
            <w:r w:rsidRPr="00FB0C57">
              <w:rPr>
                <w:noProof/>
                <w:lang w:val="uk-UA"/>
              </w:rPr>
              <w:br/>
              <w:t xml:space="preserve">API SN/SM) </w:t>
            </w:r>
            <w:r w:rsidRPr="00FB0C57">
              <w:rPr>
                <w:b/>
                <w:bCs/>
                <w:noProof/>
                <w:lang w:val="uk-UA"/>
              </w:rPr>
              <w:t>TITAN SUPERSYN</w:t>
            </w:r>
            <w:r w:rsidRPr="00FB0C57">
              <w:rPr>
                <w:noProof/>
                <w:lang w:val="uk-UA"/>
              </w:rPr>
              <w:t xml:space="preserve">  </w:t>
            </w:r>
          </w:p>
        </w:tc>
        <w:tc>
          <w:tcPr>
            <w:tcW w:w="1082" w:type="dxa"/>
            <w:tcBorders>
              <w:top w:val="thickThinLargeGap" w:sz="6" w:space="0" w:color="000000"/>
              <w:left w:val="thickThinLargeGap" w:sz="6" w:space="0" w:color="000000"/>
              <w:bottom w:val="thickThinLargeGap" w:sz="6" w:space="0" w:color="000000"/>
              <w:right w:val="thickThinLargeGap" w:sz="6" w:space="0" w:color="000000"/>
            </w:tcBorders>
          </w:tcPr>
          <w:p w14:paraId="25ACC434" w14:textId="77777777" w:rsidR="00277D2E" w:rsidRPr="00FB0C57" w:rsidRDefault="00277D2E" w:rsidP="001D429D">
            <w:pPr>
              <w:suppressAutoHyphens/>
              <w:contextualSpacing/>
              <w:jc w:val="center"/>
              <w:rPr>
                <w:noProof/>
                <w:kern w:val="1"/>
                <w:lang w:val="uk-UA"/>
              </w:rPr>
            </w:pPr>
            <w:r w:rsidRPr="00FB0C57">
              <w:rPr>
                <w:noProof/>
                <w:kern w:val="1"/>
                <w:lang w:val="uk-UA"/>
              </w:rPr>
              <w:t>Fuchs</w:t>
            </w:r>
          </w:p>
        </w:tc>
        <w:tc>
          <w:tcPr>
            <w:tcW w:w="760" w:type="dxa"/>
            <w:tcBorders>
              <w:top w:val="thickThinLargeGap" w:sz="6" w:space="0" w:color="000000"/>
              <w:left w:val="thickThinLargeGap" w:sz="6" w:space="0" w:color="000000"/>
              <w:bottom w:val="thickThinLargeGap" w:sz="6" w:space="0" w:color="000000"/>
              <w:right w:val="thickThinLargeGap" w:sz="6" w:space="0" w:color="000000"/>
            </w:tcBorders>
          </w:tcPr>
          <w:p w14:paraId="6FEFBAFB" w14:textId="77777777" w:rsidR="00277D2E" w:rsidRPr="00FB0C57" w:rsidRDefault="00277D2E" w:rsidP="001D429D">
            <w:pPr>
              <w:widowControl w:val="0"/>
              <w:contextualSpacing/>
              <w:jc w:val="center"/>
              <w:rPr>
                <w:noProof/>
                <w:lang w:val="uk-UA"/>
              </w:rPr>
            </w:pPr>
            <w:r w:rsidRPr="00FB0C57">
              <w:rPr>
                <w:noProof/>
                <w:lang w:val="uk-UA"/>
              </w:rPr>
              <w:t>л</w:t>
            </w:r>
          </w:p>
        </w:tc>
        <w:tc>
          <w:tcPr>
            <w:tcW w:w="940" w:type="dxa"/>
            <w:tcBorders>
              <w:top w:val="thickThinLargeGap" w:sz="6" w:space="0" w:color="000000"/>
              <w:left w:val="thickThinLargeGap" w:sz="6" w:space="0" w:color="000000"/>
              <w:bottom w:val="thickThinLargeGap" w:sz="6" w:space="0" w:color="000000"/>
              <w:right w:val="thickThinLargeGap" w:sz="6" w:space="0" w:color="000000"/>
            </w:tcBorders>
          </w:tcPr>
          <w:p w14:paraId="5AE522F2" w14:textId="77777777" w:rsidR="00277D2E" w:rsidRPr="00FB0C57" w:rsidRDefault="00277D2E" w:rsidP="001D429D">
            <w:pPr>
              <w:widowControl w:val="0"/>
              <w:contextualSpacing/>
              <w:jc w:val="center"/>
              <w:rPr>
                <w:noProof/>
                <w:lang w:val="uk-UA"/>
              </w:rPr>
            </w:pPr>
            <w:r w:rsidRPr="00FB0C57">
              <w:rPr>
                <w:noProof/>
                <w:lang w:val="uk-UA"/>
              </w:rPr>
              <w:t>410</w:t>
            </w:r>
          </w:p>
        </w:tc>
        <w:tc>
          <w:tcPr>
            <w:tcW w:w="940" w:type="dxa"/>
            <w:tcBorders>
              <w:top w:val="thickThinLargeGap" w:sz="6" w:space="0" w:color="000000"/>
              <w:left w:val="thickThinLargeGap" w:sz="6" w:space="0" w:color="000000"/>
              <w:bottom w:val="thickThinLargeGap" w:sz="6" w:space="0" w:color="000000"/>
              <w:right w:val="thickThinLargeGap" w:sz="6" w:space="0" w:color="000000"/>
            </w:tcBorders>
          </w:tcPr>
          <w:p w14:paraId="237A902F" w14:textId="77777777" w:rsidR="00277D2E" w:rsidRPr="00FB0C57" w:rsidRDefault="00277D2E" w:rsidP="001D429D">
            <w:pPr>
              <w:jc w:val="center"/>
              <w:rPr>
                <w:noProof/>
                <w:color w:val="000000"/>
                <w:lang w:val="uk-UA"/>
              </w:rPr>
            </w:pPr>
            <w:r w:rsidRPr="00FB0C57">
              <w:rPr>
                <w:noProof/>
                <w:color w:val="000000"/>
                <w:lang w:val="uk-UA"/>
              </w:rPr>
              <w:t xml:space="preserve">бочка </w:t>
            </w:r>
          </w:p>
          <w:p w14:paraId="2FFA0EA0" w14:textId="77777777" w:rsidR="00277D2E" w:rsidRPr="00FB0C57" w:rsidRDefault="00277D2E" w:rsidP="001D429D">
            <w:pPr>
              <w:contextualSpacing/>
              <w:jc w:val="center"/>
              <w:rPr>
                <w:noProof/>
                <w:color w:val="000000"/>
                <w:lang w:val="uk-UA"/>
              </w:rPr>
            </w:pPr>
            <w:r w:rsidRPr="00FB0C57">
              <w:rPr>
                <w:noProof/>
                <w:color w:val="000000"/>
                <w:lang w:val="uk-UA"/>
              </w:rPr>
              <w:t>205 літрів</w:t>
            </w:r>
          </w:p>
        </w:tc>
        <w:tc>
          <w:tcPr>
            <w:tcW w:w="2373" w:type="dxa"/>
            <w:tcBorders>
              <w:top w:val="thickThinLargeGap" w:sz="6" w:space="0" w:color="000000"/>
              <w:left w:val="thickThinLargeGap" w:sz="6" w:space="0" w:color="000000"/>
              <w:bottom w:val="thickThinLargeGap" w:sz="6" w:space="0" w:color="000000"/>
              <w:right w:val="thickThinLargeGap" w:sz="6" w:space="0" w:color="000000"/>
            </w:tcBorders>
          </w:tcPr>
          <w:p w14:paraId="270FE8C4" w14:textId="77777777" w:rsidR="00277D2E" w:rsidRPr="00FB0C57" w:rsidRDefault="00277D2E" w:rsidP="001D429D">
            <w:pPr>
              <w:pStyle w:val="afa"/>
              <w:keepNext/>
              <w:keepLines/>
              <w:widowControl w:val="0"/>
              <w:rPr>
                <w:rFonts w:ascii="Times New Roman" w:hAnsi="Times New Roman" w:cs="Times New Roman"/>
                <w:noProof/>
                <w:sz w:val="24"/>
                <w:szCs w:val="24"/>
                <w:lang w:val="uk-UA"/>
              </w:rPr>
            </w:pPr>
            <w:r w:rsidRPr="00FB0C57">
              <w:rPr>
                <w:rFonts w:ascii="Times New Roman" w:hAnsi="Times New Roman" w:cs="Times New Roman"/>
                <w:noProof/>
                <w:sz w:val="24"/>
                <w:szCs w:val="24"/>
                <w:lang w:val="uk-UA"/>
              </w:rPr>
              <w:t xml:space="preserve">Кінематична в’язкість при 100 °С, </w:t>
            </w:r>
            <w:r w:rsidRPr="00FB0C57">
              <w:rPr>
                <w:rFonts w:ascii="Times New Roman" w:hAnsi="Times New Roman" w:cs="Times New Roman"/>
                <w:noProof/>
                <w:color w:val="000000"/>
                <w:sz w:val="24"/>
                <w:szCs w:val="24"/>
                <w:lang w:val="uk-UA"/>
              </w:rPr>
              <w:t xml:space="preserve">мм²/с, </w:t>
            </w:r>
            <w:r w:rsidRPr="00FB0C57">
              <w:rPr>
                <w:rFonts w:ascii="Times New Roman" w:hAnsi="Times New Roman" w:cs="Times New Roman"/>
                <w:i/>
                <w:iCs/>
                <w:noProof/>
                <w:color w:val="227ACB"/>
                <w:sz w:val="24"/>
                <w:szCs w:val="24"/>
                <w:lang w:val="uk-UA"/>
              </w:rPr>
              <w:t>не менше</w:t>
            </w:r>
            <w:r w:rsidRPr="00FB0C57">
              <w:rPr>
                <w:rFonts w:ascii="Times New Roman" w:hAnsi="Times New Roman" w:cs="Times New Roman"/>
                <w:noProof/>
                <w:color w:val="000000"/>
                <w:sz w:val="24"/>
                <w:szCs w:val="24"/>
                <w:lang w:val="uk-UA"/>
              </w:rPr>
              <w:t xml:space="preserve"> 14.0;</w:t>
            </w:r>
            <w:r w:rsidRPr="00FB0C57">
              <w:rPr>
                <w:rFonts w:ascii="Times New Roman" w:hAnsi="Times New Roman" w:cs="Times New Roman"/>
                <w:noProof/>
                <w:sz w:val="24"/>
                <w:szCs w:val="24"/>
                <w:lang w:val="uk-UA"/>
              </w:rPr>
              <w:t xml:space="preserve">                </w:t>
            </w:r>
          </w:p>
          <w:p w14:paraId="28617C79" w14:textId="77777777" w:rsidR="00277D2E" w:rsidRPr="00FB0C57" w:rsidRDefault="00277D2E" w:rsidP="001D429D">
            <w:pPr>
              <w:pStyle w:val="afa"/>
              <w:keepNext/>
              <w:keepLines/>
              <w:widowControl w:val="0"/>
              <w:rPr>
                <w:rFonts w:ascii="Times New Roman" w:hAnsi="Times New Roman" w:cs="Times New Roman"/>
                <w:noProof/>
                <w:sz w:val="24"/>
                <w:szCs w:val="24"/>
                <w:lang w:val="uk-UA"/>
              </w:rPr>
            </w:pPr>
            <w:r w:rsidRPr="00FB0C57">
              <w:rPr>
                <w:rFonts w:ascii="Times New Roman" w:hAnsi="Times New Roman" w:cs="Times New Roman"/>
                <w:noProof/>
                <w:sz w:val="24"/>
                <w:szCs w:val="24"/>
                <w:lang w:val="uk-UA"/>
              </w:rPr>
              <w:t xml:space="preserve">Індекс в’язкості, </w:t>
            </w:r>
            <w:r w:rsidRPr="00FB0C57">
              <w:rPr>
                <w:rFonts w:ascii="Times New Roman" w:hAnsi="Times New Roman" w:cs="Times New Roman"/>
                <w:i/>
                <w:iCs/>
                <w:noProof/>
                <w:color w:val="227ACB"/>
                <w:sz w:val="24"/>
                <w:szCs w:val="24"/>
                <w:lang w:val="uk-UA"/>
              </w:rPr>
              <w:t>не менше</w:t>
            </w:r>
            <w:r w:rsidRPr="00FB0C57">
              <w:rPr>
                <w:rFonts w:ascii="Times New Roman" w:hAnsi="Times New Roman" w:cs="Times New Roman"/>
                <w:noProof/>
                <w:sz w:val="24"/>
                <w:szCs w:val="24"/>
                <w:lang w:val="uk-UA"/>
              </w:rPr>
              <w:t xml:space="preserve"> 170;       </w:t>
            </w:r>
          </w:p>
          <w:p w14:paraId="3EF0FC8F" w14:textId="77777777" w:rsidR="00277D2E" w:rsidRPr="00FB0C57" w:rsidRDefault="00277D2E" w:rsidP="001D429D">
            <w:pPr>
              <w:pStyle w:val="afa"/>
              <w:keepNext/>
              <w:keepLines/>
              <w:widowControl w:val="0"/>
              <w:rPr>
                <w:rFonts w:ascii="Times New Roman" w:hAnsi="Times New Roman" w:cs="Times New Roman"/>
                <w:noProof/>
                <w:color w:val="000000"/>
                <w:sz w:val="24"/>
                <w:szCs w:val="24"/>
                <w:lang w:val="uk-UA"/>
              </w:rPr>
            </w:pPr>
            <w:r w:rsidRPr="00FB0C57">
              <w:rPr>
                <w:rFonts w:ascii="Times New Roman" w:hAnsi="Times New Roman" w:cs="Times New Roman"/>
                <w:noProof/>
                <w:sz w:val="24"/>
                <w:szCs w:val="24"/>
                <w:lang w:val="uk-UA"/>
              </w:rPr>
              <w:t xml:space="preserve">Температура застигання, </w:t>
            </w:r>
            <w:r w:rsidRPr="00FB0C57">
              <w:rPr>
                <w:rFonts w:ascii="Times New Roman" w:hAnsi="Times New Roman" w:cs="Times New Roman"/>
                <w:noProof/>
                <w:color w:val="000000"/>
                <w:sz w:val="24"/>
                <w:szCs w:val="24"/>
                <w:lang w:val="uk-UA"/>
              </w:rPr>
              <w:t xml:space="preserve">°С,  </w:t>
            </w:r>
            <w:r w:rsidRPr="00FB0C57">
              <w:rPr>
                <w:rFonts w:ascii="Times New Roman" w:hAnsi="Times New Roman" w:cs="Times New Roman"/>
                <w:i/>
                <w:iCs/>
                <w:noProof/>
                <w:color w:val="227ACB"/>
                <w:sz w:val="24"/>
                <w:szCs w:val="24"/>
                <w:lang w:val="uk-UA"/>
              </w:rPr>
              <w:t>не вище</w:t>
            </w:r>
            <w:r w:rsidRPr="00FB0C57">
              <w:rPr>
                <w:rFonts w:ascii="Times New Roman" w:hAnsi="Times New Roman" w:cs="Times New Roman"/>
                <w:noProof/>
                <w:color w:val="000000"/>
                <w:sz w:val="24"/>
                <w:szCs w:val="24"/>
                <w:lang w:val="uk-UA"/>
              </w:rPr>
              <w:t xml:space="preserve"> мінус 42;</w:t>
            </w:r>
          </w:p>
          <w:p w14:paraId="63C73C72" w14:textId="1E32EB06" w:rsidR="00277D2E" w:rsidRPr="00FB0C57" w:rsidRDefault="00277D2E" w:rsidP="00277D2E">
            <w:pPr>
              <w:pStyle w:val="afa"/>
              <w:keepNext/>
              <w:keepLines/>
              <w:widowControl w:val="0"/>
              <w:rPr>
                <w:rFonts w:ascii="Times New Roman" w:hAnsi="Times New Roman" w:cs="Times New Roman"/>
                <w:noProof/>
                <w:color w:val="000000"/>
                <w:sz w:val="24"/>
                <w:szCs w:val="24"/>
                <w:lang w:val="uk-UA"/>
              </w:rPr>
            </w:pPr>
            <w:r w:rsidRPr="00FB0C57">
              <w:rPr>
                <w:rFonts w:ascii="Times New Roman" w:hAnsi="Times New Roman" w:cs="Times New Roman"/>
                <w:noProof/>
                <w:color w:val="000000"/>
                <w:sz w:val="24"/>
                <w:szCs w:val="24"/>
                <w:lang w:val="uk-UA"/>
              </w:rPr>
              <w:t xml:space="preserve">Густина при 15 °С, г/см³, </w:t>
            </w:r>
            <w:r w:rsidRPr="00FB0C57">
              <w:rPr>
                <w:rFonts w:ascii="Times New Roman" w:hAnsi="Times New Roman" w:cs="Times New Roman"/>
                <w:i/>
                <w:iCs/>
                <w:noProof/>
                <w:color w:val="227ACB"/>
                <w:sz w:val="24"/>
                <w:szCs w:val="24"/>
                <w:lang w:val="uk-UA"/>
              </w:rPr>
              <w:t>не більше</w:t>
            </w:r>
            <w:r w:rsidRPr="00FB0C57">
              <w:rPr>
                <w:rFonts w:ascii="Times New Roman" w:hAnsi="Times New Roman" w:cs="Times New Roman"/>
                <w:noProof/>
                <w:color w:val="000000"/>
                <w:sz w:val="24"/>
                <w:szCs w:val="24"/>
                <w:lang w:val="uk-UA"/>
              </w:rPr>
              <w:t xml:space="preserve"> 0,854. </w:t>
            </w:r>
            <w:r w:rsidRPr="00FB0C57">
              <w:rPr>
                <w:rFonts w:ascii="Times New Roman" w:hAnsi="Times New Roman" w:cs="Times New Roman"/>
                <w:noProof/>
                <w:sz w:val="24"/>
                <w:szCs w:val="24"/>
                <w:lang w:val="uk-UA"/>
              </w:rPr>
              <w:t xml:space="preserve"> </w:t>
            </w:r>
          </w:p>
        </w:tc>
      </w:tr>
      <w:tr w:rsidR="00277D2E" w:rsidRPr="00FB0C57" w14:paraId="6B91FFF9" w14:textId="77777777" w:rsidTr="001D429D">
        <w:tc>
          <w:tcPr>
            <w:tcW w:w="567" w:type="dxa"/>
            <w:tcBorders>
              <w:top w:val="thickThinLargeGap" w:sz="6" w:space="0" w:color="000000"/>
              <w:left w:val="thickThinLargeGap" w:sz="6" w:space="0" w:color="000000"/>
              <w:bottom w:val="thickThinLargeGap" w:sz="6" w:space="0" w:color="000000"/>
              <w:right w:val="thickThinLargeGap" w:sz="6" w:space="0" w:color="000000"/>
            </w:tcBorders>
          </w:tcPr>
          <w:p w14:paraId="1A808EE6" w14:textId="77777777" w:rsidR="00277D2E" w:rsidRPr="00FB0C57" w:rsidRDefault="00277D2E" w:rsidP="001D429D">
            <w:pPr>
              <w:suppressAutoHyphens/>
              <w:contextualSpacing/>
              <w:jc w:val="center"/>
              <w:rPr>
                <w:noProof/>
                <w:kern w:val="1"/>
                <w:lang w:val="uk-UA"/>
              </w:rPr>
            </w:pPr>
            <w:r w:rsidRPr="00FB0C57">
              <w:rPr>
                <w:noProof/>
                <w:kern w:val="1"/>
                <w:lang w:val="uk-UA"/>
              </w:rPr>
              <w:t>2</w:t>
            </w:r>
          </w:p>
        </w:tc>
        <w:tc>
          <w:tcPr>
            <w:tcW w:w="1754" w:type="dxa"/>
            <w:tcBorders>
              <w:top w:val="thickThinLargeGap" w:sz="6" w:space="0" w:color="000000"/>
              <w:left w:val="thickThinLargeGap" w:sz="6" w:space="0" w:color="000000"/>
              <w:bottom w:val="thickThinLargeGap" w:sz="6" w:space="0" w:color="000000"/>
              <w:right w:val="thickThinLargeGap" w:sz="6" w:space="0" w:color="000000"/>
            </w:tcBorders>
          </w:tcPr>
          <w:p w14:paraId="50F6C8F9" w14:textId="77777777" w:rsidR="00277D2E" w:rsidRPr="00FB0C57" w:rsidRDefault="00277D2E" w:rsidP="001D429D">
            <w:pPr>
              <w:widowControl w:val="0"/>
              <w:contextualSpacing/>
              <w:jc w:val="center"/>
              <w:rPr>
                <w:noProof/>
                <w:lang w:val="uk-UA"/>
              </w:rPr>
            </w:pPr>
            <w:r w:rsidRPr="00FB0C57">
              <w:rPr>
                <w:noProof/>
                <w:color w:val="000000"/>
                <w:lang w:val="uk-UA"/>
              </w:rPr>
              <w:t xml:space="preserve">Олива трансмісійна </w:t>
            </w:r>
            <w:r w:rsidRPr="00FB0C57">
              <w:rPr>
                <w:b/>
                <w:bCs/>
                <w:noProof/>
                <w:color w:val="000000"/>
                <w:lang w:val="uk-UA"/>
              </w:rPr>
              <w:t>TITAN ATF 6400</w:t>
            </w:r>
          </w:p>
        </w:tc>
        <w:tc>
          <w:tcPr>
            <w:tcW w:w="1082" w:type="dxa"/>
            <w:tcBorders>
              <w:top w:val="thickThinLargeGap" w:sz="6" w:space="0" w:color="000000"/>
              <w:left w:val="thickThinLargeGap" w:sz="6" w:space="0" w:color="000000"/>
              <w:bottom w:val="thickThinLargeGap" w:sz="6" w:space="0" w:color="000000"/>
              <w:right w:val="thickThinLargeGap" w:sz="6" w:space="0" w:color="000000"/>
            </w:tcBorders>
          </w:tcPr>
          <w:p w14:paraId="2688D3DF" w14:textId="77777777" w:rsidR="00277D2E" w:rsidRPr="00FB0C57" w:rsidRDefault="00277D2E" w:rsidP="001D429D">
            <w:pPr>
              <w:suppressAutoHyphens/>
              <w:contextualSpacing/>
              <w:jc w:val="center"/>
              <w:rPr>
                <w:b/>
                <w:noProof/>
                <w:kern w:val="1"/>
                <w:lang w:val="uk-UA"/>
              </w:rPr>
            </w:pPr>
            <w:r w:rsidRPr="00FB0C57">
              <w:rPr>
                <w:noProof/>
                <w:kern w:val="1"/>
                <w:lang w:val="uk-UA"/>
              </w:rPr>
              <w:t>Fuchs</w:t>
            </w:r>
          </w:p>
        </w:tc>
        <w:tc>
          <w:tcPr>
            <w:tcW w:w="760" w:type="dxa"/>
            <w:tcBorders>
              <w:top w:val="thickThinLargeGap" w:sz="6" w:space="0" w:color="000000"/>
              <w:left w:val="thickThinLargeGap" w:sz="6" w:space="0" w:color="000000"/>
              <w:bottom w:val="thickThinLargeGap" w:sz="6" w:space="0" w:color="000000"/>
              <w:right w:val="thickThinLargeGap" w:sz="6" w:space="0" w:color="000000"/>
            </w:tcBorders>
          </w:tcPr>
          <w:p w14:paraId="6A34DC90" w14:textId="77777777" w:rsidR="00277D2E" w:rsidRPr="00FB0C57" w:rsidRDefault="00277D2E" w:rsidP="001D429D">
            <w:pPr>
              <w:widowControl w:val="0"/>
              <w:contextualSpacing/>
              <w:jc w:val="center"/>
              <w:rPr>
                <w:noProof/>
                <w:lang w:val="uk-UA"/>
              </w:rPr>
            </w:pPr>
            <w:r w:rsidRPr="00FB0C57">
              <w:rPr>
                <w:noProof/>
                <w:lang w:val="uk-UA"/>
              </w:rPr>
              <w:t>л</w:t>
            </w:r>
          </w:p>
        </w:tc>
        <w:tc>
          <w:tcPr>
            <w:tcW w:w="940" w:type="dxa"/>
            <w:tcBorders>
              <w:top w:val="thickThinLargeGap" w:sz="6" w:space="0" w:color="000000"/>
              <w:left w:val="thickThinLargeGap" w:sz="6" w:space="0" w:color="000000"/>
              <w:bottom w:val="thickThinLargeGap" w:sz="6" w:space="0" w:color="000000"/>
              <w:right w:val="thickThinLargeGap" w:sz="6" w:space="0" w:color="000000"/>
            </w:tcBorders>
          </w:tcPr>
          <w:p w14:paraId="08FE7641" w14:textId="77777777" w:rsidR="00277D2E" w:rsidRPr="00FB0C57" w:rsidRDefault="00277D2E" w:rsidP="001D429D">
            <w:pPr>
              <w:widowControl w:val="0"/>
              <w:contextualSpacing/>
              <w:jc w:val="center"/>
              <w:rPr>
                <w:noProof/>
                <w:lang w:val="uk-UA"/>
              </w:rPr>
            </w:pPr>
            <w:r w:rsidRPr="00FB0C57">
              <w:rPr>
                <w:noProof/>
                <w:lang w:val="uk-UA"/>
              </w:rPr>
              <w:t>33</w:t>
            </w:r>
          </w:p>
        </w:tc>
        <w:tc>
          <w:tcPr>
            <w:tcW w:w="940" w:type="dxa"/>
            <w:tcBorders>
              <w:top w:val="thickThinLargeGap" w:sz="6" w:space="0" w:color="000000"/>
              <w:left w:val="thickThinLargeGap" w:sz="6" w:space="0" w:color="000000"/>
              <w:bottom w:val="thickThinLargeGap" w:sz="6" w:space="0" w:color="000000"/>
              <w:right w:val="thickThinLargeGap" w:sz="6" w:space="0" w:color="000000"/>
            </w:tcBorders>
          </w:tcPr>
          <w:p w14:paraId="250B4B58" w14:textId="77777777" w:rsidR="00277D2E" w:rsidRPr="00FB0C57" w:rsidRDefault="00277D2E" w:rsidP="001D429D">
            <w:pPr>
              <w:contextualSpacing/>
              <w:jc w:val="center"/>
              <w:rPr>
                <w:noProof/>
                <w:color w:val="000000"/>
                <w:lang w:val="uk-UA"/>
              </w:rPr>
            </w:pPr>
            <w:r w:rsidRPr="00FB0C57">
              <w:rPr>
                <w:noProof/>
                <w:color w:val="000000"/>
                <w:lang w:val="uk-UA"/>
              </w:rPr>
              <w:t>каністра 1 літр</w:t>
            </w:r>
          </w:p>
        </w:tc>
        <w:tc>
          <w:tcPr>
            <w:tcW w:w="2373" w:type="dxa"/>
            <w:tcBorders>
              <w:top w:val="thickThinLargeGap" w:sz="6" w:space="0" w:color="000000"/>
              <w:left w:val="thickThinLargeGap" w:sz="6" w:space="0" w:color="000000"/>
              <w:bottom w:val="thickThinLargeGap" w:sz="6" w:space="0" w:color="000000"/>
              <w:right w:val="thickThinLargeGap" w:sz="6" w:space="0" w:color="000000"/>
            </w:tcBorders>
          </w:tcPr>
          <w:p w14:paraId="3D563D7E" w14:textId="77777777" w:rsidR="00277D2E" w:rsidRPr="00FB0C57" w:rsidRDefault="00277D2E" w:rsidP="001D429D">
            <w:pPr>
              <w:pStyle w:val="afa"/>
              <w:rPr>
                <w:rFonts w:ascii="Times New Roman" w:hAnsi="Times New Roman" w:cs="Times New Roman"/>
                <w:noProof/>
                <w:sz w:val="24"/>
                <w:szCs w:val="24"/>
                <w:lang w:val="uk-UA"/>
              </w:rPr>
            </w:pPr>
            <w:r w:rsidRPr="00FB0C57">
              <w:rPr>
                <w:rFonts w:ascii="Times New Roman" w:hAnsi="Times New Roman" w:cs="Times New Roman"/>
                <w:noProof/>
                <w:sz w:val="24"/>
                <w:szCs w:val="24"/>
                <w:lang w:val="uk-UA"/>
              </w:rPr>
              <w:t xml:space="preserve">Кінематична в’язкість при 100 °С, </w:t>
            </w:r>
            <w:r w:rsidRPr="00FB0C57">
              <w:rPr>
                <w:rFonts w:ascii="Times New Roman" w:hAnsi="Times New Roman" w:cs="Times New Roman"/>
                <w:noProof/>
                <w:color w:val="000000"/>
                <w:sz w:val="24"/>
                <w:szCs w:val="24"/>
                <w:lang w:val="uk-UA"/>
              </w:rPr>
              <w:t xml:space="preserve">мм²/с, </w:t>
            </w:r>
            <w:r w:rsidRPr="00FB0C57">
              <w:rPr>
                <w:rFonts w:ascii="Times New Roman" w:hAnsi="Times New Roman" w:cs="Times New Roman"/>
                <w:i/>
                <w:iCs/>
                <w:noProof/>
                <w:color w:val="227ACB"/>
                <w:sz w:val="24"/>
                <w:szCs w:val="24"/>
                <w:lang w:val="uk-UA"/>
              </w:rPr>
              <w:t>не менше</w:t>
            </w:r>
            <w:r w:rsidRPr="00FB0C57">
              <w:rPr>
                <w:rFonts w:ascii="Times New Roman" w:hAnsi="Times New Roman" w:cs="Times New Roman"/>
                <w:noProof/>
                <w:sz w:val="24"/>
                <w:szCs w:val="24"/>
                <w:lang w:val="uk-UA"/>
              </w:rPr>
              <w:t xml:space="preserve"> </w:t>
            </w:r>
            <w:r w:rsidRPr="00FB0C57">
              <w:rPr>
                <w:rFonts w:ascii="Times New Roman" w:hAnsi="Times New Roman" w:cs="Times New Roman"/>
                <w:noProof/>
                <w:color w:val="000000"/>
                <w:sz w:val="24"/>
                <w:szCs w:val="24"/>
                <w:lang w:val="uk-UA"/>
              </w:rPr>
              <w:t>6;</w:t>
            </w:r>
            <w:r w:rsidRPr="00FB0C57">
              <w:rPr>
                <w:rFonts w:ascii="Times New Roman" w:hAnsi="Times New Roman" w:cs="Times New Roman"/>
                <w:noProof/>
                <w:sz w:val="24"/>
                <w:szCs w:val="24"/>
                <w:lang w:val="uk-UA"/>
              </w:rPr>
              <w:t xml:space="preserve">                </w:t>
            </w:r>
          </w:p>
          <w:p w14:paraId="3081F267" w14:textId="77777777" w:rsidR="00277D2E" w:rsidRPr="00FB0C57" w:rsidRDefault="00277D2E" w:rsidP="001D429D">
            <w:pPr>
              <w:pStyle w:val="afa"/>
              <w:rPr>
                <w:rFonts w:ascii="Times New Roman" w:hAnsi="Times New Roman" w:cs="Times New Roman"/>
                <w:noProof/>
                <w:color w:val="000000"/>
                <w:sz w:val="24"/>
                <w:szCs w:val="24"/>
                <w:lang w:val="uk-UA"/>
              </w:rPr>
            </w:pPr>
            <w:r w:rsidRPr="00FB0C57">
              <w:rPr>
                <w:rFonts w:ascii="Times New Roman" w:hAnsi="Times New Roman" w:cs="Times New Roman"/>
                <w:noProof/>
                <w:sz w:val="24"/>
                <w:szCs w:val="24"/>
                <w:lang w:val="uk-UA"/>
              </w:rPr>
              <w:t xml:space="preserve"> Індекс в’язкості, </w:t>
            </w:r>
            <w:r w:rsidRPr="00FB0C57">
              <w:rPr>
                <w:rFonts w:ascii="Times New Roman" w:hAnsi="Times New Roman" w:cs="Times New Roman"/>
                <w:i/>
                <w:iCs/>
                <w:noProof/>
                <w:color w:val="227ACB"/>
                <w:sz w:val="24"/>
                <w:szCs w:val="24"/>
                <w:lang w:val="uk-UA"/>
              </w:rPr>
              <w:t>не менше</w:t>
            </w:r>
            <w:r w:rsidRPr="00FB0C57">
              <w:rPr>
                <w:rFonts w:ascii="Times New Roman" w:hAnsi="Times New Roman" w:cs="Times New Roman"/>
                <w:noProof/>
                <w:sz w:val="24"/>
                <w:szCs w:val="24"/>
                <w:lang w:val="uk-UA"/>
              </w:rPr>
              <w:t xml:space="preserve"> 155;       Температура застигання, </w:t>
            </w:r>
            <w:r w:rsidRPr="00FB0C57">
              <w:rPr>
                <w:rFonts w:ascii="Times New Roman" w:hAnsi="Times New Roman" w:cs="Times New Roman"/>
                <w:noProof/>
                <w:color w:val="000000"/>
                <w:sz w:val="24"/>
                <w:szCs w:val="24"/>
                <w:lang w:val="uk-UA"/>
              </w:rPr>
              <w:t xml:space="preserve">°С,  </w:t>
            </w:r>
            <w:r w:rsidRPr="00FB0C57">
              <w:rPr>
                <w:rFonts w:ascii="Times New Roman" w:hAnsi="Times New Roman" w:cs="Times New Roman"/>
                <w:i/>
                <w:iCs/>
                <w:noProof/>
                <w:color w:val="227ACB"/>
                <w:sz w:val="24"/>
                <w:szCs w:val="24"/>
                <w:lang w:val="uk-UA"/>
              </w:rPr>
              <w:t>не вище</w:t>
            </w:r>
            <w:r w:rsidRPr="00FB0C57">
              <w:rPr>
                <w:rFonts w:ascii="Times New Roman" w:hAnsi="Times New Roman" w:cs="Times New Roman"/>
                <w:noProof/>
                <w:color w:val="000000"/>
                <w:sz w:val="24"/>
                <w:szCs w:val="24"/>
                <w:lang w:val="uk-UA"/>
              </w:rPr>
              <w:t xml:space="preserve"> мінус 48;</w:t>
            </w:r>
          </w:p>
          <w:p w14:paraId="36581107" w14:textId="226F0A57" w:rsidR="00277D2E" w:rsidRPr="00FB0C57" w:rsidRDefault="00277D2E" w:rsidP="00277D2E">
            <w:pPr>
              <w:pStyle w:val="afa"/>
              <w:rPr>
                <w:rFonts w:ascii="Times New Roman" w:hAnsi="Times New Roman" w:cs="Times New Roman"/>
                <w:noProof/>
                <w:color w:val="000000"/>
                <w:sz w:val="24"/>
                <w:szCs w:val="24"/>
                <w:lang w:val="uk-UA"/>
              </w:rPr>
            </w:pPr>
            <w:r w:rsidRPr="00FB0C57">
              <w:rPr>
                <w:rFonts w:ascii="Times New Roman" w:hAnsi="Times New Roman" w:cs="Times New Roman"/>
                <w:noProof/>
                <w:color w:val="000000"/>
                <w:sz w:val="24"/>
                <w:szCs w:val="24"/>
                <w:lang w:val="uk-UA"/>
              </w:rPr>
              <w:t xml:space="preserve">Густина при 15 °С, г/см³, </w:t>
            </w:r>
            <w:r w:rsidRPr="00FB0C57">
              <w:rPr>
                <w:rFonts w:ascii="Times New Roman" w:hAnsi="Times New Roman" w:cs="Times New Roman"/>
                <w:i/>
                <w:iCs/>
                <w:noProof/>
                <w:color w:val="227ACB"/>
                <w:sz w:val="24"/>
                <w:szCs w:val="24"/>
                <w:lang w:val="uk-UA"/>
              </w:rPr>
              <w:t>не більше</w:t>
            </w:r>
            <w:r w:rsidRPr="00FB0C57">
              <w:rPr>
                <w:rFonts w:ascii="Times New Roman" w:hAnsi="Times New Roman" w:cs="Times New Roman"/>
                <w:noProof/>
                <w:color w:val="000000"/>
                <w:sz w:val="24"/>
                <w:szCs w:val="24"/>
                <w:lang w:val="uk-UA"/>
              </w:rPr>
              <w:t xml:space="preserve"> 0,851. </w:t>
            </w:r>
            <w:r w:rsidRPr="00FB0C57">
              <w:rPr>
                <w:rFonts w:ascii="Times New Roman" w:hAnsi="Times New Roman" w:cs="Times New Roman"/>
                <w:noProof/>
                <w:sz w:val="24"/>
                <w:szCs w:val="24"/>
                <w:lang w:val="uk-UA"/>
              </w:rPr>
              <w:t xml:space="preserve"> </w:t>
            </w:r>
          </w:p>
        </w:tc>
      </w:tr>
      <w:tr w:rsidR="00277D2E" w:rsidRPr="00FB0C57" w14:paraId="612338EE" w14:textId="77777777" w:rsidTr="001D429D">
        <w:tc>
          <w:tcPr>
            <w:tcW w:w="567" w:type="dxa"/>
            <w:tcBorders>
              <w:top w:val="thickThinLargeGap" w:sz="6" w:space="0" w:color="000000"/>
              <w:left w:val="thickThinLargeGap" w:sz="6" w:space="0" w:color="000000"/>
              <w:bottom w:val="thickThinLargeGap" w:sz="6" w:space="0" w:color="000000"/>
              <w:right w:val="thickThinLargeGap" w:sz="6" w:space="0" w:color="000000"/>
            </w:tcBorders>
          </w:tcPr>
          <w:p w14:paraId="5B15E9C4" w14:textId="77777777" w:rsidR="00277D2E" w:rsidRPr="00FB0C57" w:rsidRDefault="00277D2E" w:rsidP="001D429D">
            <w:pPr>
              <w:suppressAutoHyphens/>
              <w:contextualSpacing/>
              <w:jc w:val="center"/>
              <w:rPr>
                <w:noProof/>
                <w:kern w:val="1"/>
                <w:lang w:val="uk-UA"/>
              </w:rPr>
            </w:pPr>
            <w:r w:rsidRPr="00FB0C57">
              <w:rPr>
                <w:noProof/>
                <w:kern w:val="1"/>
                <w:lang w:val="uk-UA"/>
              </w:rPr>
              <w:t>3</w:t>
            </w:r>
          </w:p>
        </w:tc>
        <w:tc>
          <w:tcPr>
            <w:tcW w:w="1754" w:type="dxa"/>
            <w:tcBorders>
              <w:top w:val="thickThinLargeGap" w:sz="6" w:space="0" w:color="000000"/>
              <w:left w:val="thickThinLargeGap" w:sz="6" w:space="0" w:color="000000"/>
              <w:bottom w:val="thickThinLargeGap" w:sz="6" w:space="0" w:color="000000"/>
              <w:right w:val="thickThinLargeGap" w:sz="6" w:space="0" w:color="000000"/>
            </w:tcBorders>
          </w:tcPr>
          <w:p w14:paraId="72B5FD36" w14:textId="77777777" w:rsidR="00277D2E" w:rsidRPr="00FB0C57" w:rsidRDefault="00277D2E" w:rsidP="001D429D">
            <w:pPr>
              <w:widowControl w:val="0"/>
              <w:contextualSpacing/>
              <w:jc w:val="center"/>
              <w:rPr>
                <w:noProof/>
                <w:color w:val="000000"/>
                <w:lang w:val="uk-UA"/>
              </w:rPr>
            </w:pPr>
            <w:r w:rsidRPr="00FB0C57">
              <w:rPr>
                <w:noProof/>
                <w:color w:val="000000"/>
                <w:lang w:val="uk-UA"/>
              </w:rPr>
              <w:t>Олива трансмісійна</w:t>
            </w:r>
          </w:p>
          <w:p w14:paraId="4ABFE7DE" w14:textId="77777777" w:rsidR="00277D2E" w:rsidRPr="00FB0C57" w:rsidRDefault="00277D2E" w:rsidP="001D429D">
            <w:pPr>
              <w:widowControl w:val="0"/>
              <w:contextualSpacing/>
              <w:jc w:val="center"/>
              <w:rPr>
                <w:noProof/>
                <w:lang w:val="uk-UA"/>
              </w:rPr>
            </w:pPr>
            <w:r w:rsidRPr="00FB0C57">
              <w:rPr>
                <w:b/>
                <w:bCs/>
                <w:noProof/>
                <w:lang w:val="uk-UA"/>
              </w:rPr>
              <w:t>TITAN ATF 7134 FE</w:t>
            </w:r>
          </w:p>
        </w:tc>
        <w:tc>
          <w:tcPr>
            <w:tcW w:w="1082" w:type="dxa"/>
            <w:tcBorders>
              <w:top w:val="thickThinLargeGap" w:sz="6" w:space="0" w:color="000000"/>
              <w:left w:val="thickThinLargeGap" w:sz="6" w:space="0" w:color="000000"/>
              <w:bottom w:val="thickThinLargeGap" w:sz="6" w:space="0" w:color="000000"/>
              <w:right w:val="thickThinLargeGap" w:sz="6" w:space="0" w:color="000000"/>
            </w:tcBorders>
          </w:tcPr>
          <w:p w14:paraId="3F2F152D" w14:textId="77777777" w:rsidR="00277D2E" w:rsidRPr="00FB0C57" w:rsidRDefault="00277D2E" w:rsidP="001D429D">
            <w:pPr>
              <w:suppressAutoHyphens/>
              <w:contextualSpacing/>
              <w:jc w:val="center"/>
              <w:rPr>
                <w:b/>
                <w:noProof/>
                <w:kern w:val="1"/>
                <w:lang w:val="uk-UA"/>
              </w:rPr>
            </w:pPr>
            <w:r w:rsidRPr="00FB0C57">
              <w:rPr>
                <w:noProof/>
                <w:kern w:val="1"/>
                <w:lang w:val="uk-UA"/>
              </w:rPr>
              <w:t>Fuchs</w:t>
            </w:r>
          </w:p>
        </w:tc>
        <w:tc>
          <w:tcPr>
            <w:tcW w:w="760" w:type="dxa"/>
            <w:tcBorders>
              <w:top w:val="thickThinLargeGap" w:sz="6" w:space="0" w:color="000000"/>
              <w:left w:val="thickThinLargeGap" w:sz="6" w:space="0" w:color="000000"/>
              <w:bottom w:val="thickThinLargeGap" w:sz="6" w:space="0" w:color="000000"/>
              <w:right w:val="thickThinLargeGap" w:sz="6" w:space="0" w:color="000000"/>
            </w:tcBorders>
          </w:tcPr>
          <w:p w14:paraId="0C4C3DE9" w14:textId="77777777" w:rsidR="00277D2E" w:rsidRPr="00FB0C57" w:rsidRDefault="00277D2E" w:rsidP="001D429D">
            <w:pPr>
              <w:widowControl w:val="0"/>
              <w:contextualSpacing/>
              <w:jc w:val="center"/>
              <w:rPr>
                <w:noProof/>
                <w:lang w:val="uk-UA"/>
              </w:rPr>
            </w:pPr>
            <w:r w:rsidRPr="00FB0C57">
              <w:rPr>
                <w:noProof/>
                <w:lang w:val="uk-UA"/>
              </w:rPr>
              <w:t>л</w:t>
            </w:r>
          </w:p>
        </w:tc>
        <w:tc>
          <w:tcPr>
            <w:tcW w:w="940" w:type="dxa"/>
            <w:tcBorders>
              <w:top w:val="thickThinLargeGap" w:sz="6" w:space="0" w:color="000000"/>
              <w:left w:val="thickThinLargeGap" w:sz="6" w:space="0" w:color="000000"/>
              <w:bottom w:val="thickThinLargeGap" w:sz="6" w:space="0" w:color="000000"/>
              <w:right w:val="thickThinLargeGap" w:sz="6" w:space="0" w:color="000000"/>
            </w:tcBorders>
          </w:tcPr>
          <w:p w14:paraId="63EFCFF6" w14:textId="77777777" w:rsidR="00277D2E" w:rsidRPr="00FB0C57" w:rsidRDefault="00277D2E" w:rsidP="001D429D">
            <w:pPr>
              <w:widowControl w:val="0"/>
              <w:contextualSpacing/>
              <w:jc w:val="center"/>
              <w:rPr>
                <w:noProof/>
                <w:lang w:val="uk-UA"/>
              </w:rPr>
            </w:pPr>
            <w:r w:rsidRPr="00FB0C57">
              <w:rPr>
                <w:noProof/>
                <w:lang w:val="uk-UA"/>
              </w:rPr>
              <w:t>10</w:t>
            </w:r>
          </w:p>
        </w:tc>
        <w:tc>
          <w:tcPr>
            <w:tcW w:w="940" w:type="dxa"/>
            <w:tcBorders>
              <w:top w:val="thickThinLargeGap" w:sz="6" w:space="0" w:color="000000"/>
              <w:left w:val="thickThinLargeGap" w:sz="6" w:space="0" w:color="000000"/>
              <w:bottom w:val="thickThinLargeGap" w:sz="6" w:space="0" w:color="000000"/>
              <w:right w:val="thickThinLargeGap" w:sz="6" w:space="0" w:color="000000"/>
            </w:tcBorders>
          </w:tcPr>
          <w:p w14:paraId="0209F2AD" w14:textId="77777777" w:rsidR="00277D2E" w:rsidRPr="00FB0C57" w:rsidRDefault="00277D2E" w:rsidP="001D429D">
            <w:pPr>
              <w:contextualSpacing/>
              <w:jc w:val="center"/>
              <w:rPr>
                <w:noProof/>
                <w:lang w:val="uk-UA"/>
              </w:rPr>
            </w:pPr>
            <w:r w:rsidRPr="00FB0C57">
              <w:rPr>
                <w:noProof/>
                <w:color w:val="000000"/>
                <w:lang w:val="uk-UA"/>
              </w:rPr>
              <w:t>каністра 5 літр</w:t>
            </w:r>
          </w:p>
        </w:tc>
        <w:tc>
          <w:tcPr>
            <w:tcW w:w="2373" w:type="dxa"/>
            <w:tcBorders>
              <w:top w:val="thickThinLargeGap" w:sz="6" w:space="0" w:color="000000"/>
              <w:left w:val="thickThinLargeGap" w:sz="6" w:space="0" w:color="000000"/>
              <w:bottom w:val="thickThinLargeGap" w:sz="6" w:space="0" w:color="000000"/>
              <w:right w:val="thickThinLargeGap" w:sz="6" w:space="0" w:color="000000"/>
            </w:tcBorders>
          </w:tcPr>
          <w:p w14:paraId="52AF9650" w14:textId="77777777" w:rsidR="00277D2E" w:rsidRPr="00FB0C57" w:rsidRDefault="00277D2E" w:rsidP="001D429D">
            <w:pPr>
              <w:pStyle w:val="afa"/>
              <w:rPr>
                <w:rFonts w:ascii="Times New Roman" w:hAnsi="Times New Roman" w:cs="Times New Roman"/>
                <w:noProof/>
                <w:sz w:val="24"/>
                <w:szCs w:val="24"/>
                <w:lang w:val="uk-UA"/>
              </w:rPr>
            </w:pPr>
            <w:r w:rsidRPr="00FB0C57">
              <w:rPr>
                <w:rFonts w:ascii="Times New Roman" w:hAnsi="Times New Roman" w:cs="Times New Roman"/>
                <w:noProof/>
                <w:sz w:val="24"/>
                <w:szCs w:val="24"/>
                <w:lang w:val="uk-UA"/>
              </w:rPr>
              <w:t xml:space="preserve">Кінематична в’язкість при 100 °С, </w:t>
            </w:r>
            <w:r w:rsidRPr="00FB0C57">
              <w:rPr>
                <w:rFonts w:ascii="Times New Roman" w:hAnsi="Times New Roman" w:cs="Times New Roman"/>
                <w:noProof/>
                <w:color w:val="000000"/>
                <w:sz w:val="24"/>
                <w:szCs w:val="24"/>
                <w:lang w:val="uk-UA"/>
              </w:rPr>
              <w:t xml:space="preserve">мм²/с, </w:t>
            </w:r>
            <w:r w:rsidRPr="00FB0C57">
              <w:rPr>
                <w:rFonts w:ascii="Times New Roman" w:hAnsi="Times New Roman" w:cs="Times New Roman"/>
                <w:i/>
                <w:iCs/>
                <w:noProof/>
                <w:color w:val="227ACB"/>
                <w:sz w:val="24"/>
                <w:szCs w:val="24"/>
                <w:lang w:val="uk-UA"/>
              </w:rPr>
              <w:t>не менше</w:t>
            </w:r>
            <w:r w:rsidRPr="00FB0C57">
              <w:rPr>
                <w:rFonts w:ascii="Times New Roman" w:hAnsi="Times New Roman" w:cs="Times New Roman"/>
                <w:noProof/>
                <w:sz w:val="24"/>
                <w:szCs w:val="24"/>
                <w:lang w:val="uk-UA"/>
              </w:rPr>
              <w:t xml:space="preserve"> </w:t>
            </w:r>
            <w:r w:rsidRPr="00FB0C57">
              <w:rPr>
                <w:rFonts w:ascii="Times New Roman" w:hAnsi="Times New Roman" w:cs="Times New Roman"/>
                <w:noProof/>
                <w:color w:val="000000"/>
                <w:sz w:val="24"/>
                <w:szCs w:val="24"/>
                <w:lang w:val="uk-UA"/>
              </w:rPr>
              <w:t>4.4;</w:t>
            </w:r>
            <w:r w:rsidRPr="00FB0C57">
              <w:rPr>
                <w:rFonts w:ascii="Times New Roman" w:hAnsi="Times New Roman" w:cs="Times New Roman"/>
                <w:noProof/>
                <w:sz w:val="24"/>
                <w:szCs w:val="24"/>
                <w:lang w:val="uk-UA"/>
              </w:rPr>
              <w:t xml:space="preserve">                </w:t>
            </w:r>
          </w:p>
          <w:p w14:paraId="35264F23" w14:textId="77777777" w:rsidR="00277D2E" w:rsidRPr="00FB0C57" w:rsidRDefault="00277D2E" w:rsidP="001D429D">
            <w:pPr>
              <w:pStyle w:val="afa"/>
              <w:rPr>
                <w:rFonts w:ascii="Times New Roman" w:hAnsi="Times New Roman" w:cs="Times New Roman"/>
                <w:noProof/>
                <w:color w:val="000000"/>
                <w:sz w:val="24"/>
                <w:szCs w:val="24"/>
                <w:lang w:val="uk-UA"/>
              </w:rPr>
            </w:pPr>
            <w:r w:rsidRPr="00FB0C57">
              <w:rPr>
                <w:rFonts w:ascii="Times New Roman" w:hAnsi="Times New Roman" w:cs="Times New Roman"/>
                <w:noProof/>
                <w:sz w:val="24"/>
                <w:szCs w:val="24"/>
                <w:lang w:val="uk-UA"/>
              </w:rPr>
              <w:t xml:space="preserve"> Індекс в’язкості, </w:t>
            </w:r>
            <w:r w:rsidRPr="00FB0C57">
              <w:rPr>
                <w:rFonts w:ascii="Times New Roman" w:hAnsi="Times New Roman" w:cs="Times New Roman"/>
                <w:i/>
                <w:iCs/>
                <w:noProof/>
                <w:color w:val="227ACB"/>
                <w:sz w:val="24"/>
                <w:szCs w:val="24"/>
                <w:lang w:val="uk-UA"/>
              </w:rPr>
              <w:t>не менше</w:t>
            </w:r>
            <w:r w:rsidRPr="00FB0C57">
              <w:rPr>
                <w:rFonts w:ascii="Times New Roman" w:hAnsi="Times New Roman" w:cs="Times New Roman"/>
                <w:noProof/>
                <w:sz w:val="24"/>
                <w:szCs w:val="24"/>
                <w:lang w:val="uk-UA"/>
              </w:rPr>
              <w:t xml:space="preserve"> 160;       Температура застигання, </w:t>
            </w:r>
            <w:r w:rsidRPr="00FB0C57">
              <w:rPr>
                <w:rFonts w:ascii="Times New Roman" w:hAnsi="Times New Roman" w:cs="Times New Roman"/>
                <w:noProof/>
                <w:color w:val="000000"/>
                <w:sz w:val="24"/>
                <w:szCs w:val="24"/>
                <w:lang w:val="uk-UA"/>
              </w:rPr>
              <w:t xml:space="preserve">°С,  </w:t>
            </w:r>
            <w:r w:rsidRPr="00FB0C57">
              <w:rPr>
                <w:rFonts w:ascii="Times New Roman" w:hAnsi="Times New Roman" w:cs="Times New Roman"/>
                <w:i/>
                <w:iCs/>
                <w:noProof/>
                <w:color w:val="227ACB"/>
                <w:sz w:val="24"/>
                <w:szCs w:val="24"/>
                <w:lang w:val="uk-UA"/>
              </w:rPr>
              <w:t>не вище</w:t>
            </w:r>
            <w:r w:rsidRPr="00FB0C57">
              <w:rPr>
                <w:rFonts w:ascii="Times New Roman" w:hAnsi="Times New Roman" w:cs="Times New Roman"/>
                <w:noProof/>
                <w:color w:val="000000"/>
                <w:sz w:val="24"/>
                <w:szCs w:val="24"/>
                <w:lang w:val="uk-UA"/>
              </w:rPr>
              <w:t xml:space="preserve"> мінус 48;</w:t>
            </w:r>
          </w:p>
          <w:p w14:paraId="11395FF7" w14:textId="18EC782F" w:rsidR="00277D2E" w:rsidRPr="00FB0C57" w:rsidRDefault="00277D2E" w:rsidP="00277D2E">
            <w:pPr>
              <w:pStyle w:val="afa"/>
              <w:rPr>
                <w:rFonts w:ascii="Times New Roman" w:hAnsi="Times New Roman" w:cs="Times New Roman"/>
                <w:noProof/>
                <w:color w:val="000000"/>
                <w:sz w:val="24"/>
                <w:szCs w:val="24"/>
                <w:lang w:val="uk-UA"/>
              </w:rPr>
            </w:pPr>
            <w:r w:rsidRPr="00FB0C57">
              <w:rPr>
                <w:rFonts w:ascii="Times New Roman" w:hAnsi="Times New Roman" w:cs="Times New Roman"/>
                <w:noProof/>
                <w:color w:val="000000"/>
                <w:sz w:val="24"/>
                <w:szCs w:val="24"/>
                <w:lang w:val="uk-UA"/>
              </w:rPr>
              <w:t xml:space="preserve">Густина при 15 °С, г/см³, </w:t>
            </w:r>
            <w:r w:rsidRPr="00FB0C57">
              <w:rPr>
                <w:rFonts w:ascii="Times New Roman" w:hAnsi="Times New Roman" w:cs="Times New Roman"/>
                <w:i/>
                <w:iCs/>
                <w:noProof/>
                <w:color w:val="227ACB"/>
                <w:sz w:val="24"/>
                <w:szCs w:val="24"/>
                <w:lang w:val="uk-UA"/>
              </w:rPr>
              <w:t>не більше</w:t>
            </w:r>
            <w:r w:rsidRPr="00FB0C57">
              <w:rPr>
                <w:rFonts w:ascii="Times New Roman" w:hAnsi="Times New Roman" w:cs="Times New Roman"/>
                <w:noProof/>
                <w:color w:val="000000"/>
                <w:sz w:val="24"/>
                <w:szCs w:val="24"/>
                <w:lang w:val="uk-UA"/>
              </w:rPr>
              <w:t xml:space="preserve"> 0,841. </w:t>
            </w:r>
            <w:r w:rsidRPr="00FB0C57">
              <w:rPr>
                <w:rFonts w:ascii="Times New Roman" w:hAnsi="Times New Roman" w:cs="Times New Roman"/>
                <w:noProof/>
                <w:sz w:val="24"/>
                <w:szCs w:val="24"/>
                <w:lang w:val="uk-UA"/>
              </w:rPr>
              <w:t xml:space="preserve"> </w:t>
            </w:r>
          </w:p>
        </w:tc>
      </w:tr>
    </w:tbl>
    <w:p w14:paraId="2B5BE680" w14:textId="77777777" w:rsidR="00755003" w:rsidRDefault="00755003" w:rsidP="009165D1">
      <w:pPr>
        <w:jc w:val="both"/>
        <w:rPr>
          <w:b/>
          <w:bCs/>
          <w:noProof/>
          <w:lang w:val="uk-UA"/>
        </w:rPr>
      </w:pPr>
    </w:p>
    <w:p w14:paraId="2197CE3B" w14:textId="54F08CF1" w:rsidR="009165D1" w:rsidRPr="00FB0C57" w:rsidRDefault="009165D1" w:rsidP="009165D1">
      <w:pPr>
        <w:jc w:val="both"/>
        <w:rPr>
          <w:b/>
          <w:bCs/>
          <w:noProof/>
          <w:lang w:val="uk-UA" w:eastAsia="uk-UA"/>
        </w:rPr>
      </w:pPr>
      <w:r w:rsidRPr="00FB0C57">
        <w:rPr>
          <w:b/>
          <w:bCs/>
          <w:noProof/>
          <w:lang w:val="uk-UA"/>
        </w:rPr>
        <w:t>Додаткова інформація.</w:t>
      </w:r>
    </w:p>
    <w:p w14:paraId="57CF6E8C" w14:textId="77777777" w:rsidR="009165D1" w:rsidRPr="00FB0C57" w:rsidRDefault="009165D1" w:rsidP="009165D1">
      <w:pPr>
        <w:jc w:val="both"/>
        <w:rPr>
          <w:noProof/>
          <w:lang w:val="uk-UA"/>
        </w:rPr>
      </w:pPr>
      <w:r w:rsidRPr="00FB0C57">
        <w:rPr>
          <w:b/>
          <w:bCs/>
          <w:noProof/>
          <w:lang w:val="uk-UA"/>
        </w:rPr>
        <w:t>1.</w:t>
      </w:r>
      <w:r w:rsidRPr="00FB0C57">
        <w:rPr>
          <w:noProof/>
          <w:lang w:val="uk-UA"/>
        </w:rPr>
        <w:t xml:space="preserve"> 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FB0C57">
        <w:rPr>
          <w:b/>
          <w:bCs/>
          <w:noProof/>
          <w:lang w:val="uk-UA"/>
        </w:rPr>
        <w:t>біля кожного такого посилання вважати вираз «або еквівалент»</w:t>
      </w:r>
      <w:r w:rsidRPr="00FB0C57">
        <w:rPr>
          <w:noProof/>
          <w:lang w:val="uk-UA"/>
        </w:rPr>
        <w:t xml:space="preserve">. Таким чином вважається, що до кожного посилання додається вираз </w:t>
      </w:r>
      <w:r w:rsidRPr="00FB0C57">
        <w:rPr>
          <w:b/>
          <w:bCs/>
          <w:noProof/>
          <w:lang w:val="uk-UA"/>
        </w:rPr>
        <w:t>«або еквівалент»</w:t>
      </w:r>
      <w:r w:rsidRPr="00FB0C57">
        <w:rPr>
          <w:noProof/>
          <w:lang w:val="uk-UA"/>
        </w:rPr>
        <w:t xml:space="preserve">. </w:t>
      </w:r>
    </w:p>
    <w:p w14:paraId="4BD0C4C7" w14:textId="77777777" w:rsidR="009165D1" w:rsidRPr="00FB0C57" w:rsidRDefault="009165D1" w:rsidP="009165D1">
      <w:pPr>
        <w:jc w:val="both"/>
        <w:rPr>
          <w:noProof/>
          <w:lang w:val="uk-UA"/>
        </w:rPr>
      </w:pPr>
      <w:r w:rsidRPr="00FB0C57">
        <w:rPr>
          <w:noProof/>
          <w:lang w:val="uk-UA"/>
        </w:rPr>
        <w:t xml:space="preserve">У місцях, де технічна специфікація містить посилання </w:t>
      </w:r>
      <w:r w:rsidRPr="00FB0C57">
        <w:rPr>
          <w:noProof/>
          <w:vertAlign w:val="superscript"/>
          <w:lang w:val="uk-UA"/>
        </w:rPr>
        <w:t>1)</w:t>
      </w:r>
      <w:r w:rsidRPr="00FB0C57">
        <w:rPr>
          <w:noProof/>
          <w:lang w:val="uk-UA"/>
        </w:rPr>
        <w:t xml:space="preserve">на конкретну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sidRPr="00FB0C57">
        <w:rPr>
          <w:b/>
          <w:bCs/>
          <w:noProof/>
          <w:lang w:val="uk-UA"/>
        </w:rPr>
        <w:t>вважати наявним вираз «або еквівалент»</w:t>
      </w:r>
      <w:r w:rsidRPr="00FB0C57">
        <w:rPr>
          <w:noProof/>
          <w:lang w:val="uk-UA"/>
        </w:rPr>
        <w:t xml:space="preserve">. Таким чином вважається, що до кожного посилання додається вираз «або еквівалент» </w:t>
      </w:r>
      <w:r w:rsidRPr="00FB0C57">
        <w:rPr>
          <w:b/>
          <w:bCs/>
          <w:i/>
          <w:iCs/>
          <w:noProof/>
          <w:lang w:val="uk-UA"/>
        </w:rPr>
        <w:t>(</w:t>
      </w:r>
      <w:r w:rsidRPr="00FB0C57">
        <w:rPr>
          <w:b/>
          <w:bCs/>
          <w:i/>
          <w:iCs/>
          <w:noProof/>
          <w:vertAlign w:val="superscript"/>
          <w:lang w:val="uk-UA"/>
        </w:rPr>
        <w:t>1)</w:t>
      </w:r>
      <w:r w:rsidRPr="00FB0C57">
        <w:rPr>
          <w:b/>
          <w:bCs/>
          <w:i/>
          <w:iCs/>
          <w:noProof/>
          <w:lang w:val="uk-UA"/>
        </w:rPr>
        <w:t xml:space="preserve"> таке посилання обумовлено наданням Учасникам загального уявлення про технічні та якісні характеристики чи складові предмету закупівлі тощо)</w:t>
      </w:r>
      <w:r w:rsidRPr="00FB0C57">
        <w:rPr>
          <w:noProof/>
          <w:lang w:val="uk-UA"/>
        </w:rPr>
        <w:t xml:space="preserve">. </w:t>
      </w:r>
    </w:p>
    <w:p w14:paraId="2319F0EB" w14:textId="77777777" w:rsidR="009165D1" w:rsidRPr="00FB0C57" w:rsidRDefault="009165D1" w:rsidP="009165D1">
      <w:pPr>
        <w:autoSpaceDE w:val="0"/>
        <w:autoSpaceDN w:val="0"/>
        <w:ind w:firstLine="709"/>
        <w:jc w:val="both"/>
        <w:rPr>
          <w:noProof/>
          <w:color w:val="000000"/>
          <w:lang w:val="uk-UA"/>
        </w:rPr>
      </w:pPr>
      <w:r w:rsidRPr="00FB0C57">
        <w:rPr>
          <w:noProof/>
          <w:lang w:val="uk-UA"/>
        </w:rPr>
        <w:t xml:space="preserve">Під «еквівалентом» розуміється це щось рівноцінне, рівнозначне, рівносильне, таке що повністю відповідає встановленим вимогам Замовника (технічні та якісні характеристики, запропонованого еквіваленту повинні відповідати встановленим в </w:t>
      </w:r>
      <w:r w:rsidRPr="00FB0C57">
        <w:rPr>
          <w:b/>
          <w:bCs/>
          <w:noProof/>
          <w:lang w:val="uk-UA"/>
        </w:rPr>
        <w:t>Додатку 1</w:t>
      </w:r>
      <w:r w:rsidRPr="00FB0C57">
        <w:rPr>
          <w:noProof/>
          <w:lang w:val="uk-UA"/>
        </w:rPr>
        <w:t xml:space="preserve"> технічним та якісним характеристикам предмета закупівлі).</w:t>
      </w:r>
    </w:p>
    <w:p w14:paraId="353C2D0E" w14:textId="77777777" w:rsidR="00A256E7" w:rsidRPr="00FB0C57" w:rsidRDefault="00A256E7" w:rsidP="00D04854">
      <w:pPr>
        <w:widowControl w:val="0"/>
        <w:autoSpaceDE w:val="0"/>
        <w:autoSpaceDN w:val="0"/>
        <w:adjustRightInd w:val="0"/>
        <w:ind w:firstLine="709"/>
        <w:contextualSpacing/>
        <w:jc w:val="both"/>
        <w:rPr>
          <w:noProof/>
          <w:color w:val="000000"/>
          <w:lang w:val="uk-UA"/>
        </w:rPr>
      </w:pPr>
    </w:p>
    <w:sectPr w:rsidR="00A256E7" w:rsidRPr="00FB0C57" w:rsidSect="00F318CA">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1B3E8" w14:textId="77777777" w:rsidR="00B325EE" w:rsidRDefault="00B325EE">
      <w:r>
        <w:separator/>
      </w:r>
    </w:p>
  </w:endnote>
  <w:endnote w:type="continuationSeparator" w:id="0">
    <w:p w14:paraId="5BBB1C3D" w14:textId="77777777" w:rsidR="00B325EE" w:rsidRDefault="00B3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7C92"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89EC" w14:textId="05E816F7" w:rsidR="00A256E7" w:rsidRPr="00A256E7" w:rsidRDefault="00035514"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6D985844" wp14:editId="566899FB">
              <wp:simplePos x="0" y="0"/>
              <wp:positionH relativeFrom="column">
                <wp:posOffset>-180340</wp:posOffset>
              </wp:positionH>
              <wp:positionV relativeFrom="paragraph">
                <wp:posOffset>7620</wp:posOffset>
              </wp:positionV>
              <wp:extent cx="6357620" cy="14605"/>
              <wp:effectExtent l="10160" t="7620" r="13970" b="6350"/>
              <wp:wrapNone/>
              <wp:docPr id="27030107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9B9479"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C21F32">
      <w:rPr>
        <w:sz w:val="20"/>
        <w:szCs w:val="20"/>
        <w:lang w:val="uk-UA"/>
      </w:rPr>
      <w:t xml:space="preserve">Мастильні матеріали різні, код ДК 021:2015 - 09210000-4 - Мастильні засоби </w:t>
    </w:r>
  </w:p>
  <w:p w14:paraId="3278F5C2"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1921"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5295" w14:textId="77777777" w:rsidR="00B325EE" w:rsidRDefault="00B325EE">
      <w:r>
        <w:separator/>
      </w:r>
    </w:p>
  </w:footnote>
  <w:footnote w:type="continuationSeparator" w:id="0">
    <w:p w14:paraId="778BB7DB" w14:textId="77777777" w:rsidR="00B325EE" w:rsidRDefault="00B32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DCBB"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9C9E759"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7D0E" w14:textId="3A69A6E6" w:rsidR="002D6492" w:rsidRPr="003C4B6B" w:rsidRDefault="00035514"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79BBCA75" wp14:editId="2B175D79">
              <wp:simplePos x="0" y="0"/>
              <wp:positionH relativeFrom="column">
                <wp:posOffset>-17145</wp:posOffset>
              </wp:positionH>
              <wp:positionV relativeFrom="paragraph">
                <wp:posOffset>476885</wp:posOffset>
              </wp:positionV>
              <wp:extent cx="6329045" cy="13970"/>
              <wp:effectExtent l="11430" t="10160" r="12700" b="13970"/>
              <wp:wrapNone/>
              <wp:docPr id="69737217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EB4BE4"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3452F546" wp14:editId="745C0305">
          <wp:extent cx="1447800" cy="2857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proofErr w:type="spellStart"/>
    <w:r w:rsidR="00A256E7" w:rsidRPr="003C4B6B">
      <w:rPr>
        <w:sz w:val="20"/>
        <w:szCs w:val="20"/>
        <w:lang w:val="uk-UA"/>
      </w:rPr>
      <w:t>бґрунтування</w:t>
    </w:r>
    <w:proofErr w:type="spellEnd"/>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BF3D"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635765099">
    <w:abstractNumId w:val="20"/>
  </w:num>
  <w:num w:numId="2" w16cid:durableId="413665486">
    <w:abstractNumId w:val="22"/>
  </w:num>
  <w:num w:numId="3" w16cid:durableId="1849952226">
    <w:abstractNumId w:val="0"/>
  </w:num>
  <w:num w:numId="4" w16cid:durableId="128281957">
    <w:abstractNumId w:val="23"/>
  </w:num>
  <w:num w:numId="5" w16cid:durableId="2079477293">
    <w:abstractNumId w:val="7"/>
  </w:num>
  <w:num w:numId="6" w16cid:durableId="1499731237">
    <w:abstractNumId w:val="5"/>
  </w:num>
  <w:num w:numId="7" w16cid:durableId="1893810596">
    <w:abstractNumId w:val="6"/>
  </w:num>
  <w:num w:numId="8" w16cid:durableId="2147039595">
    <w:abstractNumId w:val="19"/>
  </w:num>
  <w:num w:numId="9" w16cid:durableId="209926548">
    <w:abstractNumId w:val="1"/>
  </w:num>
  <w:num w:numId="10" w16cid:durableId="871262149">
    <w:abstractNumId w:val="16"/>
  </w:num>
  <w:num w:numId="11" w16cid:durableId="1110856810">
    <w:abstractNumId w:val="14"/>
  </w:num>
  <w:num w:numId="12" w16cid:durableId="871769226">
    <w:abstractNumId w:val="12"/>
  </w:num>
  <w:num w:numId="13" w16cid:durableId="172114105">
    <w:abstractNumId w:val="13"/>
  </w:num>
  <w:num w:numId="14" w16cid:durableId="1258060809">
    <w:abstractNumId w:val="3"/>
  </w:num>
  <w:num w:numId="15" w16cid:durableId="645208309">
    <w:abstractNumId w:val="15"/>
  </w:num>
  <w:num w:numId="16" w16cid:durableId="778767914">
    <w:abstractNumId w:val="2"/>
  </w:num>
  <w:num w:numId="17" w16cid:durableId="644043395">
    <w:abstractNumId w:val="11"/>
  </w:num>
  <w:num w:numId="18" w16cid:durableId="876626225">
    <w:abstractNumId w:val="4"/>
  </w:num>
  <w:num w:numId="19" w16cid:durableId="643585490">
    <w:abstractNumId w:val="8"/>
  </w:num>
  <w:num w:numId="20" w16cid:durableId="584649890">
    <w:abstractNumId w:val="18"/>
  </w:num>
  <w:num w:numId="21" w16cid:durableId="1163425998">
    <w:abstractNumId w:val="9"/>
  </w:num>
  <w:num w:numId="22" w16cid:durableId="1054081567">
    <w:abstractNumId w:val="17"/>
  </w:num>
  <w:num w:numId="23" w16cid:durableId="162086879">
    <w:abstractNumId w:val="10"/>
  </w:num>
  <w:num w:numId="24" w16cid:durableId="93476810">
    <w:abstractNumId w:val="21"/>
  </w:num>
  <w:num w:numId="25" w16cid:durableId="539979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514"/>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3A"/>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C7914"/>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77D2E"/>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28A3"/>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5207"/>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003"/>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A3EB5"/>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5E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1F32"/>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73F03"/>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699"/>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2D4A"/>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0C57"/>
    <w:rsid w:val="00FB1C4F"/>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7CC34"/>
  <w15:chartTrackingRefBased/>
  <w15:docId w15:val="{6C135078-2125-4AB2-BCA6-AB12F757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 w:type="character" w:styleId="af9">
    <w:name w:val="Emphasis"/>
    <w:basedOn w:val="a0"/>
    <w:uiPriority w:val="20"/>
    <w:qFormat/>
    <w:rsid w:val="000C7914"/>
    <w:rPr>
      <w:i/>
      <w:iCs/>
    </w:rPr>
  </w:style>
  <w:style w:type="paragraph" w:styleId="afa">
    <w:name w:val="No Spacing"/>
    <w:basedOn w:val="a"/>
    <w:uiPriority w:val="1"/>
    <w:qFormat/>
    <w:rsid w:val="00277D2E"/>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ora-b@ukr.ne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ukrspecmasla@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krsmazcom@ukr.ne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c@energynet.com.u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neftehimsintez@ukr.ne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4379</Words>
  <Characters>2497</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Седюк Оксана Вікторівна</dc:creator>
  <cp:keywords/>
  <cp:lastModifiedBy>Рибак Тетяна Вікторівна</cp:lastModifiedBy>
  <cp:revision>8</cp:revision>
  <cp:lastPrinted>2021-11-17T09:02:00Z</cp:lastPrinted>
  <dcterms:created xsi:type="dcterms:W3CDTF">2025-11-25T14:46:00Z</dcterms:created>
  <dcterms:modified xsi:type="dcterms:W3CDTF">2025-12-10T13:15:00Z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