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0DCA69D6" w14:textId="77777777" w:rsidTr="001021AF">
        <w:tc>
          <w:tcPr>
            <w:tcW w:w="4683" w:type="dxa"/>
          </w:tcPr>
          <w:p w14:paraId="08B03294" w14:textId="2E9AC0D4" w:rsidR="00825A6B" w:rsidRPr="007101A5" w:rsidRDefault="00FE2412" w:rsidP="006926A0">
            <w:pPr>
              <w:pStyle w:val="a4"/>
              <w:widowControl w:val="0"/>
              <w:rPr>
                <w:szCs w:val="17"/>
                <w:lang w:val="uk-UA"/>
              </w:rPr>
            </w:pPr>
            <w:r>
              <w:rPr>
                <w:noProof/>
                <w:lang w:val="uk-UA"/>
              </w:rPr>
              <w:drawing>
                <wp:inline distT="0" distB="0" distL="0" distR="0" wp14:anchorId="0AE27E17" wp14:editId="32FD22A8">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6A910339"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58358908"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18D6E441"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6FF5E1E"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07C0F4B9" w14:textId="77777777" w:rsidTr="00C62708">
        <w:tc>
          <w:tcPr>
            <w:tcW w:w="9854" w:type="dxa"/>
            <w:gridSpan w:val="2"/>
          </w:tcPr>
          <w:p w14:paraId="294AEE6A" w14:textId="77777777" w:rsidR="003C4B6B" w:rsidRPr="007101A5" w:rsidRDefault="003C4B6B" w:rsidP="007D7B6F">
            <w:pPr>
              <w:pStyle w:val="1"/>
              <w:keepNext w:val="0"/>
              <w:widowControl w:val="0"/>
              <w:rPr>
                <w:sz w:val="28"/>
                <w:szCs w:val="28"/>
              </w:rPr>
            </w:pPr>
          </w:p>
          <w:p w14:paraId="3AA930C6"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0791A0D" w14:textId="77777777" w:rsidR="005F3529" w:rsidRPr="007101A5" w:rsidRDefault="005F3529" w:rsidP="0063471D">
      <w:pPr>
        <w:pStyle w:val="a4"/>
        <w:widowControl w:val="0"/>
        <w:jc w:val="both"/>
        <w:rPr>
          <w:sz w:val="24"/>
          <w:szCs w:val="24"/>
          <w:lang w:val="uk-UA"/>
        </w:rPr>
      </w:pPr>
    </w:p>
    <w:p w14:paraId="10E92B15"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C268D9C"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53751F36" w14:textId="77777777" w:rsidTr="00C62708">
        <w:tc>
          <w:tcPr>
            <w:tcW w:w="487" w:type="pct"/>
            <w:shd w:val="clear" w:color="auto" w:fill="DEEAF6"/>
          </w:tcPr>
          <w:p w14:paraId="4E13705D"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5ACA7FB1"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25919653"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5D40ACA4"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152BFC27"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06A584C7" w14:textId="77777777" w:rsidTr="00212515">
        <w:tc>
          <w:tcPr>
            <w:tcW w:w="487" w:type="pct"/>
          </w:tcPr>
          <w:p w14:paraId="4F3B398D" w14:textId="26EF5643" w:rsidR="00A76484" w:rsidRPr="007101A5" w:rsidRDefault="0066513A" w:rsidP="005469FD">
            <w:pPr>
              <w:widowControl w:val="0"/>
              <w:ind w:right="-11"/>
              <w:jc w:val="center"/>
              <w:rPr>
                <w:sz w:val="22"/>
                <w:szCs w:val="22"/>
                <w:lang w:val="uk-UA" w:eastAsia="uk-UA"/>
              </w:rPr>
            </w:pPr>
            <w:r>
              <w:rPr>
                <w:sz w:val="22"/>
                <w:szCs w:val="22"/>
                <w:lang w:val="uk-UA"/>
              </w:rPr>
              <w:t xml:space="preserve">9.13 </w:t>
            </w:r>
            <w:r w:rsidR="00BD6E95" w:rsidRPr="005641D4">
              <w:rPr>
                <w:sz w:val="22"/>
                <w:szCs w:val="22"/>
                <w:lang w:val="uk-UA" w:eastAsia="uk-UA"/>
              </w:rPr>
              <w:t>(202</w:t>
            </w:r>
            <w:r w:rsidR="00BE1D44" w:rsidRPr="005641D4">
              <w:rPr>
                <w:sz w:val="22"/>
                <w:szCs w:val="22"/>
                <w:lang w:val="en-US" w:eastAsia="uk-UA"/>
              </w:rPr>
              <w:t>5</w:t>
            </w:r>
            <w:r w:rsidR="00A76484" w:rsidRPr="005641D4">
              <w:rPr>
                <w:sz w:val="22"/>
                <w:szCs w:val="22"/>
                <w:lang w:val="uk-UA" w:eastAsia="uk-UA"/>
              </w:rPr>
              <w:t>)</w:t>
            </w:r>
          </w:p>
        </w:tc>
        <w:tc>
          <w:tcPr>
            <w:tcW w:w="1527" w:type="pct"/>
          </w:tcPr>
          <w:p w14:paraId="2E1BB562" w14:textId="1D449794" w:rsidR="00A76484" w:rsidRPr="007310C7" w:rsidRDefault="0066513A" w:rsidP="00A12478">
            <w:pPr>
              <w:widowControl w:val="0"/>
              <w:rPr>
                <w:bCs/>
                <w:sz w:val="22"/>
                <w:szCs w:val="22"/>
                <w:lang w:val="uk-UA"/>
              </w:rPr>
            </w:pPr>
            <w:r w:rsidRPr="007310C7">
              <w:rPr>
                <w:b/>
                <w:sz w:val="22"/>
                <w:szCs w:val="22"/>
                <w:lang w:val="uk-UA"/>
              </w:rPr>
              <w:t xml:space="preserve">Світлоповертальна плівка, </w:t>
            </w:r>
            <w:r w:rsidRPr="007310C7">
              <w:rPr>
                <w:bCs/>
                <w:sz w:val="22"/>
                <w:szCs w:val="22"/>
                <w:lang w:val="uk-UA"/>
              </w:rPr>
              <w:t>код ДК 021:2015 - 34990000-3 - Регулювальне, запобіжне, сигнальне та освітлювальне обладнання</w:t>
            </w:r>
            <w:r w:rsidRPr="007310C7">
              <w:rPr>
                <w:b/>
                <w:sz w:val="22"/>
                <w:szCs w:val="22"/>
                <w:lang w:val="uk-UA"/>
              </w:rPr>
              <w:t xml:space="preserve"> </w:t>
            </w:r>
          </w:p>
        </w:tc>
        <w:tc>
          <w:tcPr>
            <w:tcW w:w="947" w:type="pct"/>
          </w:tcPr>
          <w:p w14:paraId="780A3E4D" w14:textId="6AEEAE61" w:rsidR="00A76484" w:rsidRPr="007310C7" w:rsidRDefault="0066513A" w:rsidP="002D4D30">
            <w:pPr>
              <w:widowControl w:val="0"/>
              <w:jc w:val="center"/>
              <w:rPr>
                <w:sz w:val="22"/>
                <w:szCs w:val="22"/>
                <w:lang w:val="uk-UA"/>
              </w:rPr>
            </w:pPr>
            <w:r w:rsidRPr="007310C7">
              <w:rPr>
                <w:sz w:val="22"/>
                <w:szCs w:val="22"/>
                <w:lang w:val="uk-UA"/>
              </w:rPr>
              <w:t>40 307,00</w:t>
            </w:r>
            <w:r w:rsidR="00A76484" w:rsidRPr="007310C7">
              <w:rPr>
                <w:sz w:val="22"/>
                <w:szCs w:val="22"/>
                <w:lang w:val="uk-UA"/>
              </w:rPr>
              <w:t xml:space="preserve"> </w:t>
            </w:r>
          </w:p>
          <w:p w14:paraId="3C04F7AD" w14:textId="77777777" w:rsidR="00A76484" w:rsidRPr="007310C7" w:rsidRDefault="00A76484" w:rsidP="002D4D30">
            <w:pPr>
              <w:widowControl w:val="0"/>
              <w:jc w:val="center"/>
              <w:rPr>
                <w:sz w:val="22"/>
                <w:szCs w:val="22"/>
                <w:lang w:val="uk-UA"/>
              </w:rPr>
            </w:pPr>
            <w:r w:rsidRPr="007310C7">
              <w:rPr>
                <w:sz w:val="22"/>
                <w:szCs w:val="22"/>
                <w:lang w:val="uk-UA"/>
              </w:rPr>
              <w:t>грн. з ПДВ</w:t>
            </w:r>
          </w:p>
        </w:tc>
        <w:tc>
          <w:tcPr>
            <w:tcW w:w="1102" w:type="pct"/>
          </w:tcPr>
          <w:p w14:paraId="259E6A50" w14:textId="016B1FF4" w:rsidR="00A76484" w:rsidRPr="007310C7" w:rsidRDefault="00BE1D44" w:rsidP="002D4D30">
            <w:pPr>
              <w:widowControl w:val="0"/>
              <w:jc w:val="center"/>
              <w:rPr>
                <w:sz w:val="22"/>
                <w:szCs w:val="22"/>
                <w:lang w:val="en-US"/>
              </w:rPr>
            </w:pPr>
            <w:r w:rsidRPr="007310C7">
              <w:rPr>
                <w:sz w:val="22"/>
                <w:szCs w:val="22"/>
                <w:lang w:val="en-US"/>
              </w:rPr>
              <w:t>33</w:t>
            </w:r>
            <w:r w:rsidR="007310C7" w:rsidRPr="007310C7">
              <w:rPr>
                <w:sz w:val="22"/>
                <w:szCs w:val="22"/>
                <w:lang w:val="uk-UA"/>
              </w:rPr>
              <w:t> </w:t>
            </w:r>
            <w:r w:rsidRPr="007310C7">
              <w:rPr>
                <w:sz w:val="22"/>
                <w:szCs w:val="22"/>
                <w:lang w:val="en-US"/>
              </w:rPr>
              <w:t>589</w:t>
            </w:r>
            <w:r w:rsidR="007310C7" w:rsidRPr="007310C7">
              <w:rPr>
                <w:sz w:val="22"/>
                <w:szCs w:val="22"/>
                <w:lang w:val="uk-UA"/>
              </w:rPr>
              <w:t>,</w:t>
            </w:r>
            <w:r w:rsidRPr="007310C7">
              <w:rPr>
                <w:sz w:val="22"/>
                <w:szCs w:val="22"/>
                <w:lang w:val="en-US"/>
              </w:rPr>
              <w:t>17</w:t>
            </w:r>
          </w:p>
          <w:p w14:paraId="496136F5" w14:textId="77777777" w:rsidR="00A76484" w:rsidRPr="007310C7" w:rsidRDefault="00A76484" w:rsidP="002D4D30">
            <w:pPr>
              <w:widowControl w:val="0"/>
              <w:jc w:val="center"/>
              <w:rPr>
                <w:sz w:val="22"/>
                <w:szCs w:val="22"/>
                <w:lang w:val="uk-UA"/>
              </w:rPr>
            </w:pPr>
            <w:r w:rsidRPr="007310C7">
              <w:rPr>
                <w:sz w:val="22"/>
                <w:szCs w:val="22"/>
                <w:lang w:val="uk-UA"/>
              </w:rPr>
              <w:t xml:space="preserve">грн. без ПДВ </w:t>
            </w:r>
          </w:p>
        </w:tc>
        <w:tc>
          <w:tcPr>
            <w:tcW w:w="936" w:type="pct"/>
          </w:tcPr>
          <w:p w14:paraId="3186422D" w14:textId="7BEE8200" w:rsidR="00A76484" w:rsidRPr="0071554A" w:rsidRDefault="008724C5" w:rsidP="002D4D30">
            <w:pPr>
              <w:widowControl w:val="0"/>
              <w:jc w:val="center"/>
              <w:rPr>
                <w:bCs/>
                <w:color w:val="0000FF"/>
                <w:sz w:val="22"/>
                <w:szCs w:val="22"/>
                <w:lang w:val="uk-UA"/>
              </w:rPr>
            </w:pPr>
            <w:hyperlink r:id="rId9" w:history="1">
              <w:r w:rsidRPr="008724C5">
                <w:rPr>
                  <w:rStyle w:val="af"/>
                  <w:bCs/>
                  <w:sz w:val="22"/>
                  <w:szCs w:val="22"/>
                </w:rPr>
                <w:t>U</w:t>
              </w:r>
              <w:r w:rsidRPr="008724C5">
                <w:rPr>
                  <w:rStyle w:val="af"/>
                  <w:bCs/>
                  <w:sz w:val="22"/>
                  <w:szCs w:val="22"/>
                  <w:u w:val="none"/>
                </w:rPr>
                <w:t>A-2025-12-19-011396-a</w:t>
              </w:r>
            </w:hyperlink>
          </w:p>
        </w:tc>
      </w:tr>
    </w:tbl>
    <w:p w14:paraId="16E38443" w14:textId="77777777" w:rsidR="00A12478" w:rsidRPr="007101A5" w:rsidRDefault="00A12478" w:rsidP="0063471D">
      <w:pPr>
        <w:pStyle w:val="a4"/>
        <w:widowControl w:val="0"/>
        <w:jc w:val="both"/>
        <w:rPr>
          <w:sz w:val="24"/>
          <w:szCs w:val="24"/>
          <w:lang w:val="uk-UA"/>
        </w:rPr>
      </w:pPr>
    </w:p>
    <w:p w14:paraId="3155BA22"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40D2823E"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7101A5" w14:paraId="49AC121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6DB60D5"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91EC331" w14:textId="77777777" w:rsidR="008335E7" w:rsidRPr="00931F32" w:rsidRDefault="008335E7" w:rsidP="00C62708">
            <w:pPr>
              <w:rPr>
                <w:noProof/>
                <w:lang w:val="uk-UA"/>
              </w:rPr>
            </w:pPr>
            <w:r w:rsidRPr="00931F32">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5BA2D09" w14:textId="5A3A3099" w:rsidR="00BE1D44" w:rsidRPr="00931F32" w:rsidRDefault="00BE1D44" w:rsidP="00BE1D44">
            <w:pPr>
              <w:widowControl w:val="0"/>
              <w:jc w:val="both"/>
              <w:rPr>
                <w:noProof/>
                <w:lang w:val="uk-UA"/>
              </w:rPr>
            </w:pPr>
            <w:r w:rsidRPr="00931F32">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625EA80E" w14:textId="77777777" w:rsidR="00BE1D44" w:rsidRPr="00931F32" w:rsidRDefault="00BE1D44" w:rsidP="00BE1D44">
            <w:pPr>
              <w:widowControl w:val="0"/>
              <w:jc w:val="both"/>
              <w:rPr>
                <w:noProof/>
                <w:lang w:val="uk-UA"/>
              </w:rPr>
            </w:pPr>
            <w:r w:rsidRPr="00931F32">
              <w:rPr>
                <w:noProof/>
                <w:lang w:val="uk-UA"/>
              </w:rPr>
              <w:t xml:space="preserve">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7C32F348" w14:textId="13854083" w:rsidR="008335E7" w:rsidRPr="00931F32" w:rsidRDefault="00BE1D44" w:rsidP="00BE1D44">
            <w:pPr>
              <w:rPr>
                <w:i/>
                <w:noProof/>
                <w:lang w:val="uk-UA"/>
              </w:rPr>
            </w:pPr>
            <w:r w:rsidRPr="00931F32">
              <w:rPr>
                <w:noProof/>
                <w:lang w:val="uk-UA"/>
              </w:rPr>
              <w:t>Обсяги визначено відповідно до очікуваної потреби.</w:t>
            </w:r>
          </w:p>
        </w:tc>
      </w:tr>
      <w:tr w:rsidR="006F428D" w:rsidRPr="007101A5" w14:paraId="3FDF38B3" w14:textId="77777777" w:rsidTr="00931F32">
        <w:trPr>
          <w:trHeight w:val="1641"/>
        </w:trPr>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93F86E0"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5261CE3" w14:textId="77777777" w:rsidR="006F428D" w:rsidRPr="00931F32" w:rsidRDefault="006F428D" w:rsidP="00C62708">
            <w:pPr>
              <w:rPr>
                <w:noProof/>
                <w:lang w:val="uk-UA"/>
              </w:rPr>
            </w:pPr>
            <w:r w:rsidRPr="00931F32">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459A818" w14:textId="5B4DE62B" w:rsidR="00BE1D44" w:rsidRPr="00931F32" w:rsidRDefault="00BE1D44" w:rsidP="00BE1D44">
            <w:pPr>
              <w:widowControl w:val="0"/>
              <w:ind w:right="66"/>
              <w:jc w:val="both"/>
              <w:rPr>
                <w:noProof/>
                <w:lang w:val="uk-UA"/>
              </w:rPr>
            </w:pPr>
            <w:r w:rsidRPr="00931F32">
              <w:rPr>
                <w:noProof/>
                <w:lang w:val="uk-UA"/>
              </w:rPr>
              <w:t>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622EFE50" w14:textId="5E927AA2" w:rsidR="006F428D" w:rsidRPr="00931F32" w:rsidRDefault="00BE1D44" w:rsidP="00BE1D44">
            <w:pPr>
              <w:rPr>
                <w:i/>
                <w:noProof/>
                <w:lang w:val="uk-UA"/>
              </w:rPr>
            </w:pPr>
            <w:r w:rsidRPr="00931F32">
              <w:rPr>
                <w:noProof/>
                <w:lang w:val="uk-UA"/>
              </w:rPr>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7101A5" w14:paraId="5D93F62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18F0B9B" w14:textId="77777777" w:rsidR="006F428D" w:rsidRPr="007101A5" w:rsidRDefault="006F428D" w:rsidP="00C62708">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7BD3EAF" w14:textId="77777777" w:rsidR="006F428D" w:rsidRPr="00463C3D" w:rsidRDefault="006F428D" w:rsidP="00C62708">
            <w:pPr>
              <w:rPr>
                <w:noProof/>
                <w:lang w:val="uk-UA"/>
              </w:rPr>
            </w:pPr>
            <w:r w:rsidRPr="00463C3D">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D6AD774" w14:textId="6AAB60DD" w:rsidR="00463C3D" w:rsidRPr="00463C3D" w:rsidRDefault="00463C3D" w:rsidP="00463C3D">
            <w:pPr>
              <w:widowControl w:val="0"/>
              <w:jc w:val="both"/>
              <w:rPr>
                <w:noProof/>
                <w:lang w:val="uk-UA"/>
              </w:rPr>
            </w:pPr>
            <w:r w:rsidRPr="00463C3D">
              <w:rPr>
                <w:noProof/>
                <w:lang w:val="uk-UA"/>
              </w:rPr>
              <w:t>Розрахунок очікуваної вартості товару проводився методом порівняння ринкових цін за інформацією, що міститься у відкритих джерелах</w:t>
            </w:r>
            <w:r w:rsidR="00A16DE8">
              <w:rPr>
                <w:noProof/>
                <w:lang w:val="uk-UA"/>
              </w:rPr>
              <w:t xml:space="preserve">. </w:t>
            </w:r>
            <w:r w:rsidRPr="00463C3D">
              <w:rPr>
                <w:noProof/>
                <w:lang w:val="uk-UA"/>
              </w:rPr>
              <w:t>Для визначення вартості товару було взято інформацію з відкритих джерел:</w:t>
            </w:r>
          </w:p>
          <w:p w14:paraId="76D8376F" w14:textId="77777777" w:rsidR="00463C3D" w:rsidRPr="00463C3D" w:rsidRDefault="00463C3D" w:rsidP="00463C3D">
            <w:pPr>
              <w:widowControl w:val="0"/>
              <w:jc w:val="both"/>
              <w:rPr>
                <w:noProof/>
                <w:lang w:val="uk-UA"/>
              </w:rPr>
            </w:pPr>
            <w:r w:rsidRPr="00463C3D">
              <w:rPr>
                <w:noProof/>
                <w:lang w:val="uk-UA"/>
              </w:rPr>
              <w:t xml:space="preserve">Інтернет магазин </w:t>
            </w:r>
            <w:hyperlink r:id="rId10" w:history="1">
              <w:r w:rsidRPr="00463C3D">
                <w:rPr>
                  <w:rStyle w:val="af"/>
                  <w:noProof/>
                  <w:lang w:val="uk-UA"/>
                </w:rPr>
                <w:t>https://plastics.ua/</w:t>
              </w:r>
            </w:hyperlink>
          </w:p>
          <w:p w14:paraId="5FD3834D" w14:textId="77777777" w:rsidR="00463C3D" w:rsidRPr="00463C3D" w:rsidRDefault="00463C3D" w:rsidP="00463C3D">
            <w:pPr>
              <w:rPr>
                <w:rStyle w:val="af"/>
                <w:noProof/>
                <w:lang w:val="uk-UA"/>
              </w:rPr>
            </w:pPr>
            <w:r w:rsidRPr="00463C3D">
              <w:rPr>
                <w:noProof/>
                <w:lang w:val="uk-UA"/>
              </w:rPr>
              <w:lastRenderedPageBreak/>
              <w:t xml:space="preserve">Інтернет магазин </w:t>
            </w:r>
            <w:hyperlink r:id="rId11" w:history="1">
              <w:r w:rsidRPr="00463C3D">
                <w:rPr>
                  <w:rStyle w:val="af"/>
                  <w:noProof/>
                  <w:lang w:val="uk-UA"/>
                </w:rPr>
                <w:t>https://omart.com.ua/</w:t>
              </w:r>
            </w:hyperlink>
          </w:p>
          <w:p w14:paraId="5061030E" w14:textId="77777777" w:rsidR="00463C3D" w:rsidRPr="00463C3D" w:rsidRDefault="00463C3D" w:rsidP="00463C3D">
            <w:pPr>
              <w:rPr>
                <w:noProof/>
                <w:u w:val="single"/>
                <w:lang w:val="uk-UA" w:eastAsia="uk-UA"/>
              </w:rPr>
            </w:pPr>
            <w:r w:rsidRPr="00463C3D">
              <w:rPr>
                <w:noProof/>
                <w:lang w:val="uk-UA"/>
              </w:rPr>
              <w:t xml:space="preserve">Інтернет магазин </w:t>
            </w:r>
            <w:hyperlink r:id="rId12" w:history="1">
              <w:r w:rsidRPr="00463C3D">
                <w:rPr>
                  <w:rStyle w:val="af"/>
                  <w:noProof/>
                  <w:lang w:val="uk-UA" w:eastAsia="uk-UA"/>
                </w:rPr>
                <w:t>https://avtofilms.com.ua</w:t>
              </w:r>
            </w:hyperlink>
          </w:p>
          <w:p w14:paraId="521A7F56" w14:textId="55612678" w:rsidR="006F428D" w:rsidRPr="00463C3D" w:rsidRDefault="00463C3D" w:rsidP="00463C3D">
            <w:pPr>
              <w:rPr>
                <w:iCs/>
                <w:noProof/>
                <w:lang w:val="uk-UA"/>
              </w:rPr>
            </w:pPr>
            <w:r w:rsidRPr="00463C3D">
              <w:rPr>
                <w:noProof/>
                <w:lang w:val="uk-UA"/>
              </w:rPr>
              <w:t xml:space="preserve">Інтернет магазин </w:t>
            </w:r>
            <w:hyperlink r:id="rId13" w:history="1">
              <w:r w:rsidRPr="00463C3D">
                <w:rPr>
                  <w:rStyle w:val="af"/>
                  <w:noProof/>
                  <w:lang w:val="uk-UA"/>
                </w:rPr>
                <w:t>https://plenka.market</w:t>
              </w:r>
            </w:hyperlink>
          </w:p>
        </w:tc>
      </w:tr>
    </w:tbl>
    <w:p w14:paraId="10585127" w14:textId="77777777" w:rsidR="006F428D" w:rsidRPr="007101A5" w:rsidRDefault="006F428D" w:rsidP="00A12478">
      <w:pPr>
        <w:rPr>
          <w:b/>
          <w:lang w:val="uk-UA"/>
        </w:rPr>
      </w:pPr>
    </w:p>
    <w:p w14:paraId="272E041C" w14:textId="77777777" w:rsidR="006926A0" w:rsidRPr="007101A5" w:rsidRDefault="006926A0" w:rsidP="006926A0">
      <w:pPr>
        <w:ind w:firstLine="567"/>
        <w:jc w:val="both"/>
        <w:rPr>
          <w:sz w:val="28"/>
          <w:szCs w:val="28"/>
          <w:lang w:val="uk-UA"/>
        </w:rPr>
      </w:pPr>
      <w:r w:rsidRPr="007101A5">
        <w:rPr>
          <w:sz w:val="28"/>
          <w:szCs w:val="28"/>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B606FD4" w14:textId="77777777" w:rsidR="006F428D" w:rsidRPr="007101A5" w:rsidRDefault="006F428D" w:rsidP="00A12478">
      <w:pPr>
        <w:rPr>
          <w:b/>
          <w:lang w:val="uk-UA"/>
        </w:rPr>
      </w:pPr>
    </w:p>
    <w:tbl>
      <w:tblPr>
        <w:tblW w:w="10400" w:type="dxa"/>
        <w:tblInd w:w="-224" w:type="dxa"/>
        <w:tblLayout w:type="fixed"/>
        <w:tblCellMar>
          <w:top w:w="30" w:type="dxa"/>
          <w:left w:w="60" w:type="dxa"/>
          <w:bottom w:w="30" w:type="dxa"/>
          <w:right w:w="30" w:type="dxa"/>
        </w:tblCellMar>
        <w:tblLook w:val="0000" w:firstRow="0" w:lastRow="0" w:firstColumn="0" w:lastColumn="0" w:noHBand="0" w:noVBand="0"/>
      </w:tblPr>
      <w:tblGrid>
        <w:gridCol w:w="567"/>
        <w:gridCol w:w="1895"/>
        <w:gridCol w:w="1276"/>
        <w:gridCol w:w="1134"/>
        <w:gridCol w:w="5528"/>
      </w:tblGrid>
      <w:tr w:rsidR="00D1062F" w:rsidRPr="00C772CB" w14:paraId="45D4D6DC" w14:textId="77777777" w:rsidTr="00D1062F">
        <w:tc>
          <w:tcPr>
            <w:tcW w:w="567"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hemeFill="accent1" w:themeFillTint="33"/>
          </w:tcPr>
          <w:p w14:paraId="121D9196" w14:textId="77777777" w:rsidR="00D1062F" w:rsidRPr="00C772CB" w:rsidRDefault="00D1062F" w:rsidP="00CE37A8">
            <w:pPr>
              <w:widowControl w:val="0"/>
            </w:pPr>
            <w:r w:rsidRPr="00C772CB">
              <w:t>№ п/п</w:t>
            </w:r>
          </w:p>
        </w:tc>
        <w:tc>
          <w:tcPr>
            <w:tcW w:w="189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hemeFill="accent1" w:themeFillTint="33"/>
          </w:tcPr>
          <w:p w14:paraId="1366F4D2" w14:textId="77777777" w:rsidR="00D1062F" w:rsidRPr="00C772CB" w:rsidRDefault="00D1062F" w:rsidP="00CE37A8">
            <w:pPr>
              <w:widowControl w:val="0"/>
              <w:jc w:val="center"/>
              <w:rPr>
                <w:b/>
              </w:rPr>
            </w:pPr>
            <w:r w:rsidRPr="00C772CB">
              <w:rPr>
                <w:b/>
              </w:rPr>
              <w:t xml:space="preserve">Найменування </w:t>
            </w:r>
          </w:p>
          <w:p w14:paraId="6FCAE125" w14:textId="77777777" w:rsidR="00D1062F" w:rsidRPr="00C772CB" w:rsidRDefault="00D1062F" w:rsidP="00CE37A8">
            <w:pPr>
              <w:widowControl w:val="0"/>
              <w:jc w:val="center"/>
              <w:rPr>
                <w:b/>
              </w:rPr>
            </w:pPr>
            <w:r w:rsidRPr="00C772CB">
              <w:rPr>
                <w:b/>
              </w:rPr>
              <w:t xml:space="preserve">товару </w:t>
            </w:r>
          </w:p>
        </w:tc>
        <w:tc>
          <w:tcPr>
            <w:tcW w:w="127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hemeFill="accent1" w:themeFillTint="33"/>
          </w:tcPr>
          <w:p w14:paraId="78B1F087" w14:textId="16E468DC" w:rsidR="00D1062F" w:rsidRPr="00D1062F" w:rsidRDefault="00D1062F" w:rsidP="00CE37A8">
            <w:pPr>
              <w:widowControl w:val="0"/>
              <w:jc w:val="center"/>
              <w:rPr>
                <w:b/>
                <w:lang w:val="uk-UA"/>
              </w:rPr>
            </w:pPr>
            <w:r w:rsidRPr="00C772CB">
              <w:rPr>
                <w:b/>
              </w:rPr>
              <w:t>Од</w:t>
            </w:r>
            <w:r>
              <w:rPr>
                <w:b/>
                <w:lang w:val="uk-UA"/>
              </w:rPr>
              <w:t>иниця</w:t>
            </w:r>
          </w:p>
          <w:p w14:paraId="5D656FF7" w14:textId="77777777" w:rsidR="00D1062F" w:rsidRPr="00C772CB" w:rsidRDefault="00D1062F" w:rsidP="00CE37A8">
            <w:pPr>
              <w:widowControl w:val="0"/>
              <w:jc w:val="center"/>
              <w:rPr>
                <w:b/>
              </w:rPr>
            </w:pPr>
            <w:r w:rsidRPr="00C772CB">
              <w:rPr>
                <w:b/>
              </w:rPr>
              <w:t>виміру</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hemeFill="accent1" w:themeFillTint="33"/>
          </w:tcPr>
          <w:p w14:paraId="17853990" w14:textId="77777777" w:rsidR="00D1062F" w:rsidRPr="00C772CB" w:rsidRDefault="00D1062F" w:rsidP="00CE37A8">
            <w:pPr>
              <w:widowControl w:val="0"/>
              <w:jc w:val="center"/>
              <w:rPr>
                <w:b/>
              </w:rPr>
            </w:pPr>
            <w:r>
              <w:rPr>
                <w:b/>
              </w:rPr>
              <w:t>К-ть</w:t>
            </w:r>
          </w:p>
        </w:tc>
        <w:tc>
          <w:tcPr>
            <w:tcW w:w="5528"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hemeFill="accent1" w:themeFillTint="33"/>
          </w:tcPr>
          <w:p w14:paraId="6CFE1330" w14:textId="77777777" w:rsidR="00D1062F" w:rsidRPr="00C772CB" w:rsidRDefault="00D1062F" w:rsidP="00CE37A8">
            <w:pPr>
              <w:widowControl w:val="0"/>
              <w:jc w:val="center"/>
              <w:rPr>
                <w:b/>
              </w:rPr>
            </w:pPr>
            <w:r w:rsidRPr="00C772CB">
              <w:rPr>
                <w:b/>
              </w:rPr>
              <w:t>Технічні та якісні характеристики</w:t>
            </w:r>
          </w:p>
          <w:p w14:paraId="6A331C62" w14:textId="77777777" w:rsidR="00D1062F" w:rsidRPr="00C772CB" w:rsidRDefault="00D1062F" w:rsidP="00CE37A8">
            <w:pPr>
              <w:widowControl w:val="0"/>
              <w:jc w:val="center"/>
              <w:rPr>
                <w:b/>
                <w:sz w:val="16"/>
                <w:szCs w:val="16"/>
              </w:rPr>
            </w:pPr>
            <w:r w:rsidRPr="00C772CB">
              <w:rPr>
                <w:b/>
              </w:rPr>
              <w:t>(технічна специфікація)</w:t>
            </w:r>
          </w:p>
        </w:tc>
      </w:tr>
      <w:tr w:rsidR="00D1062F" w:rsidRPr="0016077C" w14:paraId="797139E4" w14:textId="77777777" w:rsidTr="00D1062F">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1143880C" w14:textId="77777777" w:rsidR="00D1062F" w:rsidRPr="00C772CB" w:rsidRDefault="00D1062F" w:rsidP="00CE37A8">
            <w:pPr>
              <w:suppressAutoHyphens/>
              <w:rPr>
                <w:b/>
                <w:bCs/>
              </w:rPr>
            </w:pPr>
            <w:r w:rsidRPr="00C772CB">
              <w:t>1</w:t>
            </w:r>
          </w:p>
        </w:tc>
        <w:tc>
          <w:tcPr>
            <w:tcW w:w="1895" w:type="dxa"/>
            <w:tcBorders>
              <w:top w:val="thickThinLargeGap" w:sz="6" w:space="0" w:color="000000"/>
              <w:left w:val="thickThinLargeGap" w:sz="6" w:space="0" w:color="000000"/>
              <w:bottom w:val="thickThinLargeGap" w:sz="6" w:space="0" w:color="000000"/>
              <w:right w:val="thickThinLargeGap" w:sz="6" w:space="0" w:color="000000"/>
            </w:tcBorders>
          </w:tcPr>
          <w:p w14:paraId="66C6EAD5" w14:textId="77777777" w:rsidR="00D1062F" w:rsidRPr="0016077C" w:rsidRDefault="00D1062F" w:rsidP="00CE37A8">
            <w:pPr>
              <w:suppressAutoHyphens/>
              <w:jc w:val="center"/>
            </w:pPr>
            <w:r w:rsidRPr="0016077C">
              <w:rPr>
                <w:rFonts w:eastAsiaTheme="minorHAnsi"/>
                <w:lang w:eastAsia="en-US"/>
              </w:rPr>
              <w:t>Світлоповертальна плівка</w:t>
            </w:r>
          </w:p>
          <w:p w14:paraId="782BC93D" w14:textId="77777777" w:rsidR="00D1062F" w:rsidRPr="0016077C" w:rsidRDefault="00D1062F" w:rsidP="00CE37A8"/>
          <w:p w14:paraId="42D41D86" w14:textId="77777777" w:rsidR="00D1062F" w:rsidRPr="0016077C" w:rsidRDefault="00D1062F" w:rsidP="00CE37A8"/>
          <w:p w14:paraId="5E7D7AF7" w14:textId="77777777" w:rsidR="00D1062F" w:rsidRPr="0016077C" w:rsidRDefault="00D1062F" w:rsidP="00CE37A8"/>
          <w:p w14:paraId="0EE3350B" w14:textId="77777777" w:rsidR="00D1062F" w:rsidRPr="0016077C" w:rsidRDefault="00D1062F" w:rsidP="00CE37A8"/>
        </w:tc>
        <w:tc>
          <w:tcPr>
            <w:tcW w:w="1276" w:type="dxa"/>
            <w:tcBorders>
              <w:top w:val="thickThinLargeGap" w:sz="6" w:space="0" w:color="000000"/>
              <w:left w:val="thickThinLargeGap" w:sz="6" w:space="0" w:color="000000"/>
              <w:bottom w:val="thickThinLargeGap" w:sz="6" w:space="0" w:color="000000"/>
              <w:right w:val="thickThinLargeGap" w:sz="6" w:space="0" w:color="000000"/>
            </w:tcBorders>
          </w:tcPr>
          <w:p w14:paraId="5E6E18DA" w14:textId="77777777" w:rsidR="00D1062F" w:rsidRPr="0016077C" w:rsidRDefault="00D1062F" w:rsidP="00CE37A8">
            <w:pPr>
              <w:suppressAutoHyphens/>
              <w:jc w:val="center"/>
            </w:pPr>
            <w:r w:rsidRPr="0016077C">
              <w:rPr>
                <w:rFonts w:eastAsiaTheme="minorHAnsi"/>
                <w:sz w:val="25"/>
                <w:szCs w:val="25"/>
                <w:lang w:eastAsia="en-US"/>
              </w:rPr>
              <w:t>м</w:t>
            </w:r>
            <w:r w:rsidRPr="0016077C">
              <w:rPr>
                <w:rFonts w:eastAsiaTheme="minorHAnsi"/>
                <w:sz w:val="16"/>
                <w:szCs w:val="16"/>
                <w:vertAlign w:val="superscript"/>
                <w:lang w:eastAsia="en-US"/>
              </w:rPr>
              <w:t>2</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40BC51A4" w14:textId="77777777" w:rsidR="00D1062F" w:rsidRPr="0016077C" w:rsidRDefault="00D1062F" w:rsidP="00CE37A8">
            <w:pPr>
              <w:suppressAutoHyphens/>
              <w:jc w:val="center"/>
            </w:pPr>
            <w:r w:rsidRPr="0016077C">
              <w:rPr>
                <w:rFonts w:eastAsiaTheme="minorHAnsi"/>
                <w:sz w:val="25"/>
                <w:szCs w:val="25"/>
                <w:lang w:eastAsia="en-US"/>
              </w:rPr>
              <w:t>26</w:t>
            </w:r>
          </w:p>
        </w:tc>
        <w:tc>
          <w:tcPr>
            <w:tcW w:w="5528" w:type="dxa"/>
            <w:tcBorders>
              <w:top w:val="thickThinLargeGap" w:sz="6" w:space="0" w:color="000000"/>
              <w:left w:val="thickThinLargeGap" w:sz="6" w:space="0" w:color="000000"/>
              <w:bottom w:val="thickThinLargeGap" w:sz="6" w:space="0" w:color="000000"/>
              <w:right w:val="thickThinLargeGap" w:sz="6" w:space="0" w:color="000000"/>
            </w:tcBorders>
          </w:tcPr>
          <w:p w14:paraId="1394D061" w14:textId="77777777" w:rsidR="00D1062F" w:rsidRPr="0016077C" w:rsidRDefault="00D1062F" w:rsidP="00CE37A8">
            <w:pPr>
              <w:autoSpaceDE w:val="0"/>
              <w:autoSpaceDN w:val="0"/>
              <w:adjustRightInd w:val="0"/>
              <w:ind w:right="119"/>
              <w:jc w:val="both"/>
              <w:rPr>
                <w:rFonts w:eastAsiaTheme="minorHAnsi"/>
                <w:lang w:eastAsia="en-US"/>
              </w:rPr>
            </w:pPr>
            <w:r w:rsidRPr="0016077C">
              <w:rPr>
                <w:rFonts w:eastAsiaTheme="minorHAnsi"/>
                <w:lang w:eastAsia="en-US"/>
              </w:rPr>
              <w:t>Колір – жовтий.</w:t>
            </w:r>
          </w:p>
          <w:p w14:paraId="4F0ADDDF" w14:textId="77777777" w:rsidR="00D1062F" w:rsidRPr="0016077C" w:rsidRDefault="00D1062F" w:rsidP="00CE37A8">
            <w:pPr>
              <w:autoSpaceDE w:val="0"/>
              <w:autoSpaceDN w:val="0"/>
              <w:adjustRightInd w:val="0"/>
              <w:ind w:right="119"/>
              <w:jc w:val="both"/>
              <w:rPr>
                <w:rFonts w:eastAsiaTheme="minorHAnsi"/>
                <w:lang w:eastAsia="en-US"/>
              </w:rPr>
            </w:pPr>
            <w:r w:rsidRPr="0016077C">
              <w:rPr>
                <w:rFonts w:eastAsiaTheme="minorHAnsi"/>
                <w:lang w:eastAsia="en-US"/>
              </w:rPr>
              <w:t>Стійка до механічного впливу</w:t>
            </w:r>
          </w:p>
          <w:p w14:paraId="6EEE9C89" w14:textId="77777777" w:rsidR="00D1062F" w:rsidRPr="0016077C" w:rsidRDefault="00D1062F" w:rsidP="00CE37A8">
            <w:pPr>
              <w:autoSpaceDE w:val="0"/>
              <w:autoSpaceDN w:val="0"/>
              <w:adjustRightInd w:val="0"/>
              <w:ind w:right="119"/>
              <w:jc w:val="both"/>
              <w:rPr>
                <w:rFonts w:eastAsiaTheme="minorHAnsi"/>
                <w:lang w:eastAsia="en-US"/>
              </w:rPr>
            </w:pPr>
            <w:r w:rsidRPr="0016077C">
              <w:rPr>
                <w:rFonts w:eastAsiaTheme="minorHAnsi"/>
                <w:lang w:eastAsia="en-US"/>
              </w:rPr>
              <w:t>та погодних факторів, УФ-променів, забруднень, вологи.</w:t>
            </w:r>
          </w:p>
          <w:p w14:paraId="52F81C85" w14:textId="77777777" w:rsidR="00D1062F" w:rsidRPr="0016077C" w:rsidRDefault="00D1062F" w:rsidP="00CE37A8">
            <w:pPr>
              <w:autoSpaceDE w:val="0"/>
              <w:autoSpaceDN w:val="0"/>
              <w:adjustRightInd w:val="0"/>
              <w:ind w:right="119"/>
              <w:jc w:val="both"/>
              <w:rPr>
                <w:rFonts w:eastAsiaTheme="minorHAnsi"/>
                <w:lang w:eastAsia="en-US"/>
              </w:rPr>
            </w:pPr>
            <w:r w:rsidRPr="0016077C">
              <w:rPr>
                <w:rFonts w:eastAsiaTheme="minorHAnsi"/>
                <w:lang w:eastAsia="en-US"/>
              </w:rPr>
              <w:t>Світлоповертаюча плівка ІІ-б</w:t>
            </w:r>
          </w:p>
          <w:p w14:paraId="136AF1C3" w14:textId="77777777" w:rsidR="00D1062F" w:rsidRPr="0016077C" w:rsidRDefault="00D1062F" w:rsidP="00CE37A8">
            <w:pPr>
              <w:autoSpaceDE w:val="0"/>
              <w:autoSpaceDN w:val="0"/>
              <w:adjustRightInd w:val="0"/>
              <w:ind w:right="119"/>
              <w:jc w:val="both"/>
              <w:rPr>
                <w:rFonts w:eastAsiaTheme="minorHAnsi"/>
                <w:lang w:eastAsia="en-US"/>
              </w:rPr>
            </w:pPr>
            <w:r w:rsidRPr="0016077C">
              <w:rPr>
                <w:rFonts w:eastAsiaTheme="minorHAnsi"/>
                <w:lang w:eastAsia="en-US"/>
              </w:rPr>
              <w:t>класу (з високою кольоростійкістю) або вище згідно п.8.1.2 ДСТУ</w:t>
            </w:r>
          </w:p>
          <w:p w14:paraId="08C97858" w14:textId="77777777" w:rsidR="00D1062F" w:rsidRPr="0016077C" w:rsidRDefault="00D1062F" w:rsidP="00CE37A8">
            <w:pPr>
              <w:autoSpaceDE w:val="0"/>
              <w:autoSpaceDN w:val="0"/>
              <w:adjustRightInd w:val="0"/>
              <w:ind w:right="119"/>
              <w:jc w:val="both"/>
              <w:rPr>
                <w:rFonts w:eastAsiaTheme="minorHAnsi"/>
                <w:lang w:eastAsia="en-US"/>
              </w:rPr>
            </w:pPr>
            <w:r w:rsidRPr="0016077C">
              <w:rPr>
                <w:rFonts w:eastAsiaTheme="minorHAnsi"/>
                <w:lang w:eastAsia="en-US"/>
              </w:rPr>
              <w:t>4100:2021. Фотометричні та кольорометричні характеристики відповідають вимогам п. 8.2 ДСТУ</w:t>
            </w:r>
          </w:p>
          <w:p w14:paraId="341A8BC8" w14:textId="77777777" w:rsidR="00D1062F" w:rsidRPr="0016077C" w:rsidRDefault="00D1062F" w:rsidP="00CE37A8">
            <w:pPr>
              <w:ind w:right="119"/>
              <w:jc w:val="both"/>
              <w:rPr>
                <w:rFonts w:eastAsia="Calibri"/>
              </w:rPr>
            </w:pPr>
            <w:r w:rsidRPr="0016077C">
              <w:rPr>
                <w:rFonts w:eastAsiaTheme="minorHAnsi"/>
                <w:lang w:eastAsia="en-US"/>
              </w:rPr>
              <w:t>4100:2021</w:t>
            </w:r>
          </w:p>
        </w:tc>
      </w:tr>
    </w:tbl>
    <w:p w14:paraId="712767DC" w14:textId="77777777" w:rsidR="006F428D" w:rsidRPr="007101A5" w:rsidRDefault="006F428D" w:rsidP="00A12478">
      <w:pPr>
        <w:rPr>
          <w:b/>
          <w:lang w:val="uk-UA"/>
        </w:rPr>
      </w:pPr>
    </w:p>
    <w:p w14:paraId="74B33A2E" w14:textId="77777777" w:rsidR="009165D1" w:rsidRPr="005F37AD" w:rsidRDefault="009165D1" w:rsidP="009165D1">
      <w:pPr>
        <w:jc w:val="both"/>
        <w:rPr>
          <w:b/>
          <w:bCs/>
          <w:sz w:val="22"/>
          <w:szCs w:val="22"/>
          <w:lang w:val="uk-UA" w:eastAsia="uk-UA"/>
        </w:rPr>
      </w:pPr>
      <w:r w:rsidRPr="005F37AD">
        <w:rPr>
          <w:b/>
          <w:bCs/>
          <w:sz w:val="22"/>
          <w:szCs w:val="22"/>
          <w:lang w:val="uk-UA"/>
        </w:rPr>
        <w:t>Додаткова інформація.</w:t>
      </w:r>
    </w:p>
    <w:p w14:paraId="1ACBEED3" w14:textId="77777777" w:rsidR="009165D1" w:rsidRPr="005F37AD" w:rsidRDefault="009165D1" w:rsidP="009165D1">
      <w:pPr>
        <w:jc w:val="both"/>
        <w:rPr>
          <w:sz w:val="22"/>
          <w:szCs w:val="22"/>
          <w:lang w:val="uk-UA"/>
        </w:rPr>
      </w:pPr>
      <w:r w:rsidRPr="005F37AD">
        <w:rPr>
          <w:b/>
          <w:bCs/>
          <w:sz w:val="22"/>
          <w:szCs w:val="22"/>
          <w:lang w:val="uk-UA"/>
        </w:rPr>
        <w:t>1.</w:t>
      </w:r>
      <w:r w:rsidRPr="005F37AD">
        <w:rPr>
          <w:sz w:val="22"/>
          <w:szCs w:val="22"/>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5F37AD">
        <w:rPr>
          <w:b/>
          <w:bCs/>
          <w:sz w:val="22"/>
          <w:szCs w:val="22"/>
          <w:lang w:val="uk-UA"/>
        </w:rPr>
        <w:t>біля кожного такого посилання вважати вираз «або еквівалент»</w:t>
      </w:r>
      <w:r w:rsidRPr="005F37AD">
        <w:rPr>
          <w:sz w:val="22"/>
          <w:szCs w:val="22"/>
          <w:lang w:val="uk-UA"/>
        </w:rPr>
        <w:t xml:space="preserve">. Таким чином вважається, що до кожного посилання додається вираз </w:t>
      </w:r>
      <w:r w:rsidRPr="005F37AD">
        <w:rPr>
          <w:b/>
          <w:bCs/>
          <w:sz w:val="22"/>
          <w:szCs w:val="22"/>
          <w:lang w:val="uk-UA"/>
        </w:rPr>
        <w:t>«або еквівалент»</w:t>
      </w:r>
      <w:r w:rsidRPr="005F37AD">
        <w:rPr>
          <w:sz w:val="22"/>
          <w:szCs w:val="22"/>
          <w:lang w:val="uk-UA"/>
        </w:rPr>
        <w:t xml:space="preserve">. </w:t>
      </w:r>
    </w:p>
    <w:p w14:paraId="1C95CEB9" w14:textId="77777777" w:rsidR="009165D1" w:rsidRPr="005F37AD" w:rsidRDefault="009165D1" w:rsidP="009165D1">
      <w:pPr>
        <w:jc w:val="both"/>
        <w:rPr>
          <w:sz w:val="22"/>
          <w:szCs w:val="22"/>
          <w:lang w:val="uk-UA"/>
        </w:rPr>
      </w:pPr>
      <w:r w:rsidRPr="005F37AD">
        <w:rPr>
          <w:sz w:val="22"/>
          <w:szCs w:val="22"/>
          <w:lang w:val="uk-UA"/>
        </w:rPr>
        <w:t xml:space="preserve">У місцях, де технічна специфікація містить посилання </w:t>
      </w:r>
      <w:r w:rsidRPr="005F37AD">
        <w:rPr>
          <w:sz w:val="22"/>
          <w:szCs w:val="22"/>
          <w:vertAlign w:val="superscript"/>
          <w:lang w:val="uk-UA"/>
        </w:rPr>
        <w:t>1)</w:t>
      </w:r>
      <w:r w:rsidRPr="005F37AD">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5F37AD">
        <w:rPr>
          <w:b/>
          <w:bCs/>
          <w:sz w:val="22"/>
          <w:szCs w:val="22"/>
          <w:lang w:val="uk-UA"/>
        </w:rPr>
        <w:t>вважати наявним вираз «або еквівалент»</w:t>
      </w:r>
      <w:r w:rsidRPr="005F37AD">
        <w:rPr>
          <w:sz w:val="22"/>
          <w:szCs w:val="22"/>
          <w:lang w:val="uk-UA"/>
        </w:rPr>
        <w:t xml:space="preserve">. Таким чином вважається, що до кожного посилання додається вираз «або еквівалент» </w:t>
      </w:r>
      <w:r w:rsidRPr="005F37AD">
        <w:rPr>
          <w:b/>
          <w:bCs/>
          <w:i/>
          <w:iCs/>
          <w:sz w:val="22"/>
          <w:szCs w:val="22"/>
          <w:lang w:val="uk-UA"/>
        </w:rPr>
        <w:t>(</w:t>
      </w:r>
      <w:r w:rsidRPr="005F37AD">
        <w:rPr>
          <w:b/>
          <w:bCs/>
          <w:i/>
          <w:iCs/>
          <w:sz w:val="22"/>
          <w:szCs w:val="22"/>
          <w:vertAlign w:val="superscript"/>
          <w:lang w:val="uk-UA"/>
        </w:rPr>
        <w:t>1)</w:t>
      </w:r>
      <w:r w:rsidRPr="005F37AD">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5F37AD">
        <w:rPr>
          <w:sz w:val="22"/>
          <w:szCs w:val="22"/>
          <w:lang w:val="uk-UA"/>
        </w:rPr>
        <w:t xml:space="preserve">. </w:t>
      </w:r>
    </w:p>
    <w:p w14:paraId="3A286048" w14:textId="77777777" w:rsidR="009165D1" w:rsidRPr="006724CA" w:rsidRDefault="009165D1" w:rsidP="009165D1">
      <w:pPr>
        <w:autoSpaceDE w:val="0"/>
        <w:autoSpaceDN w:val="0"/>
        <w:ind w:firstLine="709"/>
        <w:jc w:val="both"/>
        <w:rPr>
          <w:color w:val="000000"/>
          <w:sz w:val="26"/>
          <w:szCs w:val="26"/>
          <w:lang w:val="uk-UA"/>
        </w:rPr>
      </w:pPr>
      <w:r w:rsidRPr="005F37AD">
        <w:rPr>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5F37AD">
        <w:rPr>
          <w:b/>
          <w:bCs/>
          <w:sz w:val="22"/>
          <w:szCs w:val="22"/>
          <w:lang w:val="uk-UA"/>
        </w:rPr>
        <w:t>Додатку 1</w:t>
      </w:r>
      <w:r w:rsidRPr="005F37AD">
        <w:rPr>
          <w:sz w:val="22"/>
          <w:szCs w:val="22"/>
          <w:lang w:val="uk-UA"/>
        </w:rPr>
        <w:t xml:space="preserve"> технічним та якісним характеристикам предмета закупівлі).</w:t>
      </w:r>
    </w:p>
    <w:p w14:paraId="3A02722A"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F318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4C02" w14:textId="77777777" w:rsidR="008C0461" w:rsidRDefault="008C0461">
      <w:r>
        <w:separator/>
      </w:r>
    </w:p>
  </w:endnote>
  <w:endnote w:type="continuationSeparator" w:id="0">
    <w:p w14:paraId="6AC7B27C" w14:textId="77777777" w:rsidR="008C0461" w:rsidRDefault="008C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B46F"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ECC8" w14:textId="0806EB45" w:rsidR="00A256E7" w:rsidRPr="00A256E7" w:rsidRDefault="00FE2412"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4DEAF995" wp14:editId="2C7B0F4E">
              <wp:simplePos x="0" y="0"/>
              <wp:positionH relativeFrom="column">
                <wp:posOffset>-180340</wp:posOffset>
              </wp:positionH>
              <wp:positionV relativeFrom="paragraph">
                <wp:posOffset>7620</wp:posOffset>
              </wp:positionV>
              <wp:extent cx="6357620" cy="14605"/>
              <wp:effectExtent l="10160" t="7620" r="13970" b="6350"/>
              <wp:wrapNone/>
              <wp:docPr id="43247975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4E17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66513A">
      <w:rPr>
        <w:sz w:val="20"/>
        <w:szCs w:val="20"/>
        <w:lang w:val="uk-UA"/>
      </w:rPr>
      <w:t xml:space="preserve">Світлоповертальна плівка, код ДК 021:2015 - 34990000-3 - Регулювальне, запобіжне, сигнальне та освітлювальне обладнання </w:t>
    </w:r>
  </w:p>
  <w:p w14:paraId="733D844D"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721"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470C" w14:textId="77777777" w:rsidR="008C0461" w:rsidRDefault="008C0461">
      <w:r>
        <w:separator/>
      </w:r>
    </w:p>
  </w:footnote>
  <w:footnote w:type="continuationSeparator" w:id="0">
    <w:p w14:paraId="0E4DEBDE" w14:textId="77777777" w:rsidR="008C0461" w:rsidRDefault="008C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3496"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A1D4225"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B84A" w14:textId="57DEED06" w:rsidR="002D6492" w:rsidRPr="003C4B6B" w:rsidRDefault="00FE2412"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1A875794" wp14:editId="41DD0A3F">
              <wp:simplePos x="0" y="0"/>
              <wp:positionH relativeFrom="column">
                <wp:posOffset>-17145</wp:posOffset>
              </wp:positionH>
              <wp:positionV relativeFrom="paragraph">
                <wp:posOffset>476885</wp:posOffset>
              </wp:positionV>
              <wp:extent cx="6329045" cy="13970"/>
              <wp:effectExtent l="11430" t="10160" r="12700" b="13970"/>
              <wp:wrapNone/>
              <wp:docPr id="19302024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93294"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553784B5" wp14:editId="1AAA3DCD">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F09B"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70472079">
    <w:abstractNumId w:val="20"/>
  </w:num>
  <w:num w:numId="2" w16cid:durableId="607855186">
    <w:abstractNumId w:val="22"/>
  </w:num>
  <w:num w:numId="3" w16cid:durableId="1658874333">
    <w:abstractNumId w:val="0"/>
  </w:num>
  <w:num w:numId="4" w16cid:durableId="214971038">
    <w:abstractNumId w:val="23"/>
  </w:num>
  <w:num w:numId="5" w16cid:durableId="577403677">
    <w:abstractNumId w:val="7"/>
  </w:num>
  <w:num w:numId="6" w16cid:durableId="1556240212">
    <w:abstractNumId w:val="5"/>
  </w:num>
  <w:num w:numId="7" w16cid:durableId="1966958824">
    <w:abstractNumId w:val="6"/>
  </w:num>
  <w:num w:numId="8" w16cid:durableId="1685401327">
    <w:abstractNumId w:val="19"/>
  </w:num>
  <w:num w:numId="9" w16cid:durableId="1370493988">
    <w:abstractNumId w:val="1"/>
  </w:num>
  <w:num w:numId="10" w16cid:durableId="1589387708">
    <w:abstractNumId w:val="16"/>
  </w:num>
  <w:num w:numId="11" w16cid:durableId="1469588863">
    <w:abstractNumId w:val="14"/>
  </w:num>
  <w:num w:numId="12" w16cid:durableId="708143373">
    <w:abstractNumId w:val="12"/>
  </w:num>
  <w:num w:numId="13" w16cid:durableId="1800297580">
    <w:abstractNumId w:val="13"/>
  </w:num>
  <w:num w:numId="14" w16cid:durableId="1559053244">
    <w:abstractNumId w:val="3"/>
  </w:num>
  <w:num w:numId="15" w16cid:durableId="1488127607">
    <w:abstractNumId w:val="15"/>
  </w:num>
  <w:num w:numId="16" w16cid:durableId="1143620307">
    <w:abstractNumId w:val="2"/>
  </w:num>
  <w:num w:numId="17" w16cid:durableId="1245451705">
    <w:abstractNumId w:val="11"/>
  </w:num>
  <w:num w:numId="18" w16cid:durableId="535851225">
    <w:abstractNumId w:val="4"/>
  </w:num>
  <w:num w:numId="19" w16cid:durableId="2077513966">
    <w:abstractNumId w:val="8"/>
  </w:num>
  <w:num w:numId="20" w16cid:durableId="2056850258">
    <w:abstractNumId w:val="18"/>
  </w:num>
  <w:num w:numId="21" w16cid:durableId="208149127">
    <w:abstractNumId w:val="9"/>
  </w:num>
  <w:num w:numId="22" w16cid:durableId="1875731544">
    <w:abstractNumId w:val="17"/>
  </w:num>
  <w:num w:numId="23" w16cid:durableId="1382099638">
    <w:abstractNumId w:val="10"/>
  </w:num>
  <w:num w:numId="24" w16cid:durableId="916937024">
    <w:abstractNumId w:val="21"/>
  </w:num>
  <w:num w:numId="25" w16cid:durableId="7335108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E6D0C"/>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123C"/>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0BBA"/>
    <w:rsid w:val="00462D5F"/>
    <w:rsid w:val="00463435"/>
    <w:rsid w:val="00463C3D"/>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152CD"/>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641D4"/>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13A"/>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554A"/>
    <w:rsid w:val="0071685D"/>
    <w:rsid w:val="00720246"/>
    <w:rsid w:val="00720E5B"/>
    <w:rsid w:val="00720E83"/>
    <w:rsid w:val="007210CC"/>
    <w:rsid w:val="00722294"/>
    <w:rsid w:val="0072257C"/>
    <w:rsid w:val="00722D49"/>
    <w:rsid w:val="007242DC"/>
    <w:rsid w:val="007243E4"/>
    <w:rsid w:val="0072562B"/>
    <w:rsid w:val="0072771A"/>
    <w:rsid w:val="00727B64"/>
    <w:rsid w:val="007310C7"/>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175FB"/>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24C5"/>
    <w:rsid w:val="00876405"/>
    <w:rsid w:val="00877D16"/>
    <w:rsid w:val="00880849"/>
    <w:rsid w:val="00880EFD"/>
    <w:rsid w:val="00881B73"/>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0461"/>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1F32"/>
    <w:rsid w:val="009321CC"/>
    <w:rsid w:val="00932671"/>
    <w:rsid w:val="0093560E"/>
    <w:rsid w:val="0093572C"/>
    <w:rsid w:val="00935A01"/>
    <w:rsid w:val="009376FA"/>
    <w:rsid w:val="009404CA"/>
    <w:rsid w:val="00940603"/>
    <w:rsid w:val="009416C0"/>
    <w:rsid w:val="0094232D"/>
    <w:rsid w:val="00942CD0"/>
    <w:rsid w:val="00943EDE"/>
    <w:rsid w:val="00945475"/>
    <w:rsid w:val="00946383"/>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2569"/>
    <w:rsid w:val="009C4C16"/>
    <w:rsid w:val="009C602E"/>
    <w:rsid w:val="009C6964"/>
    <w:rsid w:val="009C6F32"/>
    <w:rsid w:val="009C723F"/>
    <w:rsid w:val="009C72AB"/>
    <w:rsid w:val="009D1258"/>
    <w:rsid w:val="009D1D54"/>
    <w:rsid w:val="009D40B3"/>
    <w:rsid w:val="009D4164"/>
    <w:rsid w:val="009D4F61"/>
    <w:rsid w:val="009D67D5"/>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6DE8"/>
    <w:rsid w:val="00A17F19"/>
    <w:rsid w:val="00A20E43"/>
    <w:rsid w:val="00A2149B"/>
    <w:rsid w:val="00A2180B"/>
    <w:rsid w:val="00A2215B"/>
    <w:rsid w:val="00A227AF"/>
    <w:rsid w:val="00A23182"/>
    <w:rsid w:val="00A2408B"/>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5AB"/>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1D44"/>
    <w:rsid w:val="00BE49E0"/>
    <w:rsid w:val="00BE62EE"/>
    <w:rsid w:val="00BE7534"/>
    <w:rsid w:val="00BF04B4"/>
    <w:rsid w:val="00BF0AB0"/>
    <w:rsid w:val="00BF1C5F"/>
    <w:rsid w:val="00BF708E"/>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62F"/>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227"/>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2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1FDE"/>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2412"/>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C7FBA"/>
  <w15:chartTrackingRefBased/>
  <w15:docId w15:val="{47F69D1A-3216-4B53-88F5-D7DED2B3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Unresolved Mention"/>
    <w:basedOn w:val="a0"/>
    <w:uiPriority w:val="99"/>
    <w:semiHidden/>
    <w:unhideWhenUsed/>
    <w:rsid w:val="0087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enka.mark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vtofilms.com.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mart.com.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lastics.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rozorro.gov.ua/tender/UA-2025-12-19-011396-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3149</Words>
  <Characters>1796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2</cp:revision>
  <cp:lastPrinted>2021-11-17T09:02:00Z</cp:lastPrinted>
  <dcterms:created xsi:type="dcterms:W3CDTF">2025-12-19T13:27:00Z</dcterms:created>
  <dcterms:modified xsi:type="dcterms:W3CDTF">2025-12-19T13:27:00Z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