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982790" w14:paraId="615B2A66" w14:textId="77777777" w:rsidTr="001021AF">
        <w:tc>
          <w:tcPr>
            <w:tcW w:w="4683" w:type="dxa"/>
          </w:tcPr>
          <w:p w14:paraId="374AF9AD" w14:textId="08FC5C49" w:rsidR="00825A6B" w:rsidRPr="00982790" w:rsidRDefault="00D51905" w:rsidP="006926A0">
            <w:pPr>
              <w:pStyle w:val="a4"/>
              <w:widowControl w:val="0"/>
              <w:rPr>
                <w:noProof/>
                <w:szCs w:val="17"/>
                <w:lang w:val="uk-UA"/>
              </w:rPr>
            </w:pPr>
            <w:r w:rsidRPr="00982790">
              <w:rPr>
                <w:noProof/>
                <w:lang w:val="uk-UA"/>
              </w:rPr>
              <w:drawing>
                <wp:inline distT="0" distB="0" distL="0" distR="0" wp14:anchorId="63644C36" wp14:editId="546D2101">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443C88DC" w14:textId="6E133412" w:rsidR="00825A6B" w:rsidRPr="004B6644" w:rsidRDefault="004B6644" w:rsidP="005030B9">
            <w:pPr>
              <w:widowControl w:val="0"/>
              <w:autoSpaceDE w:val="0"/>
              <w:autoSpaceDN w:val="0"/>
              <w:adjustRightInd w:val="0"/>
              <w:rPr>
                <w:b/>
                <w:bCs/>
                <w:noProof/>
                <w:lang w:val="uk-UA"/>
              </w:rPr>
            </w:pPr>
            <w:r w:rsidRPr="004B6644">
              <w:rPr>
                <w:rFonts w:ascii="Times New Roman CYR" w:hAnsi="Times New Roman CYR"/>
                <w:b/>
                <w:bCs/>
                <w:noProof/>
                <w:lang w:val="uk-UA"/>
              </w:rPr>
              <w:t xml:space="preserve">ДП МА </w:t>
            </w:r>
            <w:r w:rsidR="006926A0" w:rsidRPr="004B6644">
              <w:rPr>
                <w:b/>
                <w:bCs/>
                <w:noProof/>
                <w:lang w:val="uk-UA"/>
              </w:rPr>
              <w:t>«БОРИСПІЛЬ»</w:t>
            </w:r>
            <w:r w:rsidRPr="004B6644">
              <w:rPr>
                <w:b/>
                <w:bCs/>
                <w:noProof/>
                <w:lang w:val="uk-UA"/>
              </w:rPr>
              <w:t xml:space="preserve">, </w:t>
            </w:r>
            <w:r w:rsidR="006926A0" w:rsidRPr="004B6644">
              <w:rPr>
                <w:b/>
                <w:bCs/>
                <w:noProof/>
                <w:lang w:val="uk-UA"/>
              </w:rPr>
              <w:t>код 20572069</w:t>
            </w:r>
          </w:p>
        </w:tc>
      </w:tr>
      <w:tr w:rsidR="001021AF" w:rsidRPr="00982790" w14:paraId="1DB27AD8" w14:textId="77777777" w:rsidTr="00C62708">
        <w:tc>
          <w:tcPr>
            <w:tcW w:w="9854" w:type="dxa"/>
            <w:gridSpan w:val="2"/>
          </w:tcPr>
          <w:p w14:paraId="65C5A81E" w14:textId="77777777" w:rsidR="005030B9" w:rsidRDefault="005030B9" w:rsidP="007D7B6F">
            <w:pPr>
              <w:pStyle w:val="1"/>
              <w:keepNext w:val="0"/>
              <w:widowControl w:val="0"/>
              <w:rPr>
                <w:b w:val="0"/>
                <w:noProof/>
                <w:sz w:val="28"/>
                <w:szCs w:val="28"/>
              </w:rPr>
            </w:pPr>
          </w:p>
          <w:p w14:paraId="39341265" w14:textId="7A2E8588" w:rsidR="001021AF" w:rsidRPr="00982790" w:rsidRDefault="007D7B6F" w:rsidP="007D7B6F">
            <w:pPr>
              <w:pStyle w:val="1"/>
              <w:keepNext w:val="0"/>
              <w:widowControl w:val="0"/>
              <w:rPr>
                <w:b w:val="0"/>
                <w:noProof/>
              </w:rPr>
            </w:pPr>
            <w:r w:rsidRPr="00982790">
              <w:rPr>
                <w:b w:val="0"/>
                <w:noProof/>
                <w:sz w:val="28"/>
                <w:szCs w:val="28"/>
              </w:rPr>
              <w:t>Обґрунтування технічних та якісних характеристик предмета закупівлі та очікуваної вартості предмета закупівлі</w:t>
            </w:r>
          </w:p>
        </w:tc>
      </w:tr>
    </w:tbl>
    <w:p w14:paraId="631F80B7" w14:textId="77777777" w:rsidR="005F3529" w:rsidRPr="00982790" w:rsidRDefault="005F3529" w:rsidP="0063471D">
      <w:pPr>
        <w:pStyle w:val="a4"/>
        <w:widowControl w:val="0"/>
        <w:jc w:val="both"/>
        <w:rPr>
          <w:noProof/>
          <w:sz w:val="24"/>
          <w:szCs w:val="24"/>
          <w:lang w:val="uk-UA"/>
        </w:rPr>
      </w:pPr>
    </w:p>
    <w:p w14:paraId="4A99DAED" w14:textId="77777777" w:rsidR="007D7B6F" w:rsidRPr="00982790" w:rsidRDefault="003C4B6B" w:rsidP="0063471D">
      <w:pPr>
        <w:pStyle w:val="a4"/>
        <w:widowControl w:val="0"/>
        <w:jc w:val="both"/>
        <w:rPr>
          <w:noProof/>
          <w:sz w:val="24"/>
          <w:szCs w:val="24"/>
          <w:lang w:val="uk-UA"/>
        </w:rPr>
      </w:pPr>
      <w:r w:rsidRPr="00982790">
        <w:rPr>
          <w:noProof/>
          <w:sz w:val="24"/>
          <w:szCs w:val="24"/>
          <w:lang w:val="uk-UA"/>
        </w:rPr>
        <w:t xml:space="preserve">Підстава: </w:t>
      </w:r>
      <w:r w:rsidR="007D7B6F" w:rsidRPr="00982790">
        <w:rPr>
          <w:noProof/>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0B7085E6" w14:textId="77777777" w:rsidR="009F35DC" w:rsidRPr="00982790" w:rsidRDefault="009F35DC" w:rsidP="00440A74">
      <w:pPr>
        <w:widowControl w:val="0"/>
        <w:shd w:val="clear" w:color="auto" w:fill="FFFFFF"/>
        <w:ind w:firstLine="708"/>
        <w:contextualSpacing/>
        <w:jc w:val="both"/>
        <w:rPr>
          <w:noProof/>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982790" w14:paraId="5CE3D230" w14:textId="77777777" w:rsidTr="00C62708">
        <w:tc>
          <w:tcPr>
            <w:tcW w:w="487" w:type="pct"/>
            <w:shd w:val="clear" w:color="auto" w:fill="DEEAF6"/>
          </w:tcPr>
          <w:p w14:paraId="76CD8D30" w14:textId="77777777" w:rsidR="00A76484" w:rsidRPr="00982790" w:rsidRDefault="00A76484" w:rsidP="002D4D30">
            <w:pPr>
              <w:widowControl w:val="0"/>
              <w:contextualSpacing/>
              <w:jc w:val="center"/>
              <w:rPr>
                <w:noProof/>
                <w:sz w:val="22"/>
                <w:szCs w:val="22"/>
                <w:lang w:val="uk-UA"/>
              </w:rPr>
            </w:pPr>
            <w:r w:rsidRPr="00982790">
              <w:rPr>
                <w:noProof/>
                <w:sz w:val="22"/>
                <w:szCs w:val="22"/>
                <w:lang w:val="uk-UA"/>
              </w:rPr>
              <w:t>Пункт Кошторису</w:t>
            </w:r>
          </w:p>
        </w:tc>
        <w:tc>
          <w:tcPr>
            <w:tcW w:w="1527" w:type="pct"/>
            <w:shd w:val="clear" w:color="auto" w:fill="DEEAF6"/>
          </w:tcPr>
          <w:p w14:paraId="46AE52F6" w14:textId="77777777" w:rsidR="00A76484" w:rsidRPr="00982790" w:rsidRDefault="00A76484" w:rsidP="002D4D30">
            <w:pPr>
              <w:widowControl w:val="0"/>
              <w:contextualSpacing/>
              <w:jc w:val="center"/>
              <w:rPr>
                <w:noProof/>
                <w:sz w:val="22"/>
                <w:szCs w:val="22"/>
                <w:lang w:val="uk-UA"/>
              </w:rPr>
            </w:pPr>
            <w:r w:rsidRPr="00982790">
              <w:rPr>
                <w:noProof/>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28B19032" w14:textId="77777777" w:rsidR="00A76484" w:rsidRPr="00982790" w:rsidRDefault="00A76484" w:rsidP="00DB2D70">
            <w:pPr>
              <w:widowControl w:val="0"/>
              <w:contextualSpacing/>
              <w:jc w:val="center"/>
              <w:rPr>
                <w:noProof/>
                <w:sz w:val="22"/>
                <w:szCs w:val="22"/>
                <w:lang w:val="uk-UA"/>
              </w:rPr>
            </w:pPr>
            <w:r w:rsidRPr="00982790">
              <w:rPr>
                <w:noProof/>
                <w:sz w:val="22"/>
                <w:szCs w:val="22"/>
                <w:lang w:val="uk-UA"/>
              </w:rPr>
              <w:t>Очікувана варт</w:t>
            </w:r>
            <w:r w:rsidR="00DB2D70" w:rsidRPr="00982790">
              <w:rPr>
                <w:noProof/>
                <w:sz w:val="22"/>
                <w:szCs w:val="22"/>
                <w:lang w:val="uk-UA"/>
              </w:rPr>
              <w:t>ість предмета закупівлі згідно р</w:t>
            </w:r>
            <w:r w:rsidRPr="00982790">
              <w:rPr>
                <w:noProof/>
                <w:sz w:val="22"/>
                <w:szCs w:val="22"/>
                <w:lang w:val="uk-UA"/>
              </w:rPr>
              <w:t>ічного плану закупівель</w:t>
            </w:r>
          </w:p>
        </w:tc>
        <w:tc>
          <w:tcPr>
            <w:tcW w:w="1102" w:type="pct"/>
            <w:shd w:val="clear" w:color="auto" w:fill="DEEAF6"/>
          </w:tcPr>
          <w:p w14:paraId="3EF58610" w14:textId="77777777" w:rsidR="00A76484" w:rsidRPr="00982790" w:rsidRDefault="00A76484" w:rsidP="002D4D30">
            <w:pPr>
              <w:widowControl w:val="0"/>
              <w:contextualSpacing/>
              <w:jc w:val="center"/>
              <w:rPr>
                <w:noProof/>
                <w:sz w:val="22"/>
                <w:szCs w:val="22"/>
                <w:lang w:val="uk-UA"/>
              </w:rPr>
            </w:pPr>
            <w:r w:rsidRPr="00982790">
              <w:rPr>
                <w:noProof/>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6C24DA9E" w14:textId="77777777" w:rsidR="00A76484" w:rsidRPr="00982790" w:rsidRDefault="00A355EA" w:rsidP="002D4D30">
            <w:pPr>
              <w:widowControl w:val="0"/>
              <w:contextualSpacing/>
              <w:jc w:val="center"/>
              <w:rPr>
                <w:noProof/>
                <w:sz w:val="22"/>
                <w:szCs w:val="22"/>
                <w:lang w:val="uk-UA"/>
              </w:rPr>
            </w:pPr>
            <w:r w:rsidRPr="00982790">
              <w:rPr>
                <w:noProof/>
                <w:sz w:val="22"/>
                <w:szCs w:val="22"/>
                <w:lang w:val="uk-UA"/>
              </w:rPr>
              <w:t>Ідентифікатор процедури закупівлі</w:t>
            </w:r>
          </w:p>
        </w:tc>
      </w:tr>
      <w:tr w:rsidR="002D785E" w:rsidRPr="00982790" w14:paraId="7799A676" w14:textId="77777777" w:rsidTr="00212515">
        <w:tc>
          <w:tcPr>
            <w:tcW w:w="487" w:type="pct"/>
          </w:tcPr>
          <w:p w14:paraId="2B035FC5" w14:textId="1290F160" w:rsidR="002D785E" w:rsidRPr="00982790" w:rsidRDefault="002D785E" w:rsidP="002D785E">
            <w:pPr>
              <w:widowControl w:val="0"/>
              <w:ind w:right="-11"/>
              <w:jc w:val="center"/>
              <w:rPr>
                <w:noProof/>
                <w:sz w:val="22"/>
                <w:szCs w:val="22"/>
                <w:lang w:val="uk-UA" w:eastAsia="uk-UA"/>
              </w:rPr>
            </w:pPr>
            <w:r w:rsidRPr="00982790">
              <w:rPr>
                <w:noProof/>
                <w:sz w:val="22"/>
                <w:szCs w:val="22"/>
                <w:lang w:val="uk-UA"/>
              </w:rPr>
              <w:t xml:space="preserve">3.17.2 </w:t>
            </w:r>
            <w:r w:rsidRPr="00982790">
              <w:rPr>
                <w:noProof/>
                <w:sz w:val="22"/>
                <w:szCs w:val="22"/>
                <w:lang w:val="uk-UA" w:eastAsia="uk-UA"/>
              </w:rPr>
              <w:t>(2026)</w:t>
            </w:r>
          </w:p>
        </w:tc>
        <w:tc>
          <w:tcPr>
            <w:tcW w:w="1527" w:type="pct"/>
          </w:tcPr>
          <w:p w14:paraId="3B7DC45C" w14:textId="5D572C38" w:rsidR="002D785E" w:rsidRPr="00982790" w:rsidRDefault="002D785E" w:rsidP="002D785E">
            <w:pPr>
              <w:widowControl w:val="0"/>
              <w:rPr>
                <w:noProof/>
                <w:sz w:val="22"/>
                <w:szCs w:val="22"/>
                <w:lang w:val="uk-UA"/>
              </w:rPr>
            </w:pPr>
            <w:r w:rsidRPr="00982790">
              <w:rPr>
                <w:noProof/>
                <w:sz w:val="22"/>
                <w:szCs w:val="22"/>
                <w:lang w:val="uk-UA"/>
              </w:rPr>
              <w:t xml:space="preserve">Протипожежне обладнання, код ДК 021:2015 - 35110000-8 - Протипожежне, рятувальне та захисне обладнання </w:t>
            </w:r>
          </w:p>
        </w:tc>
        <w:tc>
          <w:tcPr>
            <w:tcW w:w="947" w:type="pct"/>
          </w:tcPr>
          <w:p w14:paraId="15D8219D" w14:textId="77777777" w:rsidR="002D785E" w:rsidRPr="00982790" w:rsidRDefault="002D785E" w:rsidP="002D785E">
            <w:pPr>
              <w:widowControl w:val="0"/>
              <w:jc w:val="center"/>
              <w:rPr>
                <w:noProof/>
                <w:sz w:val="22"/>
                <w:szCs w:val="22"/>
                <w:lang w:val="uk-UA"/>
              </w:rPr>
            </w:pPr>
            <w:r w:rsidRPr="00982790">
              <w:rPr>
                <w:noProof/>
                <w:sz w:val="22"/>
                <w:szCs w:val="22"/>
                <w:lang w:val="uk-UA"/>
              </w:rPr>
              <w:t xml:space="preserve">216 220,00 </w:t>
            </w:r>
          </w:p>
          <w:p w14:paraId="331E3A60" w14:textId="1F8E4AB2" w:rsidR="002D785E" w:rsidRPr="00982790" w:rsidRDefault="002D785E" w:rsidP="002D785E">
            <w:pPr>
              <w:widowControl w:val="0"/>
              <w:jc w:val="center"/>
              <w:rPr>
                <w:noProof/>
                <w:sz w:val="22"/>
                <w:szCs w:val="22"/>
                <w:lang w:val="uk-UA"/>
              </w:rPr>
            </w:pPr>
            <w:r w:rsidRPr="00982790">
              <w:rPr>
                <w:noProof/>
                <w:sz w:val="22"/>
                <w:szCs w:val="22"/>
                <w:lang w:val="uk-UA"/>
              </w:rPr>
              <w:t>грн. з ПДВ</w:t>
            </w:r>
          </w:p>
        </w:tc>
        <w:tc>
          <w:tcPr>
            <w:tcW w:w="1102" w:type="pct"/>
          </w:tcPr>
          <w:p w14:paraId="5BA0BDBD" w14:textId="77777777" w:rsidR="002D785E" w:rsidRPr="00982790" w:rsidRDefault="002D785E" w:rsidP="002D785E">
            <w:pPr>
              <w:widowControl w:val="0"/>
              <w:jc w:val="center"/>
              <w:rPr>
                <w:noProof/>
                <w:sz w:val="22"/>
                <w:szCs w:val="22"/>
                <w:lang w:val="uk-UA"/>
              </w:rPr>
            </w:pPr>
            <w:r w:rsidRPr="00982790">
              <w:rPr>
                <w:noProof/>
                <w:sz w:val="22"/>
                <w:szCs w:val="22"/>
                <w:lang w:val="uk-UA"/>
              </w:rPr>
              <w:t>180 183,33</w:t>
            </w:r>
          </w:p>
          <w:p w14:paraId="3740A2A3" w14:textId="409BDD11" w:rsidR="002D785E" w:rsidRPr="00982790" w:rsidRDefault="002D785E" w:rsidP="002D785E">
            <w:pPr>
              <w:widowControl w:val="0"/>
              <w:jc w:val="center"/>
              <w:rPr>
                <w:noProof/>
                <w:sz w:val="22"/>
                <w:szCs w:val="22"/>
                <w:lang w:val="uk-UA"/>
              </w:rPr>
            </w:pPr>
            <w:r w:rsidRPr="00982790">
              <w:rPr>
                <w:noProof/>
                <w:sz w:val="22"/>
                <w:szCs w:val="22"/>
                <w:lang w:val="uk-UA"/>
              </w:rPr>
              <w:t xml:space="preserve">грн. без ПДВ </w:t>
            </w:r>
          </w:p>
        </w:tc>
        <w:tc>
          <w:tcPr>
            <w:tcW w:w="936" w:type="pct"/>
          </w:tcPr>
          <w:p w14:paraId="45AC21CE" w14:textId="324C89A1" w:rsidR="002D785E" w:rsidRPr="00982790" w:rsidRDefault="00845BB2" w:rsidP="002D785E">
            <w:pPr>
              <w:widowControl w:val="0"/>
              <w:jc w:val="center"/>
              <w:rPr>
                <w:noProof/>
                <w:color w:val="0000FF"/>
                <w:sz w:val="22"/>
                <w:szCs w:val="22"/>
                <w:lang w:val="uk-UA"/>
              </w:rPr>
            </w:pPr>
            <w:r w:rsidRPr="00845BB2">
              <w:rPr>
                <w:noProof/>
                <w:sz w:val="22"/>
                <w:szCs w:val="22"/>
                <w:lang w:val="uk-UA"/>
              </w:rPr>
              <w:t>UA-2025-12-19-011408-a</w:t>
            </w:r>
          </w:p>
        </w:tc>
      </w:tr>
    </w:tbl>
    <w:p w14:paraId="5C93F9C5" w14:textId="77777777" w:rsidR="00A12478" w:rsidRPr="00982790" w:rsidRDefault="00A12478" w:rsidP="0063471D">
      <w:pPr>
        <w:pStyle w:val="a4"/>
        <w:widowControl w:val="0"/>
        <w:jc w:val="both"/>
        <w:rPr>
          <w:noProof/>
          <w:sz w:val="24"/>
          <w:szCs w:val="24"/>
          <w:lang w:val="uk-UA"/>
        </w:rPr>
      </w:pPr>
    </w:p>
    <w:p w14:paraId="33E1F2FA" w14:textId="77777777" w:rsidR="00A355EA" w:rsidRPr="00982790" w:rsidRDefault="00A355EA" w:rsidP="00C62708">
      <w:pPr>
        <w:widowControl w:val="0"/>
        <w:shd w:val="clear" w:color="auto" w:fill="DEEAF6"/>
        <w:jc w:val="center"/>
        <w:rPr>
          <w:noProof/>
          <w:lang w:val="uk-UA"/>
        </w:rPr>
      </w:pPr>
      <w:r w:rsidRPr="00982790">
        <w:rPr>
          <w:noProof/>
          <w:lang w:val="uk-UA"/>
        </w:rPr>
        <w:t>Обґрунтування на виконання вимог Постанови КМУ від 11.10.2016 № 710:</w:t>
      </w:r>
    </w:p>
    <w:p w14:paraId="7E3336AF" w14:textId="77777777" w:rsidR="006F428D" w:rsidRPr="00982790" w:rsidRDefault="006F428D" w:rsidP="00A12478">
      <w:pPr>
        <w:rPr>
          <w:noProof/>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982790" w:rsidRPr="00982790" w14:paraId="555B050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DC5DDED" w14:textId="77777777" w:rsidR="00982790" w:rsidRPr="00982790" w:rsidRDefault="00982790" w:rsidP="00982790">
            <w:pPr>
              <w:rPr>
                <w:noProof/>
                <w:lang w:val="uk-UA"/>
              </w:rPr>
            </w:pPr>
            <w:r w:rsidRPr="00982790">
              <w:rPr>
                <w:noProof/>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ADF746F" w14:textId="77777777" w:rsidR="00982790" w:rsidRPr="00982790" w:rsidRDefault="00982790" w:rsidP="00982790">
            <w:pPr>
              <w:rPr>
                <w:noProof/>
                <w:lang w:val="uk-UA"/>
              </w:rPr>
            </w:pPr>
            <w:r w:rsidRPr="00982790">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FC1AF63" w14:textId="77777777" w:rsidR="00982790" w:rsidRPr="00982790" w:rsidRDefault="00982790" w:rsidP="00982790">
            <w:pPr>
              <w:widowControl w:val="0"/>
              <w:ind w:right="160"/>
              <w:jc w:val="both"/>
              <w:rPr>
                <w:noProof/>
                <w:lang w:val="uk-UA"/>
              </w:rPr>
            </w:pPr>
            <w:r w:rsidRPr="00982790">
              <w:rPr>
                <w:noProof/>
                <w:lang w:val="uk-UA"/>
              </w:rPr>
              <w:t>Обґрунтування очікуваної вартості предмета закупівлі: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047239F7" w14:textId="113ADB35" w:rsidR="00982790" w:rsidRPr="00982790" w:rsidRDefault="00982790" w:rsidP="00982790">
            <w:pPr>
              <w:widowControl w:val="0"/>
              <w:ind w:right="160"/>
              <w:jc w:val="both"/>
              <w:rPr>
                <w:noProof/>
                <w:lang w:val="uk-UA"/>
              </w:rPr>
            </w:pPr>
            <w:r w:rsidRPr="00982790">
              <w:rPr>
                <w:noProof/>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6982AE06" w14:textId="2D2679C5" w:rsidR="00982790" w:rsidRPr="00982790" w:rsidRDefault="00982790" w:rsidP="00982790">
            <w:pPr>
              <w:rPr>
                <w:noProof/>
                <w:lang w:val="uk-UA"/>
              </w:rPr>
            </w:pPr>
            <w:r w:rsidRPr="00982790">
              <w:rPr>
                <w:noProof/>
                <w:lang w:val="uk-UA"/>
              </w:rPr>
              <w:t>Обґрунтування обсягів закупівлі: Обсяги визначено відповідно до очікуваної потреби.</w:t>
            </w:r>
          </w:p>
        </w:tc>
      </w:tr>
      <w:tr w:rsidR="00982790" w:rsidRPr="00982790" w14:paraId="515B6D94"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FDBD5A0" w14:textId="77777777" w:rsidR="00982790" w:rsidRPr="00982790" w:rsidRDefault="00982790" w:rsidP="00982790">
            <w:pPr>
              <w:rPr>
                <w:noProof/>
                <w:lang w:val="uk-UA"/>
              </w:rPr>
            </w:pPr>
            <w:r w:rsidRPr="00982790">
              <w:rPr>
                <w:noProof/>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F9F21EE" w14:textId="77777777" w:rsidR="00982790" w:rsidRPr="00982790" w:rsidRDefault="00982790" w:rsidP="00982790">
            <w:pPr>
              <w:rPr>
                <w:noProof/>
                <w:lang w:val="uk-UA"/>
              </w:rPr>
            </w:pPr>
            <w:r w:rsidRPr="00982790">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81A4785" w14:textId="77777777" w:rsidR="00982790" w:rsidRPr="00982790" w:rsidRDefault="00982790" w:rsidP="00982790">
            <w:pPr>
              <w:widowControl w:val="0"/>
              <w:ind w:right="116"/>
              <w:jc w:val="both"/>
              <w:rPr>
                <w:noProof/>
                <w:lang w:val="uk-UA"/>
              </w:rPr>
            </w:pPr>
            <w:r w:rsidRPr="00982790">
              <w:rPr>
                <w:noProof/>
                <w:lang w:val="uk-UA"/>
              </w:rPr>
              <w:t>Визначення потреби в закупівлі: Закупівля зумовлена необхідністю проведення ремонтно-відновлювальних робіт та підтримання експлуатаційної придатності систем протипожежного захисту (СПЗ), а саме системи автоматичного пожежогасіння (САПГ) на особливо важливому об`єкті критичної інфраструктури ДПМА «Бориспіль». Приведення САПГ до належного забезпечення протипожежного режиму/стану та реагування у разі виникнення надзвичайної ситуації на об’єкті критичної інфраструктури в умовах воєнного стану, відповідно до вимог чинного законодавства України та нормативно-правових актів у сфері техногенної та пожежної безпеки.</w:t>
            </w:r>
          </w:p>
          <w:p w14:paraId="26E59A41" w14:textId="140464D7" w:rsidR="00982790" w:rsidRPr="00982790" w:rsidRDefault="00982790" w:rsidP="0012042B">
            <w:pPr>
              <w:widowControl w:val="0"/>
              <w:ind w:right="116"/>
              <w:jc w:val="both"/>
              <w:rPr>
                <w:noProof/>
                <w:lang w:val="uk-UA"/>
              </w:rPr>
            </w:pPr>
            <w:r w:rsidRPr="00982790">
              <w:rPr>
                <w:noProof/>
                <w:lang w:val="uk-UA"/>
              </w:rPr>
              <w:t>Обґрунтування технічних та якісних характеристик предмета закупівлі: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о скільки</w:t>
            </w:r>
            <w:r w:rsidRPr="00982790">
              <w:rPr>
                <w:rFonts w:ascii="TimesNewRomanPSMT" w:hAnsi="TimesNewRomanPSMT" w:cs="TimesNewRomanPSMT"/>
                <w:noProof/>
                <w:lang w:val="uk-UA" w:eastAsia="en-US"/>
              </w:rPr>
              <w:t xml:space="preserve"> «Модулі порошкового пожежогасіння СПРУТ-15о»</w:t>
            </w:r>
            <w:r w:rsidRPr="00982790">
              <w:rPr>
                <w:noProof/>
                <w:lang w:val="uk-UA"/>
              </w:rPr>
              <w:t xml:space="preserve">  необхідні для </w:t>
            </w:r>
            <w:r w:rsidRPr="00982790">
              <w:rPr>
                <w:noProof/>
                <w:lang w:val="uk-UA"/>
              </w:rPr>
              <w:lastRenderedPageBreak/>
              <w:t>проведення  ремонтно-відновлювальних робіт та підтримання експлуатаційної придатності систем протипожежного захисту (СПЗ), а саме системи автоматичного пожежогасіння (САПГ).</w:t>
            </w:r>
          </w:p>
        </w:tc>
      </w:tr>
      <w:tr w:rsidR="00982790" w:rsidRPr="00982790" w14:paraId="07243D23"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B87A8EC" w14:textId="77777777" w:rsidR="00982790" w:rsidRPr="00982790" w:rsidRDefault="00982790" w:rsidP="00982790">
            <w:pPr>
              <w:rPr>
                <w:noProof/>
                <w:lang w:val="uk-UA"/>
              </w:rPr>
            </w:pPr>
            <w:r w:rsidRPr="00982790">
              <w:rPr>
                <w:noProof/>
                <w:lang w:val="uk-UA"/>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E683DA0" w14:textId="77777777" w:rsidR="00982790" w:rsidRPr="00982790" w:rsidRDefault="00982790" w:rsidP="00982790">
            <w:pPr>
              <w:rPr>
                <w:noProof/>
                <w:lang w:val="uk-UA"/>
              </w:rPr>
            </w:pPr>
            <w:r w:rsidRPr="00982790">
              <w:rPr>
                <w:noProof/>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1D19EBC" w14:textId="77777777" w:rsidR="00982790" w:rsidRPr="00982790" w:rsidRDefault="00982790" w:rsidP="00982790">
            <w:pPr>
              <w:widowControl w:val="0"/>
              <w:ind w:right="250"/>
              <w:jc w:val="both"/>
              <w:rPr>
                <w:noProof/>
                <w:lang w:val="uk-UA"/>
              </w:rPr>
            </w:pPr>
            <w:r w:rsidRPr="00982790">
              <w:rPr>
                <w:noProof/>
                <w:lang w:val="uk-UA"/>
              </w:rPr>
              <w:t>Розрахунок очікуваної вартості проводився методом порівняння ринкових цін на підставі отриманих цінових пропозицій.</w:t>
            </w:r>
          </w:p>
          <w:p w14:paraId="31C356C8" w14:textId="77777777" w:rsidR="00982790" w:rsidRPr="00982790" w:rsidRDefault="00982790" w:rsidP="00982790">
            <w:pPr>
              <w:widowControl w:val="0"/>
              <w:ind w:right="250"/>
              <w:jc w:val="both"/>
              <w:rPr>
                <w:noProof/>
                <w:lang w:val="uk-UA"/>
              </w:rPr>
            </w:pPr>
            <w:r w:rsidRPr="00982790">
              <w:rPr>
                <w:noProof/>
                <w:lang w:val="uk-UA"/>
              </w:rPr>
              <w:t>Було надіслано запити, щодо надання комерційних пропозицій, а саме:</w:t>
            </w:r>
          </w:p>
          <w:p w14:paraId="2DE5113F" w14:textId="77777777" w:rsidR="00982790" w:rsidRPr="00982790" w:rsidRDefault="00982790" w:rsidP="00982790">
            <w:pPr>
              <w:widowControl w:val="0"/>
              <w:ind w:right="250"/>
              <w:jc w:val="both"/>
              <w:rPr>
                <w:noProof/>
                <w:lang w:val="uk-UA"/>
              </w:rPr>
            </w:pPr>
            <w:r w:rsidRPr="00982790">
              <w:rPr>
                <w:noProof/>
                <w:lang w:val="uk-UA"/>
              </w:rPr>
              <w:t xml:space="preserve">ТОВ « Науково- виробнича фірма» ФАКТОР» </w:t>
            </w:r>
            <w:r w:rsidRPr="00982790">
              <w:rPr>
                <w:noProof/>
                <w:color w:val="215E99"/>
                <w:lang w:val="uk-UA"/>
              </w:rPr>
              <w:t>factor1@ukr.net</w:t>
            </w:r>
          </w:p>
          <w:p w14:paraId="47D36884" w14:textId="77777777" w:rsidR="00982790" w:rsidRPr="00982790" w:rsidRDefault="00982790" w:rsidP="00982790">
            <w:pPr>
              <w:widowControl w:val="0"/>
              <w:spacing w:line="276" w:lineRule="auto"/>
              <w:ind w:right="108"/>
              <w:jc w:val="both"/>
              <w:rPr>
                <w:noProof/>
                <w:lang w:val="uk-UA"/>
              </w:rPr>
            </w:pPr>
            <w:r w:rsidRPr="00982790">
              <w:rPr>
                <w:noProof/>
                <w:lang w:val="uk-UA"/>
              </w:rPr>
              <w:t xml:space="preserve">ТОВ «ПОЖБУД ГРУП» </w:t>
            </w:r>
            <w:r w:rsidRPr="00982790">
              <w:rPr>
                <w:noProof/>
                <w:color w:val="215E99"/>
                <w:lang w:val="uk-UA"/>
              </w:rPr>
              <w:t>info@pbg.com.ua</w:t>
            </w:r>
          </w:p>
          <w:p w14:paraId="145D6680" w14:textId="77777777" w:rsidR="00982790" w:rsidRPr="00982790" w:rsidRDefault="00982790" w:rsidP="00982790">
            <w:pPr>
              <w:widowControl w:val="0"/>
              <w:spacing w:line="276" w:lineRule="auto"/>
              <w:ind w:right="108"/>
              <w:jc w:val="both"/>
              <w:rPr>
                <w:noProof/>
                <w:color w:val="215E99"/>
                <w:lang w:val="uk-UA"/>
              </w:rPr>
            </w:pPr>
            <w:r w:rsidRPr="00982790">
              <w:rPr>
                <w:noProof/>
                <w:lang w:val="uk-UA"/>
              </w:rPr>
              <w:t xml:space="preserve">ТОВ «ПОЖЕКСПЕРТ» </w:t>
            </w:r>
            <w:r w:rsidRPr="00982790">
              <w:rPr>
                <w:noProof/>
                <w:color w:val="215E99"/>
                <w:lang w:val="uk-UA"/>
              </w:rPr>
              <w:t>pog.expert@ukr.net</w:t>
            </w:r>
          </w:p>
          <w:p w14:paraId="5E31E81B" w14:textId="77777777" w:rsidR="00982790" w:rsidRPr="00982790" w:rsidRDefault="00982790" w:rsidP="00982790">
            <w:pPr>
              <w:widowControl w:val="0"/>
              <w:spacing w:line="276" w:lineRule="auto"/>
              <w:ind w:right="108"/>
              <w:jc w:val="both"/>
              <w:rPr>
                <w:noProof/>
                <w:color w:val="215E99"/>
                <w:lang w:val="uk-UA"/>
              </w:rPr>
            </w:pPr>
            <w:r w:rsidRPr="00982790">
              <w:rPr>
                <w:noProof/>
                <w:color w:val="000000"/>
                <w:lang w:val="uk-UA"/>
              </w:rPr>
              <w:t xml:space="preserve">ЛТД «Ділише» </w:t>
            </w:r>
            <w:r w:rsidRPr="00982790">
              <w:rPr>
                <w:noProof/>
                <w:color w:val="215E99"/>
                <w:lang w:val="uk-UA"/>
              </w:rPr>
              <w:t>contact@delishes.com.ua</w:t>
            </w:r>
          </w:p>
          <w:p w14:paraId="3BA24912" w14:textId="77777777" w:rsidR="00982790" w:rsidRPr="00982790" w:rsidRDefault="00982790" w:rsidP="00982790">
            <w:pPr>
              <w:widowControl w:val="0"/>
              <w:spacing w:line="276" w:lineRule="auto"/>
              <w:ind w:right="108"/>
              <w:jc w:val="both"/>
              <w:rPr>
                <w:noProof/>
                <w:color w:val="215E99"/>
                <w:lang w:val="uk-UA"/>
              </w:rPr>
            </w:pPr>
            <w:r w:rsidRPr="00982790">
              <w:rPr>
                <w:noProof/>
                <w:lang w:val="uk-UA"/>
              </w:rPr>
              <w:t xml:space="preserve">ТОВ «ФАЕРСТОП» </w:t>
            </w:r>
            <w:r w:rsidRPr="00982790">
              <w:rPr>
                <w:noProof/>
                <w:color w:val="215E99"/>
                <w:lang w:val="uk-UA"/>
              </w:rPr>
              <w:t>2285001@ukr.net</w:t>
            </w:r>
          </w:p>
          <w:p w14:paraId="6010FF6F" w14:textId="216270BB" w:rsidR="00982790" w:rsidRPr="00982790" w:rsidRDefault="00982790" w:rsidP="00982790">
            <w:pPr>
              <w:widowControl w:val="0"/>
              <w:spacing w:line="276" w:lineRule="auto"/>
              <w:ind w:right="108"/>
              <w:jc w:val="both"/>
              <w:rPr>
                <w:noProof/>
                <w:lang w:val="uk-UA"/>
              </w:rPr>
            </w:pPr>
            <w:r w:rsidRPr="00982790">
              <w:rPr>
                <w:rStyle w:val="af9"/>
                <w:i w:val="0"/>
                <w:iCs w:val="0"/>
                <w:noProof/>
                <w:color w:val="000000"/>
                <w:shd w:val="clear" w:color="auto" w:fill="FFFFFF"/>
                <w:lang w:val="uk-UA"/>
              </w:rPr>
              <w:t>ТОВ</w:t>
            </w:r>
            <w:r w:rsidRPr="00982790">
              <w:rPr>
                <w:noProof/>
                <w:color w:val="000000"/>
                <w:shd w:val="clear" w:color="auto" w:fill="FFFFFF"/>
                <w:lang w:val="uk-UA"/>
              </w:rPr>
              <w:t> «ЄВРОСЕРВІС-Є</w:t>
            </w:r>
            <w:r w:rsidRPr="00982790">
              <w:rPr>
                <w:rFonts w:ascii="Arial" w:hAnsi="Arial" w:cs="Arial"/>
                <w:noProof/>
                <w:color w:val="000000"/>
                <w:sz w:val="21"/>
                <w:szCs w:val="21"/>
                <w:shd w:val="clear" w:color="auto" w:fill="FFFFFF"/>
                <w:lang w:val="uk-UA"/>
              </w:rPr>
              <w:t xml:space="preserve">» </w:t>
            </w:r>
            <w:r w:rsidRPr="00982790">
              <w:rPr>
                <w:noProof/>
                <w:color w:val="215E99"/>
                <w:lang w:val="uk-UA"/>
              </w:rPr>
              <w:t>zakaz.pozh@euroservis.com.ua</w:t>
            </w:r>
          </w:p>
        </w:tc>
      </w:tr>
    </w:tbl>
    <w:p w14:paraId="144A2C34" w14:textId="77777777" w:rsidR="006F428D" w:rsidRPr="00982790" w:rsidRDefault="006F428D" w:rsidP="00A12478">
      <w:pPr>
        <w:rPr>
          <w:noProof/>
          <w:lang w:val="uk-UA"/>
        </w:rPr>
      </w:pPr>
    </w:p>
    <w:p w14:paraId="7C8E7B1D" w14:textId="77777777" w:rsidR="006926A0" w:rsidRPr="0012042B" w:rsidRDefault="006926A0" w:rsidP="006926A0">
      <w:pPr>
        <w:ind w:firstLine="567"/>
        <w:jc w:val="both"/>
        <w:rPr>
          <w:noProof/>
          <w:lang w:val="uk-UA"/>
        </w:rPr>
      </w:pPr>
      <w:r w:rsidRPr="0012042B">
        <w:rPr>
          <w:noProof/>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0115F888" w14:textId="77777777" w:rsidR="006F428D" w:rsidRPr="00982790" w:rsidRDefault="006F428D" w:rsidP="00A12478">
      <w:pPr>
        <w:rPr>
          <w:noProof/>
          <w:lang w:val="uk-UA"/>
        </w:rPr>
      </w:pPr>
    </w:p>
    <w:tbl>
      <w:tblPr>
        <w:tblW w:w="102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560"/>
        <w:gridCol w:w="1134"/>
        <w:gridCol w:w="851"/>
        <w:gridCol w:w="4961"/>
      </w:tblGrid>
      <w:tr w:rsidR="00982790" w:rsidRPr="00982790" w14:paraId="7A47F5A3" w14:textId="77777777" w:rsidTr="007B235E">
        <w:trPr>
          <w:trHeight w:val="505"/>
        </w:trPr>
        <w:tc>
          <w:tcPr>
            <w:tcW w:w="1768" w:type="dxa"/>
            <w:tcBorders>
              <w:top w:val="single" w:sz="4" w:space="0" w:color="auto"/>
              <w:left w:val="single" w:sz="4" w:space="0" w:color="auto"/>
              <w:right w:val="single" w:sz="4" w:space="0" w:color="auto"/>
            </w:tcBorders>
            <w:shd w:val="clear" w:color="auto" w:fill="D1D1D1" w:themeFill="background2" w:themeFillShade="E6"/>
          </w:tcPr>
          <w:p w14:paraId="4915018B" w14:textId="77777777" w:rsidR="00982790" w:rsidRPr="00982790" w:rsidRDefault="00982790" w:rsidP="007B235E">
            <w:pPr>
              <w:widowControl w:val="0"/>
              <w:jc w:val="center"/>
              <w:rPr>
                <w:noProof/>
                <w:sz w:val="22"/>
                <w:szCs w:val="22"/>
                <w:lang w:val="uk-UA"/>
              </w:rPr>
            </w:pPr>
            <w:r w:rsidRPr="00982790">
              <w:rPr>
                <w:noProof/>
                <w:sz w:val="22"/>
                <w:szCs w:val="22"/>
                <w:lang w:val="uk-UA"/>
              </w:rPr>
              <w:t>Найменування товару</w:t>
            </w:r>
          </w:p>
        </w:tc>
        <w:tc>
          <w:tcPr>
            <w:tcW w:w="1560" w:type="dxa"/>
            <w:tcBorders>
              <w:top w:val="single" w:sz="4" w:space="0" w:color="auto"/>
              <w:left w:val="single" w:sz="4" w:space="0" w:color="auto"/>
              <w:right w:val="single" w:sz="4" w:space="0" w:color="auto"/>
            </w:tcBorders>
            <w:shd w:val="clear" w:color="auto" w:fill="D1D1D1" w:themeFill="background2" w:themeFillShade="E6"/>
          </w:tcPr>
          <w:p w14:paraId="45E904AB" w14:textId="77777777" w:rsidR="00982790" w:rsidRPr="00982790" w:rsidRDefault="00982790" w:rsidP="007B235E">
            <w:pPr>
              <w:widowControl w:val="0"/>
              <w:jc w:val="center"/>
              <w:rPr>
                <w:noProof/>
                <w:snapToGrid w:val="0"/>
                <w:sz w:val="22"/>
                <w:szCs w:val="22"/>
                <w:lang w:val="uk-UA"/>
              </w:rPr>
            </w:pPr>
            <w:r w:rsidRPr="00982790">
              <w:rPr>
                <w:noProof/>
                <w:snapToGrid w:val="0"/>
                <w:sz w:val="22"/>
                <w:szCs w:val="22"/>
                <w:lang w:val="uk-UA"/>
              </w:rPr>
              <w:t xml:space="preserve">Тип (модель, типорозмір) </w:t>
            </w:r>
          </w:p>
        </w:tc>
        <w:tc>
          <w:tcPr>
            <w:tcW w:w="1134" w:type="dxa"/>
            <w:tcBorders>
              <w:top w:val="single" w:sz="4" w:space="0" w:color="auto"/>
              <w:left w:val="single" w:sz="4" w:space="0" w:color="auto"/>
              <w:right w:val="single" w:sz="4" w:space="0" w:color="auto"/>
            </w:tcBorders>
            <w:shd w:val="clear" w:color="auto" w:fill="D1D1D1" w:themeFill="background2" w:themeFillShade="E6"/>
          </w:tcPr>
          <w:p w14:paraId="1764DF6D" w14:textId="77777777" w:rsidR="00982790" w:rsidRPr="00982790" w:rsidRDefault="00982790" w:rsidP="007B235E">
            <w:pPr>
              <w:widowControl w:val="0"/>
              <w:jc w:val="center"/>
              <w:rPr>
                <w:noProof/>
                <w:sz w:val="22"/>
                <w:szCs w:val="22"/>
                <w:lang w:val="uk-UA"/>
              </w:rPr>
            </w:pPr>
            <w:r w:rsidRPr="00982790">
              <w:rPr>
                <w:noProof/>
                <w:sz w:val="22"/>
                <w:szCs w:val="22"/>
                <w:lang w:val="uk-UA"/>
              </w:rPr>
              <w:t>Одиниця</w:t>
            </w:r>
          </w:p>
          <w:p w14:paraId="13DC2122" w14:textId="77777777" w:rsidR="00982790" w:rsidRPr="00982790" w:rsidRDefault="00982790" w:rsidP="007B235E">
            <w:pPr>
              <w:widowControl w:val="0"/>
              <w:jc w:val="center"/>
              <w:rPr>
                <w:noProof/>
                <w:sz w:val="22"/>
                <w:szCs w:val="22"/>
                <w:lang w:val="uk-UA"/>
              </w:rPr>
            </w:pPr>
            <w:r w:rsidRPr="00982790">
              <w:rPr>
                <w:noProof/>
                <w:sz w:val="22"/>
                <w:szCs w:val="22"/>
                <w:lang w:val="uk-UA"/>
              </w:rPr>
              <w:t>виміру</w:t>
            </w:r>
          </w:p>
        </w:tc>
        <w:tc>
          <w:tcPr>
            <w:tcW w:w="851" w:type="dxa"/>
            <w:tcBorders>
              <w:top w:val="single" w:sz="4" w:space="0" w:color="auto"/>
              <w:left w:val="single" w:sz="4" w:space="0" w:color="auto"/>
              <w:right w:val="single" w:sz="4" w:space="0" w:color="auto"/>
            </w:tcBorders>
            <w:shd w:val="clear" w:color="auto" w:fill="D1D1D1" w:themeFill="background2" w:themeFillShade="E6"/>
          </w:tcPr>
          <w:p w14:paraId="7EEFC23B" w14:textId="77777777" w:rsidR="00982790" w:rsidRPr="00982790" w:rsidRDefault="00982790" w:rsidP="007B235E">
            <w:pPr>
              <w:widowControl w:val="0"/>
              <w:jc w:val="center"/>
              <w:rPr>
                <w:noProof/>
                <w:sz w:val="22"/>
                <w:szCs w:val="22"/>
                <w:lang w:val="uk-UA"/>
              </w:rPr>
            </w:pPr>
            <w:r w:rsidRPr="00982790">
              <w:rPr>
                <w:noProof/>
                <w:sz w:val="22"/>
                <w:szCs w:val="22"/>
                <w:lang w:val="uk-UA"/>
              </w:rPr>
              <w:t>Кількість</w:t>
            </w:r>
          </w:p>
          <w:p w14:paraId="4EFB4A11" w14:textId="77777777" w:rsidR="00982790" w:rsidRPr="00982790" w:rsidRDefault="00982790" w:rsidP="007B235E">
            <w:pPr>
              <w:widowControl w:val="0"/>
              <w:jc w:val="center"/>
              <w:rPr>
                <w:noProof/>
                <w:sz w:val="22"/>
                <w:szCs w:val="22"/>
                <w:lang w:val="uk-UA"/>
              </w:rPr>
            </w:pPr>
          </w:p>
        </w:tc>
        <w:tc>
          <w:tcPr>
            <w:tcW w:w="4961" w:type="dxa"/>
            <w:tcBorders>
              <w:top w:val="single" w:sz="4" w:space="0" w:color="auto"/>
              <w:left w:val="single" w:sz="4" w:space="0" w:color="auto"/>
              <w:right w:val="single" w:sz="4" w:space="0" w:color="auto"/>
            </w:tcBorders>
            <w:shd w:val="clear" w:color="auto" w:fill="D1D1D1" w:themeFill="background2" w:themeFillShade="E6"/>
          </w:tcPr>
          <w:p w14:paraId="1955591A" w14:textId="77777777" w:rsidR="00982790" w:rsidRPr="00982790" w:rsidRDefault="00982790" w:rsidP="007B235E">
            <w:pPr>
              <w:widowControl w:val="0"/>
              <w:jc w:val="center"/>
              <w:rPr>
                <w:noProof/>
                <w:sz w:val="22"/>
                <w:szCs w:val="22"/>
                <w:highlight w:val="yellow"/>
                <w:lang w:val="uk-UA"/>
              </w:rPr>
            </w:pPr>
            <w:r w:rsidRPr="00982790">
              <w:rPr>
                <w:noProof/>
                <w:sz w:val="22"/>
                <w:szCs w:val="22"/>
                <w:lang w:val="uk-UA"/>
              </w:rPr>
              <w:t>Технічні та якісні характеристики предмета закупівлі</w:t>
            </w:r>
          </w:p>
        </w:tc>
      </w:tr>
      <w:tr w:rsidR="00982790" w:rsidRPr="00982790" w14:paraId="68644F78" w14:textId="77777777" w:rsidTr="007B235E">
        <w:trPr>
          <w:trHeight w:val="229"/>
        </w:trPr>
        <w:tc>
          <w:tcPr>
            <w:tcW w:w="1768" w:type="dxa"/>
            <w:tcBorders>
              <w:top w:val="single" w:sz="4" w:space="0" w:color="auto"/>
              <w:left w:val="single" w:sz="4" w:space="0" w:color="auto"/>
              <w:right w:val="single" w:sz="4" w:space="0" w:color="auto"/>
            </w:tcBorders>
          </w:tcPr>
          <w:p w14:paraId="35A75B16" w14:textId="77777777" w:rsidR="00982790" w:rsidRPr="00982790" w:rsidRDefault="00982790" w:rsidP="007B235E">
            <w:pPr>
              <w:jc w:val="center"/>
              <w:rPr>
                <w:noProof/>
                <w:color w:val="000000"/>
                <w:sz w:val="22"/>
                <w:szCs w:val="22"/>
                <w:lang w:val="uk-UA" w:eastAsia="en-US"/>
              </w:rPr>
            </w:pPr>
            <w:r w:rsidRPr="00982790">
              <w:rPr>
                <w:noProof/>
                <w:color w:val="000000"/>
                <w:sz w:val="22"/>
                <w:szCs w:val="22"/>
                <w:lang w:val="uk-UA" w:eastAsia="en-US"/>
              </w:rPr>
              <w:t>Модуль порошкового пожежогасіння</w:t>
            </w:r>
          </w:p>
          <w:p w14:paraId="705E31FB" w14:textId="77777777" w:rsidR="00982790" w:rsidRPr="00982790" w:rsidRDefault="00982790" w:rsidP="007B235E">
            <w:pPr>
              <w:rPr>
                <w:noProof/>
                <w:sz w:val="22"/>
                <w:szCs w:val="22"/>
                <w:lang w:val="uk-UA"/>
              </w:rPr>
            </w:pPr>
          </w:p>
          <w:p w14:paraId="68B065F7" w14:textId="77777777" w:rsidR="00982790" w:rsidRPr="00982790" w:rsidRDefault="00982790" w:rsidP="007B235E">
            <w:pPr>
              <w:widowControl w:val="0"/>
              <w:jc w:val="center"/>
              <w:rPr>
                <w:noProof/>
                <w:sz w:val="22"/>
                <w:szCs w:val="22"/>
                <w:lang w:val="uk-UA"/>
              </w:rPr>
            </w:pPr>
          </w:p>
        </w:tc>
        <w:tc>
          <w:tcPr>
            <w:tcW w:w="1560" w:type="dxa"/>
            <w:tcBorders>
              <w:top w:val="single" w:sz="4" w:space="0" w:color="auto"/>
              <w:left w:val="single" w:sz="4" w:space="0" w:color="auto"/>
              <w:right w:val="single" w:sz="4" w:space="0" w:color="auto"/>
            </w:tcBorders>
          </w:tcPr>
          <w:p w14:paraId="52449144" w14:textId="77777777" w:rsidR="00982790" w:rsidRPr="00982790" w:rsidRDefault="00982790" w:rsidP="007B235E">
            <w:pPr>
              <w:suppressAutoHyphens/>
              <w:jc w:val="center"/>
              <w:rPr>
                <w:noProof/>
                <w:sz w:val="22"/>
                <w:szCs w:val="22"/>
                <w:lang w:val="uk-UA"/>
              </w:rPr>
            </w:pPr>
            <w:r w:rsidRPr="00982790">
              <w:rPr>
                <w:noProof/>
                <w:sz w:val="22"/>
                <w:szCs w:val="22"/>
                <w:lang w:val="uk-UA"/>
              </w:rPr>
              <w:t>СПРУТ -15о</w:t>
            </w:r>
          </w:p>
          <w:p w14:paraId="2B85C40F" w14:textId="77777777" w:rsidR="00982790" w:rsidRPr="00982790" w:rsidRDefault="00982790" w:rsidP="007B235E">
            <w:pPr>
              <w:suppressAutoHyphens/>
              <w:jc w:val="center"/>
              <w:rPr>
                <w:noProof/>
                <w:color w:val="0070C0"/>
                <w:sz w:val="22"/>
                <w:szCs w:val="22"/>
                <w:lang w:val="uk-UA"/>
              </w:rPr>
            </w:pPr>
            <w:r w:rsidRPr="00982790">
              <w:rPr>
                <w:noProof/>
                <w:color w:val="0070C0"/>
                <w:sz w:val="22"/>
                <w:szCs w:val="22"/>
                <w:lang w:val="uk-UA"/>
              </w:rPr>
              <w:t>або</w:t>
            </w:r>
          </w:p>
          <w:p w14:paraId="45BF2B92" w14:textId="77777777" w:rsidR="00982790" w:rsidRPr="00982790" w:rsidRDefault="00982790" w:rsidP="007B235E">
            <w:pPr>
              <w:widowControl w:val="0"/>
              <w:jc w:val="center"/>
              <w:rPr>
                <w:noProof/>
                <w:snapToGrid w:val="0"/>
                <w:sz w:val="22"/>
                <w:szCs w:val="22"/>
                <w:lang w:val="uk-UA"/>
              </w:rPr>
            </w:pPr>
            <w:r w:rsidRPr="00982790">
              <w:rPr>
                <w:noProof/>
                <w:color w:val="0070C0"/>
                <w:sz w:val="22"/>
                <w:szCs w:val="22"/>
                <w:lang w:val="uk-UA"/>
              </w:rPr>
              <w:t>еквівалент</w:t>
            </w:r>
          </w:p>
        </w:tc>
        <w:tc>
          <w:tcPr>
            <w:tcW w:w="1134" w:type="dxa"/>
            <w:tcBorders>
              <w:top w:val="single" w:sz="4" w:space="0" w:color="auto"/>
              <w:left w:val="single" w:sz="4" w:space="0" w:color="auto"/>
              <w:right w:val="single" w:sz="4" w:space="0" w:color="auto"/>
            </w:tcBorders>
          </w:tcPr>
          <w:p w14:paraId="51F75BC0" w14:textId="77777777" w:rsidR="00982790" w:rsidRPr="00982790" w:rsidRDefault="00982790" w:rsidP="007B235E">
            <w:pPr>
              <w:widowControl w:val="0"/>
              <w:jc w:val="center"/>
              <w:rPr>
                <w:noProof/>
                <w:sz w:val="22"/>
                <w:szCs w:val="22"/>
                <w:lang w:val="uk-UA"/>
              </w:rPr>
            </w:pPr>
            <w:r w:rsidRPr="00982790">
              <w:rPr>
                <w:noProof/>
                <w:sz w:val="22"/>
                <w:szCs w:val="22"/>
                <w:lang w:val="uk-UA"/>
              </w:rPr>
              <w:t>шт</w:t>
            </w:r>
          </w:p>
        </w:tc>
        <w:tc>
          <w:tcPr>
            <w:tcW w:w="851" w:type="dxa"/>
            <w:tcBorders>
              <w:top w:val="single" w:sz="4" w:space="0" w:color="auto"/>
              <w:left w:val="single" w:sz="4" w:space="0" w:color="auto"/>
              <w:right w:val="single" w:sz="4" w:space="0" w:color="auto"/>
            </w:tcBorders>
          </w:tcPr>
          <w:p w14:paraId="1987BB2E" w14:textId="77777777" w:rsidR="00982790" w:rsidRPr="00982790" w:rsidRDefault="00982790" w:rsidP="007B235E">
            <w:pPr>
              <w:widowControl w:val="0"/>
              <w:jc w:val="center"/>
              <w:rPr>
                <w:noProof/>
                <w:sz w:val="22"/>
                <w:szCs w:val="22"/>
                <w:lang w:val="uk-UA"/>
              </w:rPr>
            </w:pPr>
            <w:r w:rsidRPr="00982790">
              <w:rPr>
                <w:noProof/>
                <w:sz w:val="22"/>
                <w:szCs w:val="22"/>
                <w:lang w:val="uk-UA"/>
              </w:rPr>
              <w:t>23</w:t>
            </w:r>
          </w:p>
        </w:tc>
        <w:tc>
          <w:tcPr>
            <w:tcW w:w="4961" w:type="dxa"/>
            <w:tcBorders>
              <w:top w:val="single" w:sz="4" w:space="0" w:color="auto"/>
              <w:left w:val="single" w:sz="4" w:space="0" w:color="auto"/>
              <w:right w:val="single" w:sz="4" w:space="0" w:color="auto"/>
            </w:tcBorders>
          </w:tcPr>
          <w:p w14:paraId="072492CE" w14:textId="77777777" w:rsidR="00982790" w:rsidRPr="00982790" w:rsidRDefault="00982790" w:rsidP="007B235E">
            <w:pPr>
              <w:keepNext/>
              <w:jc w:val="both"/>
              <w:rPr>
                <w:noProof/>
                <w:sz w:val="22"/>
                <w:szCs w:val="22"/>
                <w:lang w:val="uk-UA"/>
              </w:rPr>
            </w:pPr>
            <w:r w:rsidRPr="00982790">
              <w:rPr>
                <w:noProof/>
                <w:sz w:val="22"/>
                <w:szCs w:val="22"/>
                <w:lang w:val="uk-UA"/>
              </w:rPr>
              <w:t>Монтування модулів: на стелі.</w:t>
            </w:r>
          </w:p>
          <w:p w14:paraId="21209A11" w14:textId="77777777" w:rsidR="00982790" w:rsidRPr="00982790" w:rsidRDefault="00982790" w:rsidP="007B235E">
            <w:pPr>
              <w:keepNext/>
              <w:jc w:val="both"/>
              <w:rPr>
                <w:noProof/>
                <w:sz w:val="22"/>
                <w:szCs w:val="22"/>
                <w:lang w:val="uk-UA"/>
              </w:rPr>
            </w:pPr>
            <w:r w:rsidRPr="00982790">
              <w:rPr>
                <w:noProof/>
                <w:sz w:val="22"/>
                <w:szCs w:val="22"/>
                <w:lang w:val="uk-UA"/>
              </w:rPr>
              <w:t>Марка вогнегасного порошку (ВП): ФАКТОР АВС-70.</w:t>
            </w:r>
          </w:p>
          <w:p w14:paraId="7AC33E9C" w14:textId="77777777" w:rsidR="00982790" w:rsidRPr="00982790" w:rsidRDefault="00982790" w:rsidP="007B235E">
            <w:pPr>
              <w:keepNext/>
              <w:jc w:val="both"/>
              <w:rPr>
                <w:noProof/>
                <w:sz w:val="22"/>
                <w:szCs w:val="22"/>
                <w:lang w:val="uk-UA"/>
              </w:rPr>
            </w:pPr>
            <w:r w:rsidRPr="00982790">
              <w:rPr>
                <w:noProof/>
                <w:sz w:val="22"/>
                <w:szCs w:val="22"/>
                <w:lang w:val="uk-UA"/>
              </w:rPr>
              <w:t>Місткість посудини модуля: не більше 18.0 л.</w:t>
            </w:r>
          </w:p>
          <w:p w14:paraId="2F45EEF8" w14:textId="77777777" w:rsidR="00982790" w:rsidRPr="00982790" w:rsidRDefault="00982790" w:rsidP="007B235E">
            <w:pPr>
              <w:keepNext/>
              <w:jc w:val="both"/>
              <w:rPr>
                <w:noProof/>
                <w:sz w:val="22"/>
                <w:szCs w:val="22"/>
                <w:lang w:val="uk-UA"/>
              </w:rPr>
            </w:pPr>
            <w:r w:rsidRPr="00982790">
              <w:rPr>
                <w:noProof/>
                <w:sz w:val="22"/>
                <w:szCs w:val="22"/>
                <w:lang w:val="uk-UA"/>
              </w:rPr>
              <w:t>Маса заряду ВП: не менше 15.0 кг.</w:t>
            </w:r>
          </w:p>
          <w:p w14:paraId="28ED6328" w14:textId="77777777" w:rsidR="00982790" w:rsidRPr="00982790" w:rsidRDefault="00982790" w:rsidP="007B235E">
            <w:pPr>
              <w:keepNext/>
              <w:jc w:val="both"/>
              <w:rPr>
                <w:noProof/>
                <w:sz w:val="22"/>
                <w:szCs w:val="22"/>
                <w:lang w:val="uk-UA"/>
              </w:rPr>
            </w:pPr>
            <w:r w:rsidRPr="00982790">
              <w:rPr>
                <w:noProof/>
                <w:sz w:val="22"/>
                <w:szCs w:val="22"/>
                <w:lang w:val="uk-UA"/>
              </w:rPr>
              <w:t>Маса модуля конструктивна: не більше 6.2 кг.</w:t>
            </w:r>
          </w:p>
          <w:p w14:paraId="3601BED0" w14:textId="77777777" w:rsidR="00982790" w:rsidRPr="00982790" w:rsidRDefault="00982790" w:rsidP="007B235E">
            <w:pPr>
              <w:keepNext/>
              <w:jc w:val="both"/>
              <w:rPr>
                <w:noProof/>
                <w:sz w:val="22"/>
                <w:szCs w:val="22"/>
                <w:lang w:val="uk-UA"/>
              </w:rPr>
            </w:pPr>
            <w:r w:rsidRPr="00982790">
              <w:rPr>
                <w:noProof/>
                <w:sz w:val="22"/>
                <w:szCs w:val="22"/>
                <w:lang w:val="uk-UA"/>
              </w:rPr>
              <w:t>Маса модуля повна: не більше 21.5 кг.</w:t>
            </w:r>
          </w:p>
          <w:p w14:paraId="7C01FDC3" w14:textId="77777777" w:rsidR="00982790" w:rsidRPr="00982790" w:rsidRDefault="00982790" w:rsidP="007B235E">
            <w:pPr>
              <w:keepNext/>
              <w:jc w:val="both"/>
              <w:rPr>
                <w:noProof/>
                <w:sz w:val="22"/>
                <w:szCs w:val="22"/>
                <w:lang w:val="uk-UA"/>
              </w:rPr>
            </w:pPr>
            <w:r w:rsidRPr="00982790">
              <w:rPr>
                <w:noProof/>
                <w:sz w:val="22"/>
                <w:szCs w:val="22"/>
                <w:lang w:val="uk-UA"/>
              </w:rPr>
              <w:t>Інерційність модуля за електричного пуску: не більше 1.0 с.</w:t>
            </w:r>
          </w:p>
          <w:p w14:paraId="737117A0" w14:textId="77777777" w:rsidR="00982790" w:rsidRPr="00982790" w:rsidRDefault="00982790" w:rsidP="007B235E">
            <w:pPr>
              <w:keepNext/>
              <w:jc w:val="both"/>
              <w:rPr>
                <w:noProof/>
                <w:sz w:val="22"/>
                <w:szCs w:val="22"/>
                <w:lang w:val="uk-UA"/>
              </w:rPr>
            </w:pPr>
            <w:r w:rsidRPr="00982790">
              <w:rPr>
                <w:noProof/>
                <w:sz w:val="22"/>
                <w:szCs w:val="22"/>
                <w:lang w:val="uk-UA"/>
              </w:rPr>
              <w:t xml:space="preserve">Температура спрацювання запірно-розпилювального пристрою (ЗРП)/ самоспрацювання модуля: 93±3%  </w:t>
            </w:r>
            <w:r w:rsidRPr="00982790">
              <w:rPr>
                <w:noProof/>
                <w:sz w:val="22"/>
                <w:szCs w:val="22"/>
                <w:vertAlign w:val="superscript"/>
                <w:lang w:val="uk-UA"/>
              </w:rPr>
              <w:t>о</w:t>
            </w:r>
            <w:r w:rsidRPr="00982790">
              <w:rPr>
                <w:noProof/>
                <w:sz w:val="22"/>
                <w:szCs w:val="22"/>
                <w:lang w:val="uk-UA"/>
              </w:rPr>
              <w:t>С.</w:t>
            </w:r>
          </w:p>
          <w:p w14:paraId="54A443A5" w14:textId="77777777" w:rsidR="00982790" w:rsidRPr="00982790" w:rsidRDefault="00982790" w:rsidP="007B235E">
            <w:pPr>
              <w:keepNext/>
              <w:jc w:val="both"/>
              <w:rPr>
                <w:noProof/>
                <w:sz w:val="22"/>
                <w:szCs w:val="22"/>
                <w:lang w:val="uk-UA"/>
              </w:rPr>
            </w:pPr>
            <w:r w:rsidRPr="00982790">
              <w:rPr>
                <w:noProof/>
                <w:sz w:val="22"/>
                <w:szCs w:val="22"/>
                <w:lang w:val="uk-UA"/>
              </w:rPr>
              <w:t>Робочий тиск у посудині модуля за температури навколишнього середовища +20</w:t>
            </w:r>
            <w:r w:rsidRPr="00982790">
              <w:rPr>
                <w:noProof/>
                <w:sz w:val="22"/>
                <w:szCs w:val="22"/>
                <w:vertAlign w:val="superscript"/>
                <w:lang w:val="uk-UA"/>
              </w:rPr>
              <w:t>о</w:t>
            </w:r>
            <w:r w:rsidRPr="00982790">
              <w:rPr>
                <w:noProof/>
                <w:sz w:val="22"/>
                <w:szCs w:val="22"/>
                <w:lang w:val="uk-UA"/>
              </w:rPr>
              <w:t>С: не менше 1,40 МПа.</w:t>
            </w:r>
          </w:p>
          <w:p w14:paraId="3CC3E7C9" w14:textId="77777777" w:rsidR="00982790" w:rsidRPr="00982790" w:rsidRDefault="00982790" w:rsidP="007B235E">
            <w:pPr>
              <w:keepNext/>
              <w:jc w:val="both"/>
              <w:rPr>
                <w:noProof/>
                <w:sz w:val="22"/>
                <w:szCs w:val="22"/>
                <w:lang w:val="uk-UA"/>
              </w:rPr>
            </w:pPr>
            <w:r w:rsidRPr="00982790">
              <w:rPr>
                <w:noProof/>
                <w:sz w:val="22"/>
                <w:szCs w:val="22"/>
                <w:lang w:val="uk-UA"/>
              </w:rPr>
              <w:t>Габаритні розміри з розпилювачем:</w:t>
            </w:r>
          </w:p>
          <w:p w14:paraId="429FD180" w14:textId="77777777" w:rsidR="00982790" w:rsidRPr="00982790" w:rsidRDefault="00982790" w:rsidP="007B235E">
            <w:pPr>
              <w:keepNext/>
              <w:jc w:val="both"/>
              <w:rPr>
                <w:noProof/>
                <w:color w:val="000000"/>
                <w:sz w:val="22"/>
                <w:szCs w:val="22"/>
                <w:lang w:val="uk-UA"/>
              </w:rPr>
            </w:pPr>
            <w:r w:rsidRPr="00982790">
              <w:rPr>
                <w:noProof/>
                <w:color w:val="000000"/>
                <w:sz w:val="22"/>
                <w:szCs w:val="22"/>
                <w:lang w:val="uk-UA"/>
              </w:rPr>
              <w:t xml:space="preserve">Висота –  </w:t>
            </w:r>
            <w:r w:rsidRPr="00982790">
              <w:rPr>
                <w:noProof/>
                <w:color w:val="0070C0"/>
                <w:sz w:val="22"/>
                <w:szCs w:val="22"/>
                <w:lang w:val="uk-UA"/>
              </w:rPr>
              <w:t xml:space="preserve">не більше </w:t>
            </w:r>
            <w:r w:rsidRPr="00982790">
              <w:rPr>
                <w:noProof/>
                <w:color w:val="000000"/>
                <w:sz w:val="22"/>
                <w:szCs w:val="22"/>
                <w:lang w:val="uk-UA"/>
              </w:rPr>
              <w:t>410мм.</w:t>
            </w:r>
          </w:p>
          <w:p w14:paraId="08350048" w14:textId="77777777" w:rsidR="00982790" w:rsidRPr="00982790" w:rsidRDefault="00982790" w:rsidP="007B235E">
            <w:pPr>
              <w:keepNext/>
              <w:jc w:val="both"/>
              <w:rPr>
                <w:noProof/>
                <w:color w:val="000000"/>
                <w:sz w:val="22"/>
                <w:szCs w:val="22"/>
                <w:lang w:val="uk-UA"/>
              </w:rPr>
            </w:pPr>
            <w:r w:rsidRPr="00982790">
              <w:rPr>
                <w:noProof/>
                <w:color w:val="000000"/>
                <w:sz w:val="22"/>
                <w:szCs w:val="22"/>
                <w:lang w:val="uk-UA"/>
              </w:rPr>
              <w:t xml:space="preserve">Діаметр –  </w:t>
            </w:r>
            <w:r w:rsidRPr="00982790">
              <w:rPr>
                <w:noProof/>
                <w:color w:val="0070C0"/>
                <w:sz w:val="22"/>
                <w:szCs w:val="22"/>
                <w:lang w:val="uk-UA"/>
              </w:rPr>
              <w:t>не більше</w:t>
            </w:r>
            <w:r w:rsidRPr="00982790">
              <w:rPr>
                <w:noProof/>
                <w:color w:val="000000"/>
                <w:sz w:val="22"/>
                <w:szCs w:val="22"/>
                <w:lang w:val="uk-UA"/>
              </w:rPr>
              <w:t xml:space="preserve"> 350мм. </w:t>
            </w:r>
          </w:p>
          <w:p w14:paraId="74588965" w14:textId="77777777" w:rsidR="00982790" w:rsidRPr="00982790" w:rsidRDefault="00982790" w:rsidP="007B235E">
            <w:pPr>
              <w:keepNext/>
              <w:jc w:val="both"/>
              <w:rPr>
                <w:noProof/>
                <w:sz w:val="22"/>
                <w:szCs w:val="22"/>
                <w:lang w:val="uk-UA"/>
              </w:rPr>
            </w:pPr>
            <w:r w:rsidRPr="00982790">
              <w:rPr>
                <w:noProof/>
                <w:sz w:val="22"/>
                <w:szCs w:val="22"/>
                <w:lang w:val="uk-UA"/>
              </w:rPr>
              <w:t>Наявність засобів контролю тиску та запобігання несанкціонованому пуску: так.</w:t>
            </w:r>
          </w:p>
          <w:p w14:paraId="039BCD39" w14:textId="77777777" w:rsidR="00982790" w:rsidRPr="00982790" w:rsidRDefault="00982790" w:rsidP="007B235E">
            <w:pPr>
              <w:keepNext/>
              <w:jc w:val="both"/>
              <w:rPr>
                <w:noProof/>
                <w:sz w:val="22"/>
                <w:szCs w:val="22"/>
                <w:lang w:val="uk-UA"/>
              </w:rPr>
            </w:pPr>
            <w:r w:rsidRPr="00982790">
              <w:rPr>
                <w:noProof/>
                <w:sz w:val="22"/>
                <w:szCs w:val="22"/>
                <w:lang w:val="uk-UA"/>
              </w:rPr>
              <w:t>Відносна маса/масова частка залишку ВП в посудині після спрацювання модуля: не більше 10 %.</w:t>
            </w:r>
          </w:p>
          <w:p w14:paraId="0B1CBBFB" w14:textId="77777777" w:rsidR="00982790" w:rsidRPr="00982790" w:rsidRDefault="00982790" w:rsidP="007B235E">
            <w:pPr>
              <w:keepNext/>
              <w:jc w:val="both"/>
              <w:rPr>
                <w:noProof/>
                <w:sz w:val="22"/>
                <w:szCs w:val="22"/>
                <w:highlight w:val="yellow"/>
                <w:lang w:val="uk-UA"/>
              </w:rPr>
            </w:pPr>
            <w:r w:rsidRPr="00982790">
              <w:rPr>
                <w:noProof/>
                <w:sz w:val="22"/>
                <w:szCs w:val="22"/>
                <w:lang w:val="uk-UA"/>
              </w:rPr>
              <w:t>Діапазон температур зберігання і експлуатації модулів: від -20</w:t>
            </w:r>
            <w:r w:rsidRPr="00982790">
              <w:rPr>
                <w:noProof/>
                <w:sz w:val="22"/>
                <w:szCs w:val="22"/>
                <w:vertAlign w:val="superscript"/>
                <w:lang w:val="uk-UA"/>
              </w:rPr>
              <w:t>о</w:t>
            </w:r>
            <w:r w:rsidRPr="00982790">
              <w:rPr>
                <w:noProof/>
                <w:sz w:val="22"/>
                <w:szCs w:val="22"/>
                <w:lang w:val="uk-UA"/>
              </w:rPr>
              <w:t>С до +60</w:t>
            </w:r>
            <w:r w:rsidRPr="00982790">
              <w:rPr>
                <w:noProof/>
                <w:sz w:val="22"/>
                <w:szCs w:val="22"/>
                <w:vertAlign w:val="superscript"/>
                <w:lang w:val="uk-UA"/>
              </w:rPr>
              <w:t>о</w:t>
            </w:r>
            <w:r w:rsidRPr="00982790">
              <w:rPr>
                <w:noProof/>
                <w:sz w:val="22"/>
                <w:szCs w:val="22"/>
                <w:lang w:val="uk-UA"/>
              </w:rPr>
              <w:t>С.</w:t>
            </w:r>
          </w:p>
        </w:tc>
      </w:tr>
    </w:tbl>
    <w:p w14:paraId="30EA7C98" w14:textId="77777777" w:rsidR="006F428D" w:rsidRPr="00982790" w:rsidRDefault="006F428D" w:rsidP="00A12478">
      <w:pPr>
        <w:rPr>
          <w:noProof/>
          <w:lang w:val="uk-UA"/>
        </w:rPr>
      </w:pPr>
    </w:p>
    <w:p w14:paraId="2EBAAF75" w14:textId="77777777" w:rsidR="006F428D" w:rsidRPr="00982790" w:rsidRDefault="006F428D" w:rsidP="00A12478">
      <w:pPr>
        <w:rPr>
          <w:noProof/>
          <w:lang w:val="uk-UA"/>
        </w:rPr>
      </w:pPr>
    </w:p>
    <w:sectPr w:rsidR="006F428D" w:rsidRPr="00982790"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CC9F" w14:textId="77777777" w:rsidR="000A5AB6" w:rsidRDefault="000A5AB6">
      <w:r>
        <w:separator/>
      </w:r>
    </w:p>
  </w:endnote>
  <w:endnote w:type="continuationSeparator" w:id="0">
    <w:p w14:paraId="61C3881A" w14:textId="77777777" w:rsidR="000A5AB6" w:rsidRDefault="000A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93DD"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0E99" w14:textId="349023A6" w:rsidR="00A256E7" w:rsidRPr="00A256E7" w:rsidRDefault="00D51905"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4ED901AD" wp14:editId="4B952A9A">
              <wp:simplePos x="0" y="0"/>
              <wp:positionH relativeFrom="column">
                <wp:posOffset>-180340</wp:posOffset>
              </wp:positionH>
              <wp:positionV relativeFrom="paragraph">
                <wp:posOffset>7620</wp:posOffset>
              </wp:positionV>
              <wp:extent cx="6357620" cy="14605"/>
              <wp:effectExtent l="10160" t="7620" r="13970" b="6350"/>
              <wp:wrapNone/>
              <wp:docPr id="90948888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CBBE5F"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9C5519">
      <w:rPr>
        <w:sz w:val="20"/>
        <w:szCs w:val="20"/>
        <w:lang w:val="uk-UA"/>
      </w:rPr>
      <w:t>Протипожежне обладнання, код ДК 021:2015 - 35110000-8 - Протипожежне, рятувальне та захисне обладнання</w:t>
    </w:r>
  </w:p>
  <w:p w14:paraId="6573C824"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9B14"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FB89" w14:textId="77777777" w:rsidR="000A5AB6" w:rsidRDefault="000A5AB6">
      <w:r>
        <w:separator/>
      </w:r>
    </w:p>
  </w:footnote>
  <w:footnote w:type="continuationSeparator" w:id="0">
    <w:p w14:paraId="463BC3A3" w14:textId="77777777" w:rsidR="000A5AB6" w:rsidRDefault="000A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580C"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D87583"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CF5C" w14:textId="1CD7773F" w:rsidR="002D6492" w:rsidRPr="003C4B6B" w:rsidRDefault="00D51905"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8D2D189" wp14:editId="111CE705">
              <wp:simplePos x="0" y="0"/>
              <wp:positionH relativeFrom="column">
                <wp:posOffset>-17145</wp:posOffset>
              </wp:positionH>
              <wp:positionV relativeFrom="paragraph">
                <wp:posOffset>476885</wp:posOffset>
              </wp:positionV>
              <wp:extent cx="6329045" cy="13970"/>
              <wp:effectExtent l="11430" t="10160" r="12700" b="13970"/>
              <wp:wrapNone/>
              <wp:docPr id="3858393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5A203"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7ABD6502" wp14:editId="4ECF716A">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A9BA"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51968730">
    <w:abstractNumId w:val="20"/>
  </w:num>
  <w:num w:numId="2" w16cid:durableId="141820175">
    <w:abstractNumId w:val="22"/>
  </w:num>
  <w:num w:numId="3" w16cid:durableId="1112281265">
    <w:abstractNumId w:val="0"/>
  </w:num>
  <w:num w:numId="4" w16cid:durableId="2066175915">
    <w:abstractNumId w:val="23"/>
  </w:num>
  <w:num w:numId="5" w16cid:durableId="1887060925">
    <w:abstractNumId w:val="7"/>
  </w:num>
  <w:num w:numId="6" w16cid:durableId="1850487239">
    <w:abstractNumId w:val="5"/>
  </w:num>
  <w:num w:numId="7" w16cid:durableId="1568950305">
    <w:abstractNumId w:val="6"/>
  </w:num>
  <w:num w:numId="8" w16cid:durableId="1524124906">
    <w:abstractNumId w:val="19"/>
  </w:num>
  <w:num w:numId="9" w16cid:durableId="1966806741">
    <w:abstractNumId w:val="1"/>
  </w:num>
  <w:num w:numId="10" w16cid:durableId="468594029">
    <w:abstractNumId w:val="16"/>
  </w:num>
  <w:num w:numId="11" w16cid:durableId="1495612030">
    <w:abstractNumId w:val="14"/>
  </w:num>
  <w:num w:numId="12" w16cid:durableId="895433504">
    <w:abstractNumId w:val="12"/>
  </w:num>
  <w:num w:numId="13" w16cid:durableId="2039768265">
    <w:abstractNumId w:val="13"/>
  </w:num>
  <w:num w:numId="14" w16cid:durableId="870993933">
    <w:abstractNumId w:val="3"/>
  </w:num>
  <w:num w:numId="15" w16cid:durableId="1378431482">
    <w:abstractNumId w:val="15"/>
  </w:num>
  <w:num w:numId="16" w16cid:durableId="2066947358">
    <w:abstractNumId w:val="2"/>
  </w:num>
  <w:num w:numId="17" w16cid:durableId="973096867">
    <w:abstractNumId w:val="11"/>
  </w:num>
  <w:num w:numId="18" w16cid:durableId="1923561934">
    <w:abstractNumId w:val="4"/>
  </w:num>
  <w:num w:numId="19" w16cid:durableId="1698434296">
    <w:abstractNumId w:val="8"/>
  </w:num>
  <w:num w:numId="20" w16cid:durableId="1083840276">
    <w:abstractNumId w:val="18"/>
  </w:num>
  <w:num w:numId="21" w16cid:durableId="541017000">
    <w:abstractNumId w:val="9"/>
  </w:num>
  <w:num w:numId="22" w16cid:durableId="1394814198">
    <w:abstractNumId w:val="17"/>
  </w:num>
  <w:num w:numId="23" w16cid:durableId="617101077">
    <w:abstractNumId w:val="10"/>
  </w:num>
  <w:num w:numId="24" w16cid:durableId="1884827349">
    <w:abstractNumId w:val="21"/>
  </w:num>
  <w:num w:numId="25" w16cid:durableId="17621421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5AB6"/>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042B"/>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D785E"/>
    <w:rsid w:val="002E07D8"/>
    <w:rsid w:val="002E0C72"/>
    <w:rsid w:val="002E42F3"/>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6BB"/>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B6644"/>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30B9"/>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5BB2"/>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360F"/>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2790"/>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5519"/>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2863"/>
    <w:rsid w:val="00B352E5"/>
    <w:rsid w:val="00B37BA1"/>
    <w:rsid w:val="00B411D9"/>
    <w:rsid w:val="00B4576E"/>
    <w:rsid w:val="00B45BE8"/>
    <w:rsid w:val="00B518B1"/>
    <w:rsid w:val="00B525DB"/>
    <w:rsid w:val="00B54160"/>
    <w:rsid w:val="00B55432"/>
    <w:rsid w:val="00B5549F"/>
    <w:rsid w:val="00B56EEE"/>
    <w:rsid w:val="00B56F94"/>
    <w:rsid w:val="00B610FF"/>
    <w:rsid w:val="00B6126E"/>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6E2C"/>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905"/>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23126"/>
  <w15:chartTrackingRefBased/>
  <w15:docId w15:val="{7DCA6B9B-143F-4607-AB04-07A850F2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styleId="af9">
    <w:name w:val="Emphasis"/>
    <w:uiPriority w:val="20"/>
    <w:qFormat/>
    <w:rsid w:val="009827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2822</Words>
  <Characters>1610</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10</cp:revision>
  <cp:lastPrinted>2025-12-18T10:41:00Z</cp:lastPrinted>
  <dcterms:created xsi:type="dcterms:W3CDTF">2025-12-18T10:42:00Z</dcterms:created>
  <dcterms:modified xsi:type="dcterms:W3CDTF">2025-12-19T13:03:00Z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