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9854"/>
      </w:tblGrid>
      <w:tr w:rsidR="001021AF" w:rsidRPr="000C37C2" w14:paraId="3F3B03CB" w14:textId="77777777" w:rsidTr="00C62708">
        <w:tc>
          <w:tcPr>
            <w:tcW w:w="9854" w:type="dxa"/>
          </w:tcPr>
          <w:p w14:paraId="3396E77A"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560D5FBB" w14:textId="77777777" w:rsidR="005F3529" w:rsidRPr="000C37C2" w:rsidRDefault="005F3529" w:rsidP="0063471D">
      <w:pPr>
        <w:pStyle w:val="a4"/>
        <w:widowControl w:val="0"/>
        <w:jc w:val="both"/>
        <w:rPr>
          <w:sz w:val="24"/>
          <w:szCs w:val="24"/>
          <w:lang w:val="uk-UA"/>
        </w:rPr>
      </w:pPr>
    </w:p>
    <w:p w14:paraId="5A1E72BB"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5D245C0E" w14:textId="77777777" w:rsidR="009F35DC" w:rsidRPr="000C37C2" w:rsidRDefault="009F35DC" w:rsidP="00440A74">
      <w:pPr>
        <w:widowControl w:val="0"/>
        <w:shd w:val="clear" w:color="auto" w:fill="FFFFFF"/>
        <w:ind w:firstLine="708"/>
        <w:contextualSpacing/>
        <w:jc w:val="both"/>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995"/>
        <w:gridCol w:w="3116"/>
        <w:gridCol w:w="1932"/>
        <w:gridCol w:w="2249"/>
        <w:gridCol w:w="1910"/>
      </w:tblGrid>
      <w:tr w:rsidR="00A76484" w:rsidRPr="000C37C2" w14:paraId="2BF44245" w14:textId="77777777" w:rsidTr="00C62708">
        <w:tc>
          <w:tcPr>
            <w:tcW w:w="487" w:type="pct"/>
            <w:shd w:val="clear" w:color="auto" w:fill="DEEAF6"/>
          </w:tcPr>
          <w:p w14:paraId="56EC630C" w14:textId="77777777" w:rsidR="00A76484" w:rsidRPr="000C37C2" w:rsidRDefault="00A76484" w:rsidP="002D4D30">
            <w:pPr>
              <w:widowControl w:val="0"/>
              <w:contextualSpacing/>
              <w:jc w:val="center"/>
              <w:rPr>
                <w:b/>
              </w:rPr>
            </w:pPr>
            <w:r w:rsidRPr="000C37C2">
              <w:rPr>
                <w:b/>
              </w:rPr>
              <w:t>Пункт Кошторису</w:t>
            </w:r>
          </w:p>
        </w:tc>
        <w:tc>
          <w:tcPr>
            <w:tcW w:w="1527" w:type="pct"/>
            <w:shd w:val="clear" w:color="auto" w:fill="DEEAF6"/>
          </w:tcPr>
          <w:p w14:paraId="45A094A8"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47" w:type="pct"/>
            <w:shd w:val="clear" w:color="auto" w:fill="DEEAF6"/>
          </w:tcPr>
          <w:p w14:paraId="3C73CDF1"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ічного плану закупівель</w:t>
            </w:r>
          </w:p>
        </w:tc>
        <w:tc>
          <w:tcPr>
            <w:tcW w:w="1102" w:type="pct"/>
            <w:shd w:val="clear" w:color="auto" w:fill="DEEAF6"/>
          </w:tcPr>
          <w:p w14:paraId="41B07962"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36" w:type="pct"/>
            <w:shd w:val="clear" w:color="auto" w:fill="DEEAF6"/>
          </w:tcPr>
          <w:p w14:paraId="2A2D6E7C"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A76484" w:rsidRPr="000C37C2" w14:paraId="70B00787" w14:textId="77777777" w:rsidTr="00212515">
        <w:tc>
          <w:tcPr>
            <w:tcW w:w="487" w:type="pct"/>
          </w:tcPr>
          <w:p w14:paraId="549F25E2" w14:textId="3E4E425A" w:rsidR="00A76484" w:rsidRPr="00431943" w:rsidRDefault="00EF1AB5" w:rsidP="005469FD">
            <w:pPr>
              <w:widowControl w:val="0"/>
              <w:ind w:right="-11"/>
              <w:jc w:val="center"/>
              <w:rPr>
                <w:lang w:eastAsia="uk-UA"/>
              </w:rPr>
            </w:pPr>
            <w:r w:rsidRPr="00431943">
              <w:t xml:space="preserve">1.11.1 </w:t>
            </w:r>
            <w:r w:rsidR="00BD6E95" w:rsidRPr="00431943">
              <w:rPr>
                <w:lang w:eastAsia="uk-UA"/>
              </w:rPr>
              <w:t>(202</w:t>
            </w:r>
            <w:r w:rsidR="008D78F9" w:rsidRPr="00431943">
              <w:rPr>
                <w:lang w:eastAsia="uk-UA"/>
              </w:rPr>
              <w:t>6</w:t>
            </w:r>
            <w:r w:rsidR="00A76484" w:rsidRPr="00431943">
              <w:rPr>
                <w:lang w:eastAsia="uk-UA"/>
              </w:rPr>
              <w:t>)</w:t>
            </w:r>
          </w:p>
        </w:tc>
        <w:tc>
          <w:tcPr>
            <w:tcW w:w="1527" w:type="pct"/>
          </w:tcPr>
          <w:p w14:paraId="787D409D" w14:textId="301F6F93" w:rsidR="00A76484" w:rsidRPr="00431943" w:rsidRDefault="00EF1AB5" w:rsidP="00A12478">
            <w:pPr>
              <w:widowControl w:val="0"/>
              <w:rPr>
                <w:bCs/>
              </w:rPr>
            </w:pPr>
            <w:r w:rsidRPr="00431943">
              <w:rPr>
                <w:b/>
              </w:rPr>
              <w:t xml:space="preserve">Лабораторні дослідження питної води (Оформлення «Паспорту радіаційної якості питної води»), </w:t>
            </w:r>
            <w:r w:rsidRPr="001119AC">
              <w:rPr>
                <w:bCs/>
              </w:rPr>
              <w:t>код ДК 021:2015 - 71610000-7 - Послуги з випробувань та аналізу складу і чистоти</w:t>
            </w:r>
            <w:r w:rsidRPr="00431943">
              <w:rPr>
                <w:b/>
              </w:rPr>
              <w:t xml:space="preserve"> </w:t>
            </w:r>
          </w:p>
        </w:tc>
        <w:tc>
          <w:tcPr>
            <w:tcW w:w="947" w:type="pct"/>
          </w:tcPr>
          <w:p w14:paraId="7824CE5A" w14:textId="1682441F" w:rsidR="00A76484" w:rsidRPr="00431943" w:rsidRDefault="00EF1AB5" w:rsidP="002D4D30">
            <w:pPr>
              <w:widowControl w:val="0"/>
              <w:jc w:val="center"/>
            </w:pPr>
            <w:r w:rsidRPr="00431943">
              <w:t>60 000,00</w:t>
            </w:r>
            <w:r w:rsidR="00A76484" w:rsidRPr="00431943">
              <w:t xml:space="preserve"> </w:t>
            </w:r>
          </w:p>
          <w:p w14:paraId="370D54B2" w14:textId="77777777" w:rsidR="00A76484" w:rsidRPr="00431943" w:rsidRDefault="00A76484" w:rsidP="002D4D30">
            <w:pPr>
              <w:widowControl w:val="0"/>
              <w:jc w:val="center"/>
            </w:pPr>
            <w:r w:rsidRPr="00431943">
              <w:t>грн. з ПДВ</w:t>
            </w:r>
          </w:p>
        </w:tc>
        <w:tc>
          <w:tcPr>
            <w:tcW w:w="1102" w:type="pct"/>
          </w:tcPr>
          <w:p w14:paraId="15771033" w14:textId="1019869F" w:rsidR="00A76484" w:rsidRPr="00431943" w:rsidRDefault="00431943" w:rsidP="002D4D30">
            <w:pPr>
              <w:widowControl w:val="0"/>
              <w:jc w:val="center"/>
            </w:pPr>
            <w:r w:rsidRPr="00431943">
              <w:t>5</w:t>
            </w:r>
            <w:r w:rsidR="00EF1AB5" w:rsidRPr="00431943">
              <w:t>0 000,00</w:t>
            </w:r>
          </w:p>
          <w:p w14:paraId="13B53EB6" w14:textId="77777777" w:rsidR="00A76484" w:rsidRPr="00431943" w:rsidRDefault="00A76484" w:rsidP="002D4D30">
            <w:pPr>
              <w:widowControl w:val="0"/>
              <w:jc w:val="center"/>
            </w:pPr>
            <w:r w:rsidRPr="00431943">
              <w:t xml:space="preserve">грн. без ПДВ </w:t>
            </w:r>
          </w:p>
        </w:tc>
        <w:tc>
          <w:tcPr>
            <w:tcW w:w="936" w:type="pct"/>
          </w:tcPr>
          <w:p w14:paraId="2B3378DA" w14:textId="3D5C740E" w:rsidR="00A76484" w:rsidRPr="00431943" w:rsidRDefault="00776F11" w:rsidP="002D4D30">
            <w:pPr>
              <w:widowControl w:val="0"/>
              <w:jc w:val="center"/>
              <w:rPr>
                <w:color w:val="0000FF"/>
              </w:rPr>
            </w:pPr>
            <w:r w:rsidRPr="00776F11">
              <w:rPr>
                <w:color w:val="0000FF"/>
              </w:rPr>
              <w:t>UA-2026-04-16-011773-a</w:t>
            </w:r>
          </w:p>
        </w:tc>
      </w:tr>
    </w:tbl>
    <w:p w14:paraId="2C1DB90F" w14:textId="77777777" w:rsidR="00A12478" w:rsidRPr="000C37C2" w:rsidRDefault="00A12478" w:rsidP="0063471D">
      <w:pPr>
        <w:pStyle w:val="a4"/>
        <w:widowControl w:val="0"/>
        <w:jc w:val="both"/>
        <w:rPr>
          <w:sz w:val="24"/>
          <w:szCs w:val="24"/>
          <w:lang w:val="uk-UA"/>
        </w:rPr>
      </w:pPr>
    </w:p>
    <w:p w14:paraId="0B514766" w14:textId="77777777" w:rsidR="00A355EA" w:rsidRPr="000C37C2" w:rsidRDefault="00A355EA" w:rsidP="00C62708">
      <w:pPr>
        <w:widowControl w:val="0"/>
        <w:shd w:val="clear" w:color="auto" w:fill="DEEAF6"/>
        <w:jc w:val="center"/>
      </w:pPr>
      <w:r w:rsidRPr="000C37C2">
        <w:rPr>
          <w:b/>
        </w:rPr>
        <w:t>Обґрунтування на виконання вимог Постанови КМУ від 11.10.2016 № 710:</w:t>
      </w:r>
    </w:p>
    <w:p w14:paraId="482CCA74" w14:textId="77777777" w:rsidR="006F428D" w:rsidRPr="000C37C2" w:rsidRDefault="006F428D" w:rsidP="00A12478">
      <w:pPr>
        <w:rPr>
          <w:b/>
        </w:rPr>
      </w:pPr>
    </w:p>
    <w:tbl>
      <w:tblPr>
        <w:tblW w:w="10206"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7087"/>
      </w:tblGrid>
      <w:tr w:rsidR="008335E7" w:rsidRPr="000C37C2" w14:paraId="08ABBC20"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795F9908" w14:textId="77777777" w:rsidR="008335E7" w:rsidRPr="000C37C2" w:rsidRDefault="008335E7" w:rsidP="00C62708">
            <w:r w:rsidRPr="000C37C2">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637EC064" w14:textId="77777777" w:rsidR="008335E7" w:rsidRPr="000C37C2" w:rsidRDefault="008335E7" w:rsidP="00C62708">
            <w:r w:rsidRPr="000C37C2">
              <w:t>Обґрунтування очікуваної вартості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741064F9" w14:textId="77777777" w:rsidR="00431943" w:rsidRPr="00393352" w:rsidRDefault="00431943" w:rsidP="00431943">
            <w:pPr>
              <w:widowControl w:val="0"/>
              <w:jc w:val="both"/>
            </w:pPr>
            <w:r w:rsidRPr="00393352">
              <w:rPr>
                <w:b/>
              </w:rPr>
              <w:t>Обґрунтування очікуваної вартості предмета закупівлі:</w:t>
            </w:r>
            <w:r w:rsidRPr="00393352">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закупівель,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33FE886A" w14:textId="77777777" w:rsidR="00431943" w:rsidRPr="00393352" w:rsidRDefault="00431943" w:rsidP="00431943">
            <w:pPr>
              <w:widowControl w:val="0"/>
              <w:ind w:firstLine="284"/>
              <w:jc w:val="both"/>
              <w:rPr>
                <w:i/>
              </w:rPr>
            </w:pPr>
            <w:r w:rsidRPr="00393352">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w:t>
            </w:r>
            <w:r>
              <w:t xml:space="preserve"> </w:t>
            </w:r>
            <w:r w:rsidRPr="00393352">
              <w:t>50-06-1.</w:t>
            </w:r>
            <w:r w:rsidRPr="00393352">
              <w:rPr>
                <w:i/>
              </w:rPr>
              <w:t xml:space="preserve">  </w:t>
            </w:r>
          </w:p>
          <w:p w14:paraId="10A7992B" w14:textId="46C409F9" w:rsidR="008335E7" w:rsidRPr="000C37C2" w:rsidRDefault="00431943" w:rsidP="00431943">
            <w:pPr>
              <w:rPr>
                <w:i/>
              </w:rPr>
            </w:pPr>
            <w:r w:rsidRPr="00393352">
              <w:rPr>
                <w:b/>
              </w:rPr>
              <w:t>Обґрунтування обсягів закупівлі:</w:t>
            </w:r>
            <w:r w:rsidRPr="00393352">
              <w:t xml:space="preserve"> Обсяги визначено ві</w:t>
            </w:r>
            <w:r>
              <w:t>дповідно до очікуваної потреби.</w:t>
            </w:r>
          </w:p>
        </w:tc>
      </w:tr>
      <w:tr w:rsidR="006F428D" w:rsidRPr="000C37C2" w14:paraId="26FE0313"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3F5CBF43" w14:textId="77777777" w:rsidR="006F428D" w:rsidRPr="000C37C2" w:rsidRDefault="008335E7" w:rsidP="00C62708">
            <w:r w:rsidRPr="000C37C2">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64224A8C" w14:textId="77777777" w:rsidR="006F428D" w:rsidRPr="000C37C2" w:rsidRDefault="006F428D" w:rsidP="00C62708">
            <w:r w:rsidRPr="000C37C2">
              <w:t>Обґрунтування технічних та якісних характеристик предмета закупівлі</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2315E3AE" w14:textId="77777777" w:rsidR="00431943" w:rsidRPr="003D3C47" w:rsidRDefault="00431943" w:rsidP="00431943">
            <w:pPr>
              <w:widowControl w:val="0"/>
              <w:tabs>
                <w:tab w:val="left" w:pos="1134"/>
              </w:tabs>
              <w:overflowPunct w:val="0"/>
              <w:autoSpaceDE w:val="0"/>
              <w:autoSpaceDN w:val="0"/>
              <w:adjustRightInd w:val="0"/>
              <w:textAlignment w:val="baseline"/>
            </w:pPr>
            <w:r w:rsidRPr="003D3C47">
              <w:t>ДержСанПіН 2.2.4-171- 10 «Гігієнічні вимоги до води питної, призначеної для споживання людиною».</w:t>
            </w:r>
          </w:p>
          <w:p w14:paraId="19CC470E" w14:textId="77777777" w:rsidR="00431943" w:rsidRPr="003D3C47" w:rsidRDefault="00431943" w:rsidP="00431943">
            <w:pPr>
              <w:widowControl w:val="0"/>
              <w:tabs>
                <w:tab w:val="left" w:pos="1134"/>
              </w:tabs>
              <w:overflowPunct w:val="0"/>
              <w:autoSpaceDE w:val="0"/>
              <w:autoSpaceDN w:val="0"/>
              <w:adjustRightInd w:val="0"/>
              <w:textAlignment w:val="baseline"/>
            </w:pPr>
            <w:r w:rsidRPr="003D3C47">
              <w:t>Бактеріальний аналіз питної води:</w:t>
            </w:r>
          </w:p>
          <w:p w14:paraId="4CCEAA71" w14:textId="77777777" w:rsidR="00431943" w:rsidRPr="003D3C47" w:rsidRDefault="00431943" w:rsidP="00431943">
            <w:pPr>
              <w:widowControl w:val="0"/>
              <w:tabs>
                <w:tab w:val="left" w:pos="1134"/>
              </w:tabs>
              <w:overflowPunct w:val="0"/>
              <w:autoSpaceDE w:val="0"/>
              <w:autoSpaceDN w:val="0"/>
              <w:adjustRightInd w:val="0"/>
              <w:textAlignment w:val="baseline"/>
            </w:pPr>
            <w:r w:rsidRPr="003D3C47">
              <w:t>- Визначення загальної кількості мезофільних анаеробних мікроорганізмів та факультативно-анаеробних мікроорганізмів в об՚єктах середовища життєдіяльності людини;</w:t>
            </w:r>
          </w:p>
          <w:p w14:paraId="2F6DA065" w14:textId="77777777" w:rsidR="00431943" w:rsidRPr="003D3C47" w:rsidRDefault="00431943" w:rsidP="00431943">
            <w:pPr>
              <w:widowControl w:val="0"/>
              <w:tabs>
                <w:tab w:val="left" w:pos="1134"/>
              </w:tabs>
              <w:overflowPunct w:val="0"/>
              <w:autoSpaceDE w:val="0"/>
              <w:autoSpaceDN w:val="0"/>
              <w:adjustRightInd w:val="0"/>
              <w:textAlignment w:val="baseline"/>
            </w:pPr>
            <w:r w:rsidRPr="003D3C47">
              <w:lastRenderedPageBreak/>
              <w:t>- Визначення бактерій групи кишкової палички;</w:t>
            </w:r>
          </w:p>
          <w:p w14:paraId="1BAF1963" w14:textId="77777777" w:rsidR="00431943" w:rsidRPr="003D3C47" w:rsidRDefault="00431943" w:rsidP="00431943">
            <w:pPr>
              <w:widowControl w:val="0"/>
              <w:tabs>
                <w:tab w:val="left" w:pos="1134"/>
              </w:tabs>
              <w:overflowPunct w:val="0"/>
              <w:autoSpaceDE w:val="0"/>
              <w:autoSpaceDN w:val="0"/>
              <w:adjustRightInd w:val="0"/>
              <w:textAlignment w:val="baseline"/>
            </w:pPr>
            <w:r w:rsidRPr="003D3C47">
              <w:t>- Виявлення бактерій Е.соІі;</w:t>
            </w:r>
          </w:p>
          <w:p w14:paraId="1292DB91" w14:textId="276DA483" w:rsidR="006F428D" w:rsidRPr="000C37C2" w:rsidRDefault="00431943" w:rsidP="00431943">
            <w:pPr>
              <w:rPr>
                <w:i/>
              </w:rPr>
            </w:pPr>
            <w:r w:rsidRPr="003D3C47">
              <w:t>- Виявлення ентерококів</w:t>
            </w:r>
          </w:p>
        </w:tc>
      </w:tr>
      <w:tr w:rsidR="006F428D" w:rsidRPr="000C37C2" w14:paraId="128D22B1" w14:textId="77777777" w:rsidTr="005E3419">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79C8A89F" w14:textId="77777777" w:rsidR="006F428D" w:rsidRPr="000C37C2" w:rsidRDefault="006F428D" w:rsidP="00C62708">
            <w:pPr>
              <w:rPr>
                <w:bCs/>
              </w:rPr>
            </w:pPr>
            <w:r w:rsidRPr="000C37C2">
              <w:rPr>
                <w:bCs/>
              </w:rPr>
              <w:lastRenderedPageBreak/>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21F9C8DC" w14:textId="77777777" w:rsidR="006F428D" w:rsidRPr="000C37C2" w:rsidRDefault="006F428D" w:rsidP="00C62708">
            <w:r w:rsidRPr="000C37C2">
              <w:t>Інша інформація</w:t>
            </w:r>
          </w:p>
        </w:tc>
        <w:tc>
          <w:tcPr>
            <w:tcW w:w="7087" w:type="dxa"/>
            <w:tcBorders>
              <w:top w:val="thickThinLargeGap" w:sz="6" w:space="0" w:color="000000"/>
              <w:left w:val="thickThinLargeGap" w:sz="6" w:space="0" w:color="000000"/>
              <w:bottom w:val="thickThinLargeGap" w:sz="6" w:space="0" w:color="000000"/>
              <w:right w:val="thickThinLargeGap" w:sz="6" w:space="0" w:color="000000"/>
            </w:tcBorders>
          </w:tcPr>
          <w:p w14:paraId="4EA49722" w14:textId="77777777" w:rsidR="00431943" w:rsidRPr="00393352" w:rsidRDefault="00431943" w:rsidP="00431943">
            <w:pPr>
              <w:widowControl w:val="0"/>
            </w:pPr>
            <w:r w:rsidRPr="00393352">
              <w:rPr>
                <w:b/>
              </w:rPr>
              <w:t>Спосіб проведення моніторингу ринку</w:t>
            </w:r>
            <w:r w:rsidRPr="00393352">
              <w:t xml:space="preserve"> </w:t>
            </w:r>
          </w:p>
          <w:p w14:paraId="1B46D2F6" w14:textId="77777777" w:rsidR="00431943" w:rsidRDefault="00431943" w:rsidP="00431943">
            <w:pPr>
              <w:widowControl w:val="0"/>
            </w:pPr>
            <w:r w:rsidRPr="00393352">
              <w:t xml:space="preserve">Було проведено моніторинг ринку, направлено низку запитів підприємствам, що виконують відповідну послугу на наступні електронні пошти:  </w:t>
            </w:r>
          </w:p>
          <w:p w14:paraId="0717F885" w14:textId="77777777" w:rsidR="00431943" w:rsidRPr="00915F98" w:rsidRDefault="00431943" w:rsidP="00431943">
            <w:pPr>
              <w:widowControl w:val="0"/>
            </w:pPr>
            <w:r w:rsidRPr="005444DE">
              <w:t>-</w:t>
            </w:r>
            <w:r>
              <w:t xml:space="preserve"> </w:t>
            </w:r>
            <w:r w:rsidRPr="00A92AFD">
              <w:t xml:space="preserve">МІЖРЕГІОНАЛЬНИЙ ОФІС ЗАХИСНИХ МАСИВІВ ДНІПРОВСЬКИХ ВОДОСХОВИЩ </w:t>
            </w:r>
            <w:r w:rsidRPr="00915F98">
              <w:t xml:space="preserve">- </w:t>
            </w:r>
            <w:hyperlink r:id="rId8" w:history="1">
              <w:r>
                <w:t xml:space="preserve"> </w:t>
              </w:r>
              <w:r w:rsidRPr="00A92AFD">
                <w:rPr>
                  <w:rStyle w:val="af"/>
                </w:rPr>
                <w:t xml:space="preserve">mozmdv@mozmdv.gov.ua </w:t>
              </w:r>
            </w:hyperlink>
            <w:r w:rsidRPr="00915F98">
              <w:t>;</w:t>
            </w:r>
          </w:p>
          <w:p w14:paraId="3DA5AEEE" w14:textId="77777777" w:rsidR="00431943" w:rsidRDefault="00431943" w:rsidP="00431943">
            <w:pPr>
              <w:widowControl w:val="0"/>
            </w:pPr>
            <w:r w:rsidRPr="00915F98">
              <w:t xml:space="preserve">- </w:t>
            </w:r>
            <w:r w:rsidRPr="00A92AFD">
              <w:t>ПП «Незалежний центр лабораторних досліджень «ЕТАЛОН»</w:t>
            </w:r>
            <w:r w:rsidRPr="00915F98">
              <w:t xml:space="preserve">- </w:t>
            </w:r>
            <w:hyperlink r:id="rId9" w:history="1">
              <w:r w:rsidRPr="00537AAC">
                <w:rPr>
                  <w:rStyle w:val="af"/>
                </w:rPr>
                <w:t>etalon125@ukr.net</w:t>
              </w:r>
            </w:hyperlink>
            <w:r w:rsidRPr="00915F98">
              <w:t>;</w:t>
            </w:r>
          </w:p>
          <w:p w14:paraId="1834A52C" w14:textId="77777777" w:rsidR="00431943" w:rsidRPr="00915F98" w:rsidRDefault="00431943" w:rsidP="00431943">
            <w:pPr>
              <w:widowControl w:val="0"/>
            </w:pPr>
            <w:r>
              <w:t xml:space="preserve">- </w:t>
            </w:r>
            <w:r w:rsidRPr="00A92AFD">
              <w:t>ТОВ «Компанія Субос»</w:t>
            </w:r>
            <w:r>
              <w:t xml:space="preserve">- </w:t>
            </w:r>
            <w:r w:rsidRPr="00A92AFD">
              <w:t>ВИПРОБУВАЛЬНА ЛАБОРАТОРІЯ</w:t>
            </w:r>
            <w:r>
              <w:t xml:space="preserve">- </w:t>
            </w:r>
            <w:r w:rsidRPr="000E62B2">
              <w:t>office@ subos.com.ua ;</w:t>
            </w:r>
          </w:p>
          <w:p w14:paraId="36B1521E" w14:textId="77777777" w:rsidR="00431943" w:rsidRDefault="00431943" w:rsidP="00431943">
            <w:pPr>
              <w:widowControl w:val="0"/>
            </w:pPr>
            <w:r w:rsidRPr="00915F98">
              <w:t>- ТОВ «УКРХІМАНАЛІЗ»</w:t>
            </w:r>
            <w:r w:rsidRPr="00915F98">
              <w:rPr>
                <w:lang w:val="ru-RU"/>
              </w:rPr>
              <w:t xml:space="preserve"> - </w:t>
            </w:r>
            <w:hyperlink r:id="rId10" w:history="1">
              <w:r w:rsidRPr="0008300D">
                <w:rPr>
                  <w:rStyle w:val="af"/>
                  <w:lang w:val="en-US"/>
                </w:rPr>
                <w:t>info</w:t>
              </w:r>
              <w:r w:rsidRPr="0008300D">
                <w:rPr>
                  <w:rStyle w:val="af"/>
                  <w:lang w:val="ru-RU"/>
                </w:rPr>
                <w:t>@</w:t>
              </w:r>
              <w:r w:rsidRPr="0008300D">
                <w:rPr>
                  <w:rStyle w:val="af"/>
                  <w:lang w:val="en-US"/>
                </w:rPr>
                <w:t>himanaliz</w:t>
              </w:r>
              <w:r w:rsidRPr="0008300D">
                <w:rPr>
                  <w:rStyle w:val="af"/>
                  <w:lang w:val="ru-RU"/>
                </w:rPr>
                <w:t>.</w:t>
              </w:r>
              <w:r w:rsidRPr="0008300D">
                <w:rPr>
                  <w:rStyle w:val="af"/>
                  <w:lang w:val="en-US"/>
                </w:rPr>
                <w:t>ua</w:t>
              </w:r>
            </w:hyperlink>
          </w:p>
          <w:p w14:paraId="4BA8072A" w14:textId="77777777" w:rsidR="00431943" w:rsidRPr="000E62B2" w:rsidRDefault="00431943" w:rsidP="00431943">
            <w:pPr>
              <w:widowControl w:val="0"/>
              <w:rPr>
                <w:b/>
                <w:u w:val="single"/>
              </w:rPr>
            </w:pPr>
            <w:r>
              <w:t xml:space="preserve">- </w:t>
            </w:r>
            <w:r w:rsidRPr="000E62B2">
              <w:t>ТОВ "АЛЛБАУТЕХ УКРАЇНА"</w:t>
            </w:r>
            <w:r>
              <w:t xml:space="preserve">- </w:t>
            </w:r>
            <w:r w:rsidRPr="002C2D3A">
              <w:t>laboratory@albion.ua</w:t>
            </w:r>
            <w:r>
              <w:t>.</w:t>
            </w:r>
          </w:p>
          <w:p w14:paraId="069B6562" w14:textId="0827ADED" w:rsidR="006F428D" w:rsidRPr="000C37C2" w:rsidRDefault="00431943" w:rsidP="00431943">
            <w:pPr>
              <w:rPr>
                <w:i/>
              </w:rPr>
            </w:pPr>
            <w:r w:rsidRPr="00915F98">
              <w:t>Отримані пропозиції використані для проведення</w:t>
            </w:r>
            <w:r>
              <w:t xml:space="preserve"> аналізу ринку. </w:t>
            </w:r>
            <w:r w:rsidRPr="00393352">
              <w:t xml:space="preserve">Також було враховано досвід попередніх закупівель ДП МА «Бориспіль» (договір </w:t>
            </w:r>
            <w:r w:rsidRPr="00367ED2">
              <w:t>№ 35.1-14.</w:t>
            </w:r>
            <w:r>
              <w:t>4</w:t>
            </w:r>
            <w:r w:rsidRPr="00367ED2">
              <w:t>/8.3-</w:t>
            </w:r>
            <w:r>
              <w:t>15</w:t>
            </w:r>
            <w:r w:rsidRPr="00367ED2">
              <w:t xml:space="preserve"> від </w:t>
            </w:r>
            <w:r>
              <w:t>07</w:t>
            </w:r>
            <w:r w:rsidRPr="00367ED2">
              <w:t>.0</w:t>
            </w:r>
            <w:r>
              <w:t>7</w:t>
            </w:r>
            <w:r w:rsidRPr="00367ED2">
              <w:t>.202</w:t>
            </w:r>
            <w:r>
              <w:t>5</w:t>
            </w:r>
            <w:r w:rsidRPr="00367ED2">
              <w:rPr>
                <w:color w:val="FF0000"/>
              </w:rPr>
              <w:t xml:space="preserve"> </w:t>
            </w:r>
            <w:r w:rsidRPr="00367ED2">
              <w:t>)</w:t>
            </w:r>
          </w:p>
        </w:tc>
      </w:tr>
    </w:tbl>
    <w:p w14:paraId="4B789BB8" w14:textId="77777777" w:rsidR="006F428D" w:rsidRPr="000C37C2" w:rsidRDefault="006F428D" w:rsidP="00A12478">
      <w:pPr>
        <w:rPr>
          <w:b/>
        </w:rPr>
      </w:pPr>
    </w:p>
    <w:p w14:paraId="6CFABD41" w14:textId="77777777" w:rsidR="006926A0" w:rsidRDefault="006926A0" w:rsidP="006926A0">
      <w:pPr>
        <w:ind w:firstLine="567"/>
        <w:jc w:val="both"/>
      </w:pPr>
      <w:r w:rsidRPr="000C37C2">
        <w:t>Враховуючи зазначене, замовник прийняв рішення стосовно застосування таких технічних та якісних характеристик предмета закупівлі:</w:t>
      </w:r>
    </w:p>
    <w:p w14:paraId="1CFA73DD" w14:textId="77777777" w:rsidR="00431943" w:rsidRPr="000C37C2" w:rsidRDefault="00431943" w:rsidP="006926A0">
      <w:pPr>
        <w:ind w:firstLine="567"/>
        <w:jc w:val="both"/>
      </w:pPr>
    </w:p>
    <w:tbl>
      <w:tblPr>
        <w:tblW w:w="9922"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60" w:type="dxa"/>
          <w:bottom w:w="30" w:type="dxa"/>
          <w:right w:w="30" w:type="dxa"/>
        </w:tblCellMar>
        <w:tblLook w:val="0000" w:firstRow="0" w:lastRow="0" w:firstColumn="0" w:lastColumn="0" w:noHBand="0" w:noVBand="0"/>
      </w:tblPr>
      <w:tblGrid>
        <w:gridCol w:w="709"/>
        <w:gridCol w:w="3402"/>
        <w:gridCol w:w="992"/>
        <w:gridCol w:w="992"/>
        <w:gridCol w:w="3827"/>
      </w:tblGrid>
      <w:tr w:rsidR="00431943" w:rsidRPr="00FC009B" w14:paraId="0BDEB916" w14:textId="77777777" w:rsidTr="0036540B">
        <w:tc>
          <w:tcPr>
            <w:tcW w:w="709" w:type="dxa"/>
            <w:shd w:val="clear" w:color="auto" w:fill="C1E4F5"/>
          </w:tcPr>
          <w:p w14:paraId="34398022" w14:textId="77777777" w:rsidR="00431943" w:rsidRDefault="00431943" w:rsidP="0036540B">
            <w:pPr>
              <w:widowControl w:val="0"/>
              <w:jc w:val="center"/>
              <w:rPr>
                <w:sz w:val="22"/>
                <w:szCs w:val="22"/>
              </w:rPr>
            </w:pPr>
            <w:r w:rsidRPr="00AA1B52">
              <w:rPr>
                <w:sz w:val="22"/>
                <w:szCs w:val="22"/>
              </w:rPr>
              <w:t xml:space="preserve">№ </w:t>
            </w:r>
          </w:p>
          <w:p w14:paraId="1CF56F45" w14:textId="77777777" w:rsidR="00431943" w:rsidRPr="00AA1B52" w:rsidRDefault="00431943" w:rsidP="0036540B">
            <w:pPr>
              <w:widowControl w:val="0"/>
              <w:jc w:val="center"/>
              <w:rPr>
                <w:sz w:val="22"/>
                <w:szCs w:val="22"/>
              </w:rPr>
            </w:pPr>
            <w:r w:rsidRPr="00AA1B52">
              <w:rPr>
                <w:sz w:val="22"/>
                <w:szCs w:val="22"/>
              </w:rPr>
              <w:t>п/п</w:t>
            </w:r>
          </w:p>
        </w:tc>
        <w:tc>
          <w:tcPr>
            <w:tcW w:w="3402" w:type="dxa"/>
            <w:shd w:val="clear" w:color="auto" w:fill="C1E4F5"/>
          </w:tcPr>
          <w:p w14:paraId="0EBA7885" w14:textId="77777777" w:rsidR="00431943" w:rsidRPr="00FC009B" w:rsidRDefault="00431943" w:rsidP="0036540B">
            <w:pPr>
              <w:widowControl w:val="0"/>
              <w:jc w:val="center"/>
              <w:rPr>
                <w:b/>
                <w:sz w:val="22"/>
                <w:szCs w:val="22"/>
              </w:rPr>
            </w:pPr>
            <w:r w:rsidRPr="005B6364">
              <w:rPr>
                <w:sz w:val="22"/>
                <w:szCs w:val="22"/>
              </w:rPr>
              <w:t>Найменування послуги</w:t>
            </w:r>
          </w:p>
        </w:tc>
        <w:tc>
          <w:tcPr>
            <w:tcW w:w="992" w:type="dxa"/>
            <w:shd w:val="clear" w:color="auto" w:fill="C1E4F5"/>
          </w:tcPr>
          <w:p w14:paraId="22AE409D" w14:textId="77777777" w:rsidR="00431943" w:rsidRPr="00397918" w:rsidRDefault="00431943" w:rsidP="0036540B">
            <w:pPr>
              <w:widowControl w:val="0"/>
              <w:jc w:val="center"/>
              <w:rPr>
                <w:sz w:val="22"/>
                <w:szCs w:val="22"/>
              </w:rPr>
            </w:pPr>
            <w:r w:rsidRPr="00397918">
              <w:rPr>
                <w:sz w:val="22"/>
                <w:szCs w:val="22"/>
              </w:rPr>
              <w:t>Одиниця</w:t>
            </w:r>
          </w:p>
          <w:p w14:paraId="11F186A7" w14:textId="77777777" w:rsidR="00431943" w:rsidRPr="00FC009B" w:rsidRDefault="00431943" w:rsidP="0036540B">
            <w:pPr>
              <w:widowControl w:val="0"/>
              <w:jc w:val="center"/>
              <w:rPr>
                <w:b/>
                <w:sz w:val="22"/>
                <w:szCs w:val="22"/>
              </w:rPr>
            </w:pPr>
            <w:r w:rsidRPr="00397918">
              <w:rPr>
                <w:sz w:val="22"/>
                <w:szCs w:val="22"/>
              </w:rPr>
              <w:t>виміру</w:t>
            </w:r>
          </w:p>
        </w:tc>
        <w:tc>
          <w:tcPr>
            <w:tcW w:w="992" w:type="dxa"/>
            <w:shd w:val="clear" w:color="auto" w:fill="C1E4F5"/>
          </w:tcPr>
          <w:p w14:paraId="79C7704F" w14:textId="77777777" w:rsidR="00431943" w:rsidRPr="00FC009B" w:rsidRDefault="00431943" w:rsidP="0036540B">
            <w:pPr>
              <w:widowControl w:val="0"/>
              <w:jc w:val="center"/>
              <w:rPr>
                <w:b/>
                <w:sz w:val="22"/>
                <w:szCs w:val="22"/>
              </w:rPr>
            </w:pPr>
            <w:r w:rsidRPr="00397918">
              <w:rPr>
                <w:sz w:val="22"/>
                <w:szCs w:val="22"/>
              </w:rPr>
              <w:t>Кількість</w:t>
            </w:r>
          </w:p>
        </w:tc>
        <w:tc>
          <w:tcPr>
            <w:tcW w:w="3827" w:type="dxa"/>
            <w:shd w:val="clear" w:color="auto" w:fill="C1E4F5"/>
          </w:tcPr>
          <w:p w14:paraId="732C7704" w14:textId="77777777" w:rsidR="00431943" w:rsidRPr="00FC009B" w:rsidRDefault="00431943" w:rsidP="0036540B">
            <w:pPr>
              <w:widowControl w:val="0"/>
              <w:jc w:val="center"/>
              <w:rPr>
                <w:b/>
                <w:sz w:val="22"/>
                <w:szCs w:val="22"/>
              </w:rPr>
            </w:pPr>
            <w:r w:rsidRPr="00054CDC">
              <w:rPr>
                <w:sz w:val="22"/>
                <w:szCs w:val="22"/>
              </w:rPr>
              <w:t>Технічні та якісні характеристики предмета закупівлі</w:t>
            </w:r>
          </w:p>
        </w:tc>
      </w:tr>
      <w:tr w:rsidR="00431943" w:rsidRPr="00E44025" w14:paraId="1DD6B6DE" w14:textId="77777777" w:rsidTr="0036540B">
        <w:tc>
          <w:tcPr>
            <w:tcW w:w="709" w:type="dxa"/>
          </w:tcPr>
          <w:p w14:paraId="7A6F325E" w14:textId="77777777" w:rsidR="00431943" w:rsidRPr="00AA1B52" w:rsidRDefault="00431943" w:rsidP="0036540B">
            <w:pPr>
              <w:widowControl w:val="0"/>
              <w:jc w:val="center"/>
              <w:rPr>
                <w:sz w:val="22"/>
                <w:szCs w:val="22"/>
              </w:rPr>
            </w:pPr>
            <w:r w:rsidRPr="00AA1B52">
              <w:rPr>
                <w:sz w:val="22"/>
                <w:szCs w:val="22"/>
              </w:rPr>
              <w:t>1</w:t>
            </w:r>
          </w:p>
        </w:tc>
        <w:tc>
          <w:tcPr>
            <w:tcW w:w="3402" w:type="dxa"/>
          </w:tcPr>
          <w:p w14:paraId="16EC34E4" w14:textId="77777777" w:rsidR="00431943" w:rsidRPr="00AA1B52" w:rsidRDefault="00431943" w:rsidP="0036540B">
            <w:pPr>
              <w:keepNext/>
              <w:keepLines/>
              <w:ind w:right="-81"/>
              <w:rPr>
                <w:sz w:val="22"/>
                <w:szCs w:val="22"/>
              </w:rPr>
            </w:pPr>
            <w:r w:rsidRPr="00AA1B52">
              <w:rPr>
                <w:sz w:val="22"/>
                <w:szCs w:val="22"/>
              </w:rPr>
              <w:t>Лабораторні дослідження питної води (Оформлення «Паспорту радіаційної якості питної води»)</w:t>
            </w:r>
          </w:p>
        </w:tc>
        <w:tc>
          <w:tcPr>
            <w:tcW w:w="992" w:type="dxa"/>
          </w:tcPr>
          <w:p w14:paraId="7EB5C24D" w14:textId="77777777" w:rsidR="00431943" w:rsidRPr="00AA1B52" w:rsidRDefault="00431943" w:rsidP="0036540B">
            <w:pPr>
              <w:widowControl w:val="0"/>
              <w:jc w:val="center"/>
              <w:rPr>
                <w:sz w:val="22"/>
                <w:szCs w:val="22"/>
              </w:rPr>
            </w:pPr>
            <w:r w:rsidRPr="00AA1B52">
              <w:rPr>
                <w:sz w:val="22"/>
                <w:szCs w:val="22"/>
              </w:rPr>
              <w:t>послуга</w:t>
            </w:r>
          </w:p>
        </w:tc>
        <w:tc>
          <w:tcPr>
            <w:tcW w:w="992" w:type="dxa"/>
          </w:tcPr>
          <w:p w14:paraId="1DEBFC03" w14:textId="77777777" w:rsidR="00431943" w:rsidRPr="00AA1B52" w:rsidRDefault="00431943" w:rsidP="0036540B">
            <w:pPr>
              <w:widowControl w:val="0"/>
              <w:jc w:val="center"/>
              <w:rPr>
                <w:sz w:val="22"/>
                <w:szCs w:val="22"/>
              </w:rPr>
            </w:pPr>
            <w:r w:rsidRPr="00AA1B52">
              <w:rPr>
                <w:sz w:val="22"/>
                <w:szCs w:val="22"/>
              </w:rPr>
              <w:t>8</w:t>
            </w:r>
          </w:p>
        </w:tc>
        <w:tc>
          <w:tcPr>
            <w:tcW w:w="3827" w:type="dxa"/>
          </w:tcPr>
          <w:p w14:paraId="012FB245" w14:textId="77777777" w:rsidR="00431943" w:rsidRPr="00AA1B52" w:rsidRDefault="00431943" w:rsidP="0036540B">
            <w:pPr>
              <w:ind w:right="113"/>
              <w:jc w:val="both"/>
              <w:rPr>
                <w:sz w:val="22"/>
                <w:szCs w:val="22"/>
              </w:rPr>
            </w:pPr>
            <w:r w:rsidRPr="00AA1B52">
              <w:rPr>
                <w:sz w:val="22"/>
                <w:szCs w:val="22"/>
              </w:rPr>
              <w:t xml:space="preserve">Технологія надання послуги визначається Виконавцем на підставі  «Норми радіаційної безпеки України» (НРБУ-97) </w:t>
            </w:r>
          </w:p>
        </w:tc>
      </w:tr>
    </w:tbl>
    <w:p w14:paraId="6A3B5787" w14:textId="77777777" w:rsidR="006F428D" w:rsidRPr="000C37C2" w:rsidRDefault="006F428D" w:rsidP="00A12478">
      <w:pPr>
        <w:rPr>
          <w:b/>
        </w:rPr>
      </w:pPr>
    </w:p>
    <w:sectPr w:rsidR="006F428D" w:rsidRPr="000C37C2" w:rsidSect="00F318CA">
      <w:headerReference w:type="even" r:id="rId11"/>
      <w:headerReference w:type="default" r:id="rId12"/>
      <w:footerReference w:type="even" r:id="rId13"/>
      <w:footerReference w:type="default" r:id="rId14"/>
      <w:headerReference w:type="first" r:id="rId15"/>
      <w:footerReference w:type="first" r:id="rId16"/>
      <w:pgSz w:w="11906" w:h="16838"/>
      <w:pgMar w:top="567" w:right="567" w:bottom="567" w:left="1134"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1B4A3" w14:textId="77777777" w:rsidR="004453ED" w:rsidRPr="000C37C2" w:rsidRDefault="004453ED">
      <w:r w:rsidRPr="000C37C2">
        <w:separator/>
      </w:r>
    </w:p>
  </w:endnote>
  <w:endnote w:type="continuationSeparator" w:id="0">
    <w:p w14:paraId="04EE7BBD" w14:textId="77777777" w:rsidR="004453ED" w:rsidRPr="000C37C2" w:rsidRDefault="004453ED">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 w:name="Aptos">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C9EF7" w14:textId="77777777" w:rsidR="00EF1AB5" w:rsidRDefault="00EF1AB5">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708CD" w14:textId="41083358" w:rsidR="00A256E7" w:rsidRPr="000C37C2" w:rsidRDefault="00000000" w:rsidP="00A256E7">
    <w:pPr>
      <w:tabs>
        <w:tab w:val="center" w:pos="4819"/>
        <w:tab w:val="right" w:pos="9639"/>
      </w:tabs>
      <w:jc w:val="right"/>
      <w:rPr>
        <w:sz w:val="20"/>
        <w:szCs w:val="20"/>
        <w:u w:val="single"/>
      </w:rPr>
    </w:pPr>
    <w:r>
      <w:rPr>
        <w:sz w:val="20"/>
        <w:szCs w:val="20"/>
        <w:u w:val="single"/>
        <w:lang w:eastAsia="uk-UA"/>
      </w:rPr>
      <w:pict w14:anchorId="05974E64">
        <v:shapetype id="_x0000_t32" coordsize="21600,21600" o:spt="32" o:oned="t" path="m,l21600,21600e" filled="f">
          <v:path arrowok="t" fillok="f" o:connecttype="none"/>
          <o:lock v:ext="edit" shapetype="t"/>
        </v:shapetype>
        <v:shape id="_x0000_s1025" type="#_x0000_t32" style="position:absolute;left:0;text-align:left;margin-left:-14.2pt;margin-top:.6pt;width:500.6pt;height:1.15pt;z-index:1" o:connectortype="straight"/>
      </w:pict>
    </w:r>
    <w:r w:rsidR="00EF1AB5">
      <w:rPr>
        <w:sz w:val="20"/>
        <w:szCs w:val="20"/>
      </w:rPr>
      <w:t xml:space="preserve">Лабораторні дослідження питної води (Оформлення «Паспорту радіаційної якості питної води»), код ДК 021:2015 - 71610000-7 - Послуги з випробувань та аналізу складу і чистоти </w:t>
    </w:r>
  </w:p>
  <w:p w14:paraId="7B496E9F"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4B5A0" w14:textId="77777777" w:rsidR="00EF1AB5" w:rsidRDefault="00EF1AB5">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78BF3B" w14:textId="77777777" w:rsidR="004453ED" w:rsidRPr="000C37C2" w:rsidRDefault="004453ED">
      <w:r w:rsidRPr="000C37C2">
        <w:separator/>
      </w:r>
    </w:p>
  </w:footnote>
  <w:footnote w:type="continuationSeparator" w:id="0">
    <w:p w14:paraId="2226668F" w14:textId="77777777" w:rsidR="004453ED" w:rsidRPr="000C37C2" w:rsidRDefault="004453ED">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C87E3"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3665E688"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C0329" w14:textId="77777777" w:rsidR="002D6492" w:rsidRPr="000C37C2" w:rsidRDefault="00000000" w:rsidP="00A3681A">
    <w:pPr>
      <w:pStyle w:val="aa"/>
      <w:jc w:val="both"/>
      <w:rPr>
        <w:sz w:val="20"/>
        <w:szCs w:val="20"/>
      </w:rPr>
    </w:pPr>
    <w:r>
      <w:rPr>
        <w:lang w:eastAsia="uk-UA"/>
      </w:rPr>
      <w:pict w14:anchorId="39070A91">
        <v:shapetype id="_x0000_t32" coordsize="21600,21600" o:spt="32" o:oned="t" path="m,l21600,21600e" filled="f">
          <v:path arrowok="t" fillok="f" o:connecttype="none"/>
          <o:lock v:ext="edit" shapetype="t"/>
        </v:shapetype>
        <v:shape id="_x0000_s1026" type="#_x0000_t32" style="position:absolute;left:0;text-align:left;margin-left:-1.35pt;margin-top:37.55pt;width:498.35pt;height:1.1pt;z-index:2" o:connectortype="straight"/>
      </w:pict>
    </w:r>
    <w:r w:rsidR="00776F11">
      <w:pict w14:anchorId="5E2D29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114pt;height:22.5pt;visibility:visible">
          <v:imagedata r:id="rId1" o:title=""/>
        </v:shape>
      </w:pict>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1EE6" w14:textId="77777777" w:rsidR="00472235" w:rsidRPr="000C37C2" w:rsidRDefault="00000000" w:rsidP="00472235">
    <w:r>
      <w:pict w14:anchorId="18A701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564322280" o:spid="_x0000_s1028" type="#_x0000_t75" alt="surface1" style="position:absolute;margin-left:44.8pt;margin-top:55.6pt;width:188.35pt;height:40.2pt;z-index:-1;visibility:visible;mso-position-horizontal-relative:page;mso-position-vertical-relative:page">
          <v:imagedata r:id="rId1" o:title="surface1"/>
          <w10:wrap anchorx="page" anchory="page"/>
        </v:shape>
      </w:pict>
    </w:r>
  </w:p>
  <w:tbl>
    <w:tblPr>
      <w:tblW w:w="6656" w:type="dxa"/>
      <w:tblInd w:w="3119" w:type="dxa"/>
      <w:tblLook w:val="04A0" w:firstRow="1" w:lastRow="0" w:firstColumn="1" w:lastColumn="0" w:noHBand="0" w:noVBand="1"/>
    </w:tblPr>
    <w:tblGrid>
      <w:gridCol w:w="3402"/>
      <w:gridCol w:w="3119"/>
      <w:gridCol w:w="135"/>
    </w:tblGrid>
    <w:tr w:rsidR="00472235" w:rsidRPr="000C37C2" w14:paraId="50DCD792" w14:textId="77777777" w:rsidTr="00AF66AC">
      <w:trPr>
        <w:gridAfter w:val="1"/>
        <w:wAfter w:w="135" w:type="dxa"/>
      </w:trPr>
      <w:tc>
        <w:tcPr>
          <w:tcW w:w="3402" w:type="dxa"/>
          <w:tcBorders>
            <w:right w:val="single" w:sz="8" w:space="0" w:color="0F4761"/>
          </w:tcBorders>
        </w:tcPr>
        <w:p w14:paraId="339FFF46"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1C10F03B" w14:textId="77777777" w:rsidR="00472235" w:rsidRPr="000C37C2" w:rsidRDefault="00472235" w:rsidP="00472235">
          <w:r w:rsidRPr="00AF66AC">
            <w:rPr>
              <w:color w:val="2136A4"/>
              <w:sz w:val="14"/>
            </w:rPr>
            <w:t>MINISTRY FOR DEVELOPMENT OF COMMUNITIES</w:t>
          </w:r>
        </w:p>
      </w:tc>
    </w:tr>
    <w:tr w:rsidR="00472235" w:rsidRPr="000C37C2" w14:paraId="04152FA6" w14:textId="77777777" w:rsidTr="00AF66AC">
      <w:trPr>
        <w:gridAfter w:val="1"/>
        <w:wAfter w:w="135" w:type="dxa"/>
        <w:trHeight w:val="224"/>
      </w:trPr>
      <w:tc>
        <w:tcPr>
          <w:tcW w:w="3402" w:type="dxa"/>
          <w:tcBorders>
            <w:right w:val="single" w:sz="8" w:space="0" w:color="0F4761"/>
          </w:tcBorders>
        </w:tcPr>
        <w:p w14:paraId="4346CCD9"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0E2D8A09"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1A1D1FC4" w14:textId="77777777" w:rsidTr="00AF66AC">
      <w:trPr>
        <w:gridAfter w:val="1"/>
        <w:wAfter w:w="135" w:type="dxa"/>
      </w:trPr>
      <w:tc>
        <w:tcPr>
          <w:tcW w:w="3402" w:type="dxa"/>
          <w:tcBorders>
            <w:right w:val="single" w:sz="8" w:space="0" w:color="0F4761"/>
          </w:tcBorders>
        </w:tcPr>
        <w:p w14:paraId="3BD1A582"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74C73A86"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0A13CAC1" w14:textId="77777777" w:rsidTr="00AF66AC">
      <w:trPr>
        <w:gridAfter w:val="1"/>
        <w:wAfter w:w="135" w:type="dxa"/>
        <w:trHeight w:val="216"/>
      </w:trPr>
      <w:tc>
        <w:tcPr>
          <w:tcW w:w="3402" w:type="dxa"/>
          <w:tcBorders>
            <w:right w:val="single" w:sz="8" w:space="0" w:color="0F4761"/>
          </w:tcBorders>
        </w:tcPr>
        <w:p w14:paraId="6A586A0F"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5CE9A2B4"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06FA25A5" w14:textId="77777777" w:rsidTr="00AF66AC">
      <w:trPr>
        <w:gridAfter w:val="1"/>
        <w:wAfter w:w="135" w:type="dxa"/>
      </w:trPr>
      <w:tc>
        <w:tcPr>
          <w:tcW w:w="3402" w:type="dxa"/>
          <w:tcBorders>
            <w:right w:val="single" w:sz="8" w:space="0" w:color="0F4761"/>
          </w:tcBorders>
        </w:tcPr>
        <w:p w14:paraId="34560F27"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6490181E"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Boryspil-7 Str., Hora village, Boryspil district</w:t>
          </w:r>
        </w:p>
      </w:tc>
    </w:tr>
    <w:tr w:rsidR="00472235" w:rsidRPr="000C37C2" w14:paraId="16159FDE" w14:textId="77777777" w:rsidTr="00AF66AC">
      <w:trPr>
        <w:gridAfter w:val="1"/>
        <w:wAfter w:w="135" w:type="dxa"/>
        <w:trHeight w:val="207"/>
      </w:trPr>
      <w:tc>
        <w:tcPr>
          <w:tcW w:w="3402" w:type="dxa"/>
          <w:tcBorders>
            <w:right w:val="single" w:sz="8" w:space="0" w:color="0F4761"/>
          </w:tcBorders>
        </w:tcPr>
        <w:p w14:paraId="4582F040"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4B47A1C3" w14:textId="77777777" w:rsidR="00472235" w:rsidRPr="000C37C2" w:rsidRDefault="00472235" w:rsidP="00472235">
          <w:r w:rsidRPr="00AF66AC">
            <w:rPr>
              <w:color w:val="2136A4"/>
              <w:sz w:val="14"/>
            </w:rPr>
            <w:t>Kyiv region, Ukraine, 08300</w:t>
          </w:r>
        </w:p>
      </w:tc>
    </w:tr>
    <w:tr w:rsidR="00472235" w:rsidRPr="000C37C2" w14:paraId="3C112AE0" w14:textId="77777777" w:rsidTr="00AF66AC">
      <w:tc>
        <w:tcPr>
          <w:tcW w:w="6378" w:type="dxa"/>
          <w:gridSpan w:val="3"/>
        </w:tcPr>
        <w:p w14:paraId="56A2BBF3"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116234F6" w14:textId="77777777" w:rsidTr="00AF66AC">
      <w:tc>
        <w:tcPr>
          <w:tcW w:w="6378" w:type="dxa"/>
          <w:gridSpan w:val="3"/>
        </w:tcPr>
        <w:p w14:paraId="79A6A5CB"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fax: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09335576"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7F967178" w14:textId="77777777" w:rsidR="000F2F0F" w:rsidRPr="000C37C2" w:rsidRDefault="00000000">
    <w:pPr>
      <w:pStyle w:val="aa"/>
    </w:pPr>
    <w:r>
      <w:pict w14:anchorId="59FB487D">
        <v:line id="Прямая соединительная линия 6" o:spid="_x0000_s1027" style="position:absolute;z-index:3;visibility:visible;mso-position-horizontal:center;mso-position-horizontal-relative:page;mso-position-vertical-relative:text"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" strokecolor="#2136a4" strokeweight="1pt">
          <v:stroke joinstyle="miter"/>
          <w10:wrap anchorx="page"/>
        </v:lin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2070225113">
    <w:abstractNumId w:val="22"/>
  </w:num>
  <w:num w:numId="2" w16cid:durableId="1332947677">
    <w:abstractNumId w:val="24"/>
  </w:num>
  <w:num w:numId="3" w16cid:durableId="266163571">
    <w:abstractNumId w:val="0"/>
  </w:num>
  <w:num w:numId="4" w16cid:durableId="1520772729">
    <w:abstractNumId w:val="25"/>
  </w:num>
  <w:num w:numId="5" w16cid:durableId="442266438">
    <w:abstractNumId w:val="7"/>
  </w:num>
  <w:num w:numId="6" w16cid:durableId="37094926">
    <w:abstractNumId w:val="5"/>
  </w:num>
  <w:num w:numId="7" w16cid:durableId="1740784473">
    <w:abstractNumId w:val="6"/>
  </w:num>
  <w:num w:numId="8" w16cid:durableId="1660884158">
    <w:abstractNumId w:val="21"/>
  </w:num>
  <w:num w:numId="9" w16cid:durableId="1837763301">
    <w:abstractNumId w:val="1"/>
  </w:num>
  <w:num w:numId="10" w16cid:durableId="359279533">
    <w:abstractNumId w:val="18"/>
  </w:num>
  <w:num w:numId="11" w16cid:durableId="1035692383">
    <w:abstractNumId w:val="16"/>
  </w:num>
  <w:num w:numId="12" w16cid:durableId="591083493">
    <w:abstractNumId w:val="14"/>
  </w:num>
  <w:num w:numId="13" w16cid:durableId="444929926">
    <w:abstractNumId w:val="15"/>
  </w:num>
  <w:num w:numId="14" w16cid:durableId="794913698">
    <w:abstractNumId w:val="3"/>
  </w:num>
  <w:num w:numId="15" w16cid:durableId="2034652414">
    <w:abstractNumId w:val="17"/>
  </w:num>
  <w:num w:numId="16" w16cid:durableId="1313486068">
    <w:abstractNumId w:val="2"/>
  </w:num>
  <w:num w:numId="17" w16cid:durableId="824707219">
    <w:abstractNumId w:val="13"/>
  </w:num>
  <w:num w:numId="18" w16cid:durableId="485321128">
    <w:abstractNumId w:val="4"/>
  </w:num>
  <w:num w:numId="19" w16cid:durableId="814180803">
    <w:abstractNumId w:val="8"/>
  </w:num>
  <w:num w:numId="20" w16cid:durableId="828598647">
    <w:abstractNumId w:val="20"/>
  </w:num>
  <w:num w:numId="21" w16cid:durableId="896163097">
    <w:abstractNumId w:val="10"/>
  </w:num>
  <w:num w:numId="22" w16cid:durableId="1362514639">
    <w:abstractNumId w:val="19"/>
  </w:num>
  <w:num w:numId="23" w16cid:durableId="420957826">
    <w:abstractNumId w:val="12"/>
  </w:num>
  <w:num w:numId="24" w16cid:durableId="131682722">
    <w:abstractNumId w:val="23"/>
  </w:num>
  <w:num w:numId="25" w16cid:durableId="1995840492">
    <w:abstractNumId w:val="23"/>
  </w:num>
  <w:num w:numId="26" w16cid:durableId="1464227396">
    <w:abstractNumId w:val="9"/>
  </w:num>
  <w:num w:numId="27" w16cid:durableId="7919456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50"/>
    <o:shapelayout v:ext="edit">
      <o:idmap v:ext="edit" data="1"/>
      <o:rules v:ext="edit">
        <o:r id="V:Rule1" type="connector" idref="#_x0000_s1026"/>
        <o:r id="V:Rule2" type="connector" idref="#_x0000_s1025"/>
      </o:rules>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5AA8"/>
    <w:rsid w:val="00056C16"/>
    <w:rsid w:val="00056C4B"/>
    <w:rsid w:val="000630B3"/>
    <w:rsid w:val="00064C58"/>
    <w:rsid w:val="00064DBB"/>
    <w:rsid w:val="00064F9D"/>
    <w:rsid w:val="0006502E"/>
    <w:rsid w:val="00065BCD"/>
    <w:rsid w:val="00066D73"/>
    <w:rsid w:val="00066D82"/>
    <w:rsid w:val="00066E61"/>
    <w:rsid w:val="00067191"/>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19AC"/>
    <w:rsid w:val="00112D4D"/>
    <w:rsid w:val="00113615"/>
    <w:rsid w:val="00114CF9"/>
    <w:rsid w:val="00115C8E"/>
    <w:rsid w:val="00116334"/>
    <w:rsid w:val="00117624"/>
    <w:rsid w:val="001178B4"/>
    <w:rsid w:val="001210FB"/>
    <w:rsid w:val="00121600"/>
    <w:rsid w:val="00122067"/>
    <w:rsid w:val="001225A2"/>
    <w:rsid w:val="00124AF6"/>
    <w:rsid w:val="00126812"/>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6758"/>
    <w:rsid w:val="001E7EC3"/>
    <w:rsid w:val="001F0404"/>
    <w:rsid w:val="001F0800"/>
    <w:rsid w:val="001F20A8"/>
    <w:rsid w:val="001F6838"/>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4A2"/>
    <w:rsid w:val="003468D4"/>
    <w:rsid w:val="00347935"/>
    <w:rsid w:val="00347BDD"/>
    <w:rsid w:val="00350087"/>
    <w:rsid w:val="00350F27"/>
    <w:rsid w:val="00352F06"/>
    <w:rsid w:val="003556FB"/>
    <w:rsid w:val="00356974"/>
    <w:rsid w:val="003571E9"/>
    <w:rsid w:val="003578E4"/>
    <w:rsid w:val="003607CD"/>
    <w:rsid w:val="00360823"/>
    <w:rsid w:val="00361D45"/>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943"/>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53ED"/>
    <w:rsid w:val="004461DF"/>
    <w:rsid w:val="0045335D"/>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C096D"/>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76F11"/>
    <w:rsid w:val="00780E8A"/>
    <w:rsid w:val="00781B05"/>
    <w:rsid w:val="007831D1"/>
    <w:rsid w:val="00783B02"/>
    <w:rsid w:val="00784110"/>
    <w:rsid w:val="00785057"/>
    <w:rsid w:val="00785B1B"/>
    <w:rsid w:val="00786493"/>
    <w:rsid w:val="007900D9"/>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21E4"/>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80119"/>
    <w:rsid w:val="0098082E"/>
    <w:rsid w:val="00983B37"/>
    <w:rsid w:val="00984887"/>
    <w:rsid w:val="009853D5"/>
    <w:rsid w:val="00990B10"/>
    <w:rsid w:val="00990C7A"/>
    <w:rsid w:val="00991977"/>
    <w:rsid w:val="00991A0E"/>
    <w:rsid w:val="009931E0"/>
    <w:rsid w:val="00997E8A"/>
    <w:rsid w:val="009A005F"/>
    <w:rsid w:val="009A0825"/>
    <w:rsid w:val="009A112C"/>
    <w:rsid w:val="009A285A"/>
    <w:rsid w:val="009A2B90"/>
    <w:rsid w:val="009A32D2"/>
    <w:rsid w:val="009A46B6"/>
    <w:rsid w:val="009A46FD"/>
    <w:rsid w:val="009A528A"/>
    <w:rsid w:val="009B09A1"/>
    <w:rsid w:val="009B3581"/>
    <w:rsid w:val="009B395D"/>
    <w:rsid w:val="009B40C1"/>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C34"/>
    <w:rsid w:val="00AB3921"/>
    <w:rsid w:val="00AB6020"/>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1AB5"/>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A5DAD"/>
  <w15:chartTrackingRefBased/>
  <w15:docId w15:val="{2722967F-DA97-46C9-A2E0-EFDEBA600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es@viaduk.ne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himanaliz.ua" TargetMode="External"/><Relationship Id="rId4" Type="http://schemas.openxmlformats.org/officeDocument/2006/relationships/settings" Target="settings.xml"/><Relationship Id="rId9" Type="http://schemas.openxmlformats.org/officeDocument/2006/relationships/hyperlink" Target="mailto:etalon125@ukr.net"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2192</Words>
  <Characters>1251</Characters>
  <Application>Microsoft Office Word</Application>
  <DocSecurity>0</DocSecurity>
  <Lines>10</Lines>
  <Paragraphs>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3437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Гапонюк Наталія Володимирівна</dc:creator>
  <cp:keywords/>
  <cp:lastModifiedBy>Гапонюк Наталія Володимирівна</cp:lastModifiedBy>
  <cp:revision>3</cp:revision>
  <cp:lastPrinted>2021-11-17T09:02:00Z</cp:lastPrinted>
  <dcterms:created xsi:type="dcterms:W3CDTF">2026-03-19T09:09:00Z</dcterms:created>
  <dcterms:modified xsi:type="dcterms:W3CDTF">2026-04-17T13:02:00Z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