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854"/>
      </w:tblGrid>
      <w:tr w:rsidR="001021AF" w:rsidRPr="000C37C2" w14:paraId="6F0242F5" w14:textId="77777777" w:rsidTr="00C62708">
        <w:tc>
          <w:tcPr>
            <w:tcW w:w="9854" w:type="dxa"/>
          </w:tcPr>
          <w:p w14:paraId="71589969"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44CFADE9" w14:textId="77777777" w:rsidR="005F3529" w:rsidRPr="000C37C2" w:rsidRDefault="005F3529" w:rsidP="0063471D">
      <w:pPr>
        <w:pStyle w:val="a4"/>
        <w:widowControl w:val="0"/>
        <w:jc w:val="both"/>
        <w:rPr>
          <w:sz w:val="24"/>
          <w:szCs w:val="24"/>
          <w:lang w:val="uk-UA"/>
        </w:rPr>
      </w:pPr>
    </w:p>
    <w:p w14:paraId="6E4F95B0" w14:textId="77777777" w:rsidR="007D7B6F" w:rsidRPr="000C37C2" w:rsidRDefault="003C4B6B" w:rsidP="0063471D">
      <w:pPr>
        <w:pStyle w:val="a4"/>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7E2E7D2A" w14:textId="77777777" w:rsidR="009F35DC" w:rsidRPr="000C37C2" w:rsidRDefault="009F35DC" w:rsidP="00440A74">
      <w:pPr>
        <w:widowControl w:val="0"/>
        <w:shd w:val="clear" w:color="auto" w:fill="FFFFFF"/>
        <w:ind w:firstLine="708"/>
        <w:contextualSpacing/>
        <w:jc w:val="both"/>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0C37C2" w14:paraId="07B02D6A" w14:textId="77777777" w:rsidTr="00C62708">
        <w:tc>
          <w:tcPr>
            <w:tcW w:w="487" w:type="pct"/>
            <w:shd w:val="clear" w:color="auto" w:fill="DEEAF6"/>
          </w:tcPr>
          <w:p w14:paraId="5884BAC1" w14:textId="77777777" w:rsidR="00A76484" w:rsidRPr="000C37C2" w:rsidRDefault="00A76484" w:rsidP="002D4D30">
            <w:pPr>
              <w:widowControl w:val="0"/>
              <w:contextualSpacing/>
              <w:jc w:val="center"/>
              <w:rPr>
                <w:b/>
              </w:rPr>
            </w:pPr>
            <w:r w:rsidRPr="000C37C2">
              <w:rPr>
                <w:b/>
              </w:rPr>
              <w:t>Пункт Кошторису</w:t>
            </w:r>
          </w:p>
        </w:tc>
        <w:tc>
          <w:tcPr>
            <w:tcW w:w="1527" w:type="pct"/>
            <w:shd w:val="clear" w:color="auto" w:fill="DEEAF6"/>
          </w:tcPr>
          <w:p w14:paraId="76FD59BF"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47" w:type="pct"/>
            <w:shd w:val="clear" w:color="auto" w:fill="DEEAF6"/>
          </w:tcPr>
          <w:p w14:paraId="7068FA35"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 xml:space="preserve">ічного плану </w:t>
            </w:r>
            <w:proofErr w:type="spellStart"/>
            <w:r w:rsidRPr="000C37C2">
              <w:rPr>
                <w:b/>
              </w:rPr>
              <w:t>закупівель</w:t>
            </w:r>
            <w:proofErr w:type="spellEnd"/>
          </w:p>
        </w:tc>
        <w:tc>
          <w:tcPr>
            <w:tcW w:w="1102" w:type="pct"/>
            <w:shd w:val="clear" w:color="auto" w:fill="DEEAF6"/>
          </w:tcPr>
          <w:p w14:paraId="0653ACFB"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936" w:type="pct"/>
            <w:shd w:val="clear" w:color="auto" w:fill="DEEAF6"/>
          </w:tcPr>
          <w:p w14:paraId="531FD80C"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A76484" w:rsidRPr="000C37C2" w14:paraId="6246A3F0" w14:textId="77777777" w:rsidTr="00212515">
        <w:tc>
          <w:tcPr>
            <w:tcW w:w="487" w:type="pct"/>
          </w:tcPr>
          <w:p w14:paraId="0CCAE1F3" w14:textId="13CF77D1" w:rsidR="00A76484" w:rsidRPr="00177080" w:rsidRDefault="00177080" w:rsidP="005469FD">
            <w:pPr>
              <w:widowControl w:val="0"/>
              <w:ind w:right="-11"/>
              <w:jc w:val="center"/>
              <w:rPr>
                <w:lang w:eastAsia="uk-UA"/>
              </w:rPr>
            </w:pPr>
            <w:r w:rsidRPr="00177080">
              <w:t>17.27.1</w:t>
            </w:r>
            <w:r w:rsidR="00BD6E95" w:rsidRPr="00177080">
              <w:rPr>
                <w:lang w:eastAsia="uk-UA"/>
              </w:rPr>
              <w:t>(202</w:t>
            </w:r>
            <w:r w:rsidR="008D78F9" w:rsidRPr="00177080">
              <w:rPr>
                <w:lang w:eastAsia="uk-UA"/>
              </w:rPr>
              <w:t>6</w:t>
            </w:r>
            <w:r w:rsidR="00A76484" w:rsidRPr="00177080">
              <w:rPr>
                <w:lang w:eastAsia="uk-UA"/>
              </w:rPr>
              <w:t>)</w:t>
            </w:r>
          </w:p>
        </w:tc>
        <w:tc>
          <w:tcPr>
            <w:tcW w:w="1527" w:type="pct"/>
          </w:tcPr>
          <w:p w14:paraId="5E4AE1B8" w14:textId="1E5E6984" w:rsidR="00A76484" w:rsidRPr="00177080" w:rsidRDefault="00357A4F" w:rsidP="00A12478">
            <w:pPr>
              <w:widowControl w:val="0"/>
              <w:rPr>
                <w:bCs/>
              </w:rPr>
            </w:pPr>
            <w:r w:rsidRPr="00177080">
              <w:rPr>
                <w:b/>
              </w:rPr>
              <w:t xml:space="preserve">Ручні інструменти, </w:t>
            </w:r>
            <w:r w:rsidRPr="002665F8">
              <w:rPr>
                <w:bCs/>
              </w:rPr>
              <w:t>код ДК 021:2015 - 44510000-8 - Знаряддя</w:t>
            </w:r>
            <w:r w:rsidRPr="00177080">
              <w:rPr>
                <w:b/>
              </w:rPr>
              <w:t xml:space="preserve"> </w:t>
            </w:r>
          </w:p>
        </w:tc>
        <w:tc>
          <w:tcPr>
            <w:tcW w:w="947" w:type="pct"/>
          </w:tcPr>
          <w:p w14:paraId="79C243C1" w14:textId="056829AF" w:rsidR="00A76484" w:rsidRPr="00177080" w:rsidRDefault="00357A4F" w:rsidP="002D4D30">
            <w:pPr>
              <w:widowControl w:val="0"/>
              <w:jc w:val="center"/>
            </w:pPr>
            <w:r w:rsidRPr="00177080">
              <w:t>7 753,00</w:t>
            </w:r>
            <w:r w:rsidR="00A76484" w:rsidRPr="00177080">
              <w:t xml:space="preserve"> </w:t>
            </w:r>
          </w:p>
          <w:p w14:paraId="2CAE433E" w14:textId="77777777" w:rsidR="00A76484" w:rsidRPr="00177080" w:rsidRDefault="00A76484" w:rsidP="002D4D30">
            <w:pPr>
              <w:widowControl w:val="0"/>
              <w:jc w:val="center"/>
            </w:pPr>
            <w:r w:rsidRPr="00177080">
              <w:t>грн. з ПДВ</w:t>
            </w:r>
          </w:p>
        </w:tc>
        <w:tc>
          <w:tcPr>
            <w:tcW w:w="1102" w:type="pct"/>
          </w:tcPr>
          <w:p w14:paraId="34566C61" w14:textId="66098FB4" w:rsidR="00A76484" w:rsidRPr="00177080" w:rsidRDefault="00177080" w:rsidP="002D4D30">
            <w:pPr>
              <w:widowControl w:val="0"/>
              <w:jc w:val="center"/>
            </w:pPr>
            <w:r w:rsidRPr="00177080">
              <w:t>6 460,83</w:t>
            </w:r>
            <w:r w:rsidR="00357A4F" w:rsidRPr="00177080">
              <w:t>,00</w:t>
            </w:r>
          </w:p>
          <w:p w14:paraId="72888A52" w14:textId="77777777" w:rsidR="00A76484" w:rsidRPr="00177080" w:rsidRDefault="00A76484" w:rsidP="002D4D30">
            <w:pPr>
              <w:widowControl w:val="0"/>
              <w:jc w:val="center"/>
            </w:pPr>
            <w:r w:rsidRPr="00177080">
              <w:t xml:space="preserve">грн. без ПДВ </w:t>
            </w:r>
          </w:p>
        </w:tc>
        <w:tc>
          <w:tcPr>
            <w:tcW w:w="936" w:type="pct"/>
          </w:tcPr>
          <w:p w14:paraId="7B2F57C2" w14:textId="0B15C2BE" w:rsidR="00A76484" w:rsidRPr="00177080" w:rsidRDefault="00357A4F" w:rsidP="002D4D30">
            <w:pPr>
              <w:widowControl w:val="0"/>
              <w:jc w:val="center"/>
              <w:rPr>
                <w:color w:val="0000FF"/>
              </w:rPr>
            </w:pPr>
            <w:r w:rsidRPr="00177080">
              <w:rPr>
                <w:b/>
              </w:rPr>
              <w:t>UA-2026-04-21-004536-a</w:t>
            </w:r>
          </w:p>
        </w:tc>
      </w:tr>
    </w:tbl>
    <w:p w14:paraId="4B0C0EC5" w14:textId="77777777" w:rsidR="00A12478" w:rsidRPr="000C37C2" w:rsidRDefault="00A12478" w:rsidP="0063471D">
      <w:pPr>
        <w:pStyle w:val="a4"/>
        <w:widowControl w:val="0"/>
        <w:jc w:val="both"/>
        <w:rPr>
          <w:sz w:val="24"/>
          <w:szCs w:val="24"/>
          <w:lang w:val="uk-UA"/>
        </w:rPr>
      </w:pPr>
    </w:p>
    <w:p w14:paraId="289F7A94" w14:textId="77777777" w:rsidR="00A355EA" w:rsidRPr="000C37C2" w:rsidRDefault="00A355EA" w:rsidP="00C62708">
      <w:pPr>
        <w:widowControl w:val="0"/>
        <w:shd w:val="clear" w:color="auto" w:fill="DEEAF6"/>
        <w:jc w:val="center"/>
      </w:pPr>
      <w:r w:rsidRPr="000C37C2">
        <w:rPr>
          <w:b/>
        </w:rPr>
        <w:t>Обґрунтування на виконання вимог Постанови КМУ від 11.10.2016 № 710:</w:t>
      </w:r>
    </w:p>
    <w:p w14:paraId="092E3F89" w14:textId="77777777" w:rsidR="006F428D" w:rsidRPr="000C37C2" w:rsidRDefault="006F428D" w:rsidP="00A12478">
      <w:pPr>
        <w:rPr>
          <w:b/>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8335E7" w:rsidRPr="000C37C2" w14:paraId="4B740ED4"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4E480DFC" w14:textId="77777777" w:rsidR="008335E7" w:rsidRPr="000C37C2" w:rsidRDefault="008335E7" w:rsidP="00C62708">
            <w:r w:rsidRPr="000C37C2">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D4D649F" w14:textId="77777777" w:rsidR="008335E7" w:rsidRPr="000C37C2" w:rsidRDefault="008335E7" w:rsidP="00C62708">
            <w:r w:rsidRPr="000C37C2">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4FD2A633" w14:textId="77777777" w:rsidR="00177080" w:rsidRDefault="00177080" w:rsidP="00177080">
            <w:pPr>
              <w:widowControl w:val="0"/>
              <w:ind w:right="160" w:firstLine="358"/>
              <w:jc w:val="both"/>
            </w:pPr>
            <w:r w:rsidRPr="00056BFC">
              <w:rPr>
                <w:b/>
                <w:i/>
              </w:rPr>
              <w:t>Обґрунтування очікуваної вартості предмета закупівлі:</w:t>
            </w:r>
            <w:r w:rsidRPr="00056BFC">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056BFC">
              <w:t>закупівель</w:t>
            </w:r>
            <w:proofErr w:type="spellEnd"/>
            <w:r w:rsidRPr="00056BFC">
              <w:t>,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5F3ED0A3" w14:textId="77777777" w:rsidR="00177080" w:rsidRPr="00056BFC" w:rsidRDefault="00177080" w:rsidP="00177080">
            <w:pPr>
              <w:widowControl w:val="0"/>
              <w:ind w:right="160"/>
              <w:jc w:val="both"/>
            </w:pPr>
            <w:r>
              <w:t xml:space="preserve">    </w:t>
            </w:r>
            <w:r w:rsidRPr="00056BFC">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p>
          <w:p w14:paraId="5D1A0D10" w14:textId="07D6E7EB" w:rsidR="008335E7" w:rsidRPr="000C37C2" w:rsidRDefault="00177080" w:rsidP="00177080">
            <w:pPr>
              <w:rPr>
                <w:i/>
              </w:rPr>
            </w:pPr>
            <w:r w:rsidRPr="00DB509D">
              <w:rPr>
                <w:b/>
                <w:i/>
              </w:rPr>
              <w:t>Обґрунтування обсягів закупівлі:</w:t>
            </w:r>
            <w:r w:rsidRPr="00DB509D">
              <w:rPr>
                <w:b/>
              </w:rPr>
              <w:t xml:space="preserve"> </w:t>
            </w:r>
            <w:r w:rsidRPr="00DB509D">
              <w:t>Обсяги визначено відповідно до очікуваної потреби.</w:t>
            </w:r>
          </w:p>
        </w:tc>
      </w:tr>
      <w:tr w:rsidR="006F428D" w:rsidRPr="000C37C2" w14:paraId="1D668543"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3E69CA0F" w14:textId="77777777" w:rsidR="006F428D" w:rsidRPr="000C37C2" w:rsidRDefault="008335E7" w:rsidP="00C62708">
            <w:r w:rsidRPr="000C37C2">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7B7982A1" w14:textId="77777777" w:rsidR="006F428D" w:rsidRPr="000C37C2" w:rsidRDefault="006F428D" w:rsidP="00C62708">
            <w:r w:rsidRPr="000C37C2">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27646BA9" w14:textId="77777777" w:rsidR="00177080" w:rsidRDefault="00177080" w:rsidP="00177080">
            <w:pPr>
              <w:widowControl w:val="0"/>
              <w:ind w:right="160" w:firstLine="368"/>
              <w:jc w:val="both"/>
            </w:pPr>
            <w:r w:rsidRPr="00DB509D">
              <w:rPr>
                <w:b/>
                <w:i/>
              </w:rPr>
              <w:t>Визначення потреби в закупівлі:</w:t>
            </w:r>
            <w:r>
              <w:t xml:space="preserve"> </w:t>
            </w:r>
            <w:r w:rsidRPr="002C4D42">
              <w:t xml:space="preserve">зумовлена необхідністю </w:t>
            </w:r>
            <w:r>
              <w:t>з</w:t>
            </w:r>
            <w:r w:rsidRPr="001015B7">
              <w:t>абезпечення експлуатаційного утримання аеродрому ДП МА «Бориспіль» шляхом виконання ремонтних робіт штучних покриттів аеродрому та внутрішньо портових доріг для підтримання їх у належному технічному стані.</w:t>
            </w:r>
          </w:p>
          <w:p w14:paraId="52830723" w14:textId="77777777" w:rsidR="00177080" w:rsidRPr="00DB509D" w:rsidRDefault="00177080" w:rsidP="00177080">
            <w:pPr>
              <w:widowControl w:val="0"/>
              <w:ind w:right="160" w:firstLine="368"/>
              <w:jc w:val="both"/>
            </w:pPr>
            <w:r w:rsidRPr="00DB509D">
              <w:rPr>
                <w:b/>
                <w:i/>
              </w:rPr>
              <w:t>Обґрунтування технічних та якісних характеристик предмета закупівлі:</w:t>
            </w:r>
            <w:r w:rsidRPr="00DB509D">
              <w:t xml:space="preserve">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p>
          <w:p w14:paraId="7F954AE1" w14:textId="07B5B444" w:rsidR="006F428D" w:rsidRPr="000C37C2" w:rsidRDefault="00177080" w:rsidP="00177080">
            <w:pPr>
              <w:rPr>
                <w:i/>
              </w:rPr>
            </w:pPr>
            <w:r w:rsidRPr="00DB509D">
              <w:lastRenderedPageBreak/>
              <w:t>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r w:rsidR="006F428D" w:rsidRPr="000C37C2" w14:paraId="158C1D47"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11327FF" w14:textId="77777777" w:rsidR="006F428D" w:rsidRPr="000C37C2" w:rsidRDefault="006F428D" w:rsidP="00C62708">
            <w:pPr>
              <w:rPr>
                <w:bCs/>
              </w:rPr>
            </w:pPr>
            <w:r w:rsidRPr="000C37C2">
              <w:rPr>
                <w:bCs/>
              </w:rPr>
              <w:lastRenderedPageBreak/>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6F20E25" w14:textId="77777777" w:rsidR="006F428D" w:rsidRPr="000C37C2" w:rsidRDefault="006F428D" w:rsidP="00C62708">
            <w:r w:rsidRPr="000C37C2">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1F15773D" w14:textId="59E44227" w:rsidR="006F428D" w:rsidRPr="000C37C2" w:rsidRDefault="00177080" w:rsidP="00C62708">
            <w:pPr>
              <w:rPr>
                <w:i/>
              </w:rPr>
            </w:pPr>
            <w:r w:rsidRPr="00E5001B">
              <w:t>Період замовлення товарів – у період дії правового режиму</w:t>
            </w:r>
            <w:r>
              <w:t xml:space="preserve"> </w:t>
            </w:r>
            <w:r w:rsidRPr="00E5001B">
              <w:t>воєнного стану в Україні та протягом 90 днів з дня його</w:t>
            </w:r>
            <w:r>
              <w:t xml:space="preserve"> </w:t>
            </w:r>
            <w:r w:rsidRPr="00E5001B">
              <w:t>припинення або скасування.</w:t>
            </w:r>
          </w:p>
        </w:tc>
      </w:tr>
    </w:tbl>
    <w:p w14:paraId="3B4BF686" w14:textId="77777777" w:rsidR="006F428D" w:rsidRPr="000C37C2" w:rsidRDefault="006F428D" w:rsidP="00A12478">
      <w:pPr>
        <w:rPr>
          <w:b/>
        </w:rPr>
      </w:pPr>
    </w:p>
    <w:p w14:paraId="6C3D4253" w14:textId="77777777" w:rsidR="006926A0" w:rsidRPr="000C37C2" w:rsidRDefault="006926A0" w:rsidP="006926A0">
      <w:pPr>
        <w:ind w:firstLine="567"/>
        <w:jc w:val="both"/>
      </w:pPr>
      <w:r w:rsidRPr="000C37C2">
        <w:t>Враховуючи зазначене, замовник прийняв рішення стосовно застосування таких технічних та якісних характеристик предмета закупівлі:</w:t>
      </w: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2551"/>
        <w:gridCol w:w="859"/>
        <w:gridCol w:w="709"/>
        <w:gridCol w:w="3685"/>
        <w:gridCol w:w="1863"/>
      </w:tblGrid>
      <w:tr w:rsidR="00177080" w:rsidRPr="00BB60BE" w14:paraId="7F1037CC" w14:textId="77777777" w:rsidTr="00177080">
        <w:trPr>
          <w:trHeight w:val="856"/>
        </w:trPr>
        <w:tc>
          <w:tcPr>
            <w:tcW w:w="606" w:type="dxa"/>
            <w:tcBorders>
              <w:top w:val="single" w:sz="4" w:space="0" w:color="auto"/>
              <w:left w:val="single" w:sz="4" w:space="0" w:color="auto"/>
              <w:right w:val="single" w:sz="4" w:space="0" w:color="auto"/>
            </w:tcBorders>
            <w:shd w:val="clear" w:color="auto" w:fill="F2F2F2"/>
          </w:tcPr>
          <w:p w14:paraId="24566D11" w14:textId="77777777" w:rsidR="00177080" w:rsidRPr="00BB60BE" w:rsidRDefault="00177080" w:rsidP="00D332AF">
            <w:pPr>
              <w:widowControl w:val="0"/>
              <w:rPr>
                <w:sz w:val="22"/>
                <w:szCs w:val="22"/>
              </w:rPr>
            </w:pPr>
            <w:r w:rsidRPr="00BB60BE">
              <w:rPr>
                <w:sz w:val="22"/>
                <w:szCs w:val="22"/>
              </w:rPr>
              <w:t>№ п/п</w:t>
            </w:r>
          </w:p>
        </w:tc>
        <w:tc>
          <w:tcPr>
            <w:tcW w:w="2551" w:type="dxa"/>
            <w:tcBorders>
              <w:top w:val="single" w:sz="4" w:space="0" w:color="auto"/>
              <w:left w:val="single" w:sz="4" w:space="0" w:color="auto"/>
              <w:right w:val="single" w:sz="4" w:space="0" w:color="auto"/>
            </w:tcBorders>
            <w:shd w:val="clear" w:color="auto" w:fill="F2F2F2"/>
          </w:tcPr>
          <w:p w14:paraId="22A2E1B8" w14:textId="77777777" w:rsidR="00177080" w:rsidRPr="00BB60BE" w:rsidRDefault="00177080" w:rsidP="00D332AF">
            <w:pPr>
              <w:widowControl w:val="0"/>
              <w:jc w:val="center"/>
              <w:rPr>
                <w:sz w:val="22"/>
                <w:szCs w:val="22"/>
              </w:rPr>
            </w:pPr>
            <w:r w:rsidRPr="00BB60BE">
              <w:rPr>
                <w:sz w:val="22"/>
                <w:szCs w:val="22"/>
              </w:rPr>
              <w:t>Найменування товару</w:t>
            </w:r>
          </w:p>
          <w:p w14:paraId="5DBA20B1" w14:textId="77777777" w:rsidR="00177080" w:rsidRPr="00BB60BE" w:rsidRDefault="00177080" w:rsidP="00D332AF">
            <w:pPr>
              <w:widowControl w:val="0"/>
              <w:jc w:val="center"/>
              <w:rPr>
                <w:sz w:val="22"/>
                <w:szCs w:val="22"/>
              </w:rPr>
            </w:pPr>
          </w:p>
        </w:tc>
        <w:tc>
          <w:tcPr>
            <w:tcW w:w="859" w:type="dxa"/>
            <w:tcBorders>
              <w:top w:val="single" w:sz="4" w:space="0" w:color="auto"/>
              <w:left w:val="single" w:sz="4" w:space="0" w:color="auto"/>
              <w:right w:val="single" w:sz="4" w:space="0" w:color="auto"/>
            </w:tcBorders>
            <w:shd w:val="clear" w:color="auto" w:fill="F2F2F2"/>
          </w:tcPr>
          <w:p w14:paraId="4884FFC4" w14:textId="77777777" w:rsidR="00177080" w:rsidRPr="00BB60BE" w:rsidRDefault="00177080" w:rsidP="00D332AF">
            <w:pPr>
              <w:widowControl w:val="0"/>
              <w:jc w:val="center"/>
              <w:rPr>
                <w:sz w:val="22"/>
                <w:szCs w:val="22"/>
              </w:rPr>
            </w:pPr>
            <w:r w:rsidRPr="00BB60BE">
              <w:rPr>
                <w:sz w:val="22"/>
                <w:szCs w:val="22"/>
              </w:rPr>
              <w:t>Одиниця</w:t>
            </w:r>
          </w:p>
          <w:p w14:paraId="3154D766" w14:textId="77777777" w:rsidR="00177080" w:rsidRPr="00BB60BE" w:rsidRDefault="00177080" w:rsidP="00D332AF">
            <w:pPr>
              <w:widowControl w:val="0"/>
              <w:jc w:val="center"/>
              <w:rPr>
                <w:sz w:val="22"/>
                <w:szCs w:val="22"/>
              </w:rPr>
            </w:pPr>
            <w:r w:rsidRPr="00BB60BE">
              <w:rPr>
                <w:sz w:val="22"/>
                <w:szCs w:val="22"/>
              </w:rPr>
              <w:t>виміру</w:t>
            </w:r>
          </w:p>
        </w:tc>
        <w:tc>
          <w:tcPr>
            <w:tcW w:w="709" w:type="dxa"/>
            <w:tcBorders>
              <w:top w:val="single" w:sz="4" w:space="0" w:color="auto"/>
              <w:left w:val="single" w:sz="4" w:space="0" w:color="auto"/>
              <w:right w:val="single" w:sz="4" w:space="0" w:color="auto"/>
            </w:tcBorders>
            <w:shd w:val="clear" w:color="auto" w:fill="F2F2F2"/>
          </w:tcPr>
          <w:p w14:paraId="1ED82BB0" w14:textId="77777777" w:rsidR="00177080" w:rsidRPr="00BB60BE" w:rsidRDefault="00177080" w:rsidP="00D332AF">
            <w:pPr>
              <w:widowControl w:val="0"/>
              <w:jc w:val="center"/>
              <w:rPr>
                <w:sz w:val="22"/>
                <w:szCs w:val="22"/>
              </w:rPr>
            </w:pPr>
            <w:r w:rsidRPr="00BB60BE">
              <w:rPr>
                <w:sz w:val="22"/>
                <w:szCs w:val="22"/>
              </w:rPr>
              <w:t>Кількість</w:t>
            </w:r>
          </w:p>
        </w:tc>
        <w:tc>
          <w:tcPr>
            <w:tcW w:w="3685" w:type="dxa"/>
            <w:tcBorders>
              <w:top w:val="single" w:sz="4" w:space="0" w:color="auto"/>
              <w:left w:val="single" w:sz="4" w:space="0" w:color="auto"/>
              <w:right w:val="single" w:sz="4" w:space="0" w:color="auto"/>
            </w:tcBorders>
            <w:shd w:val="clear" w:color="auto" w:fill="F2F2F2"/>
          </w:tcPr>
          <w:p w14:paraId="6610CB4A" w14:textId="77777777" w:rsidR="00177080" w:rsidRPr="00BB60BE" w:rsidRDefault="00177080" w:rsidP="00D332AF">
            <w:pPr>
              <w:widowControl w:val="0"/>
              <w:jc w:val="center"/>
              <w:rPr>
                <w:sz w:val="22"/>
                <w:szCs w:val="22"/>
              </w:rPr>
            </w:pPr>
            <w:r w:rsidRPr="00BB60BE">
              <w:rPr>
                <w:sz w:val="22"/>
                <w:szCs w:val="22"/>
              </w:rPr>
              <w:t>Технічні та якісні характеристики предмета закупівлі</w:t>
            </w:r>
          </w:p>
        </w:tc>
        <w:tc>
          <w:tcPr>
            <w:tcW w:w="1863" w:type="dxa"/>
            <w:tcBorders>
              <w:top w:val="single" w:sz="4" w:space="0" w:color="auto"/>
              <w:left w:val="single" w:sz="4" w:space="0" w:color="auto"/>
              <w:right w:val="single" w:sz="4" w:space="0" w:color="auto"/>
            </w:tcBorders>
            <w:shd w:val="clear" w:color="auto" w:fill="F2F2F2"/>
          </w:tcPr>
          <w:p w14:paraId="2D53B33F" w14:textId="77777777" w:rsidR="00177080" w:rsidRPr="0060256A" w:rsidRDefault="00177080" w:rsidP="00D332AF">
            <w:pPr>
              <w:widowControl w:val="0"/>
              <w:jc w:val="center"/>
              <w:rPr>
                <w:iCs/>
                <w:sz w:val="22"/>
                <w:szCs w:val="22"/>
                <w:highlight w:val="yellow"/>
              </w:rPr>
            </w:pPr>
            <w:r w:rsidRPr="0060256A">
              <w:rPr>
                <w:iCs/>
                <w:sz w:val="22"/>
                <w:szCs w:val="22"/>
              </w:rPr>
              <w:t>Сумісність</w:t>
            </w:r>
          </w:p>
        </w:tc>
      </w:tr>
      <w:tr w:rsidR="00177080" w:rsidRPr="00BB60BE" w14:paraId="5E1ABFAD" w14:textId="77777777" w:rsidTr="00177080">
        <w:trPr>
          <w:trHeight w:val="229"/>
        </w:trPr>
        <w:tc>
          <w:tcPr>
            <w:tcW w:w="606" w:type="dxa"/>
            <w:tcBorders>
              <w:top w:val="single" w:sz="4" w:space="0" w:color="auto"/>
              <w:left w:val="single" w:sz="4" w:space="0" w:color="auto"/>
              <w:right w:val="single" w:sz="4" w:space="0" w:color="auto"/>
            </w:tcBorders>
          </w:tcPr>
          <w:p w14:paraId="2C398AFE" w14:textId="77777777" w:rsidR="00177080" w:rsidRPr="00BB60BE" w:rsidRDefault="00177080" w:rsidP="00D332AF">
            <w:pPr>
              <w:widowControl w:val="0"/>
              <w:rPr>
                <w:sz w:val="22"/>
                <w:szCs w:val="22"/>
              </w:rPr>
            </w:pPr>
            <w:r w:rsidRPr="00BB60BE">
              <w:rPr>
                <w:sz w:val="22"/>
                <w:szCs w:val="22"/>
              </w:rPr>
              <w:t>1</w:t>
            </w:r>
          </w:p>
        </w:tc>
        <w:tc>
          <w:tcPr>
            <w:tcW w:w="2551" w:type="dxa"/>
            <w:tcBorders>
              <w:top w:val="single" w:sz="4" w:space="0" w:color="auto"/>
              <w:left w:val="single" w:sz="4" w:space="0" w:color="auto"/>
              <w:right w:val="single" w:sz="4" w:space="0" w:color="auto"/>
            </w:tcBorders>
          </w:tcPr>
          <w:p w14:paraId="3695EBBF" w14:textId="77777777" w:rsidR="00177080" w:rsidRPr="0060256A" w:rsidRDefault="00177080" w:rsidP="00D332AF">
            <w:pPr>
              <w:suppressAutoHyphens/>
              <w:rPr>
                <w:sz w:val="22"/>
                <w:szCs w:val="22"/>
              </w:rPr>
            </w:pPr>
            <w:proofErr w:type="spellStart"/>
            <w:r>
              <w:rPr>
                <w:rFonts w:ascii="TimesNewRomanPSMT" w:eastAsia="Aptos" w:hAnsi="TimesNewRomanPSMT" w:cs="TimesNewRomanPSMT"/>
                <w:sz w:val="22"/>
                <w:szCs w:val="22"/>
                <w:lang w:eastAsia="en-US"/>
              </w:rPr>
              <w:t>Пікоподібне</w:t>
            </w:r>
            <w:proofErr w:type="spellEnd"/>
            <w:r>
              <w:rPr>
                <w:rFonts w:ascii="TimesNewRomanPSMT" w:eastAsia="Aptos" w:hAnsi="TimesNewRomanPSMT" w:cs="TimesNewRomanPSMT"/>
                <w:sz w:val="22"/>
                <w:szCs w:val="22"/>
                <w:lang w:eastAsia="en-US"/>
              </w:rPr>
              <w:t xml:space="preserve"> зубило</w:t>
            </w:r>
          </w:p>
          <w:p w14:paraId="3081BE14" w14:textId="77777777" w:rsidR="00177080" w:rsidRPr="0060256A" w:rsidRDefault="00177080" w:rsidP="00D332AF">
            <w:pPr>
              <w:widowControl w:val="0"/>
              <w:jc w:val="center"/>
              <w:rPr>
                <w:b/>
                <w:sz w:val="22"/>
                <w:szCs w:val="22"/>
              </w:rPr>
            </w:pPr>
          </w:p>
        </w:tc>
        <w:tc>
          <w:tcPr>
            <w:tcW w:w="859" w:type="dxa"/>
            <w:tcBorders>
              <w:top w:val="single" w:sz="4" w:space="0" w:color="auto"/>
              <w:left w:val="single" w:sz="4" w:space="0" w:color="auto"/>
              <w:right w:val="single" w:sz="4" w:space="0" w:color="auto"/>
            </w:tcBorders>
          </w:tcPr>
          <w:p w14:paraId="7C65C7E0" w14:textId="77777777" w:rsidR="00177080" w:rsidRPr="0060256A" w:rsidRDefault="00177080" w:rsidP="00D332AF">
            <w:pPr>
              <w:widowControl w:val="0"/>
              <w:jc w:val="center"/>
              <w:rPr>
                <w:b/>
                <w:sz w:val="22"/>
                <w:szCs w:val="22"/>
              </w:rPr>
            </w:pPr>
            <w:proofErr w:type="spellStart"/>
            <w:r w:rsidRPr="0060256A">
              <w:rPr>
                <w:sz w:val="22"/>
                <w:szCs w:val="22"/>
              </w:rPr>
              <w:t>шт</w:t>
            </w:r>
            <w:proofErr w:type="spellEnd"/>
          </w:p>
        </w:tc>
        <w:tc>
          <w:tcPr>
            <w:tcW w:w="709" w:type="dxa"/>
            <w:tcBorders>
              <w:top w:val="single" w:sz="4" w:space="0" w:color="auto"/>
              <w:left w:val="single" w:sz="4" w:space="0" w:color="auto"/>
              <w:right w:val="single" w:sz="4" w:space="0" w:color="auto"/>
            </w:tcBorders>
          </w:tcPr>
          <w:p w14:paraId="67B1C892" w14:textId="77777777" w:rsidR="00177080" w:rsidRPr="0060256A" w:rsidRDefault="00177080" w:rsidP="00D332AF">
            <w:pPr>
              <w:widowControl w:val="0"/>
              <w:jc w:val="center"/>
              <w:rPr>
                <w:b/>
                <w:sz w:val="22"/>
                <w:szCs w:val="22"/>
              </w:rPr>
            </w:pPr>
            <w:r w:rsidRPr="0060256A">
              <w:rPr>
                <w:sz w:val="22"/>
                <w:szCs w:val="22"/>
              </w:rPr>
              <w:t>2</w:t>
            </w:r>
          </w:p>
        </w:tc>
        <w:tc>
          <w:tcPr>
            <w:tcW w:w="3685" w:type="dxa"/>
            <w:tcBorders>
              <w:top w:val="single" w:sz="4" w:space="0" w:color="auto"/>
              <w:left w:val="single" w:sz="4" w:space="0" w:color="auto"/>
              <w:right w:val="single" w:sz="4" w:space="0" w:color="auto"/>
            </w:tcBorders>
          </w:tcPr>
          <w:p w14:paraId="2A686DF8" w14:textId="77777777" w:rsidR="00177080" w:rsidRDefault="00177080" w:rsidP="00D332AF">
            <w:pPr>
              <w:autoSpaceDE w:val="0"/>
              <w:autoSpaceDN w:val="0"/>
              <w:adjustRightInd w:val="0"/>
              <w:rPr>
                <w:rFonts w:ascii="TimesNewRomanPSMT" w:eastAsia="Aptos" w:hAnsi="TimesNewRomanPSMT" w:cs="TimesNewRomanPSMT"/>
                <w:sz w:val="22"/>
                <w:szCs w:val="22"/>
                <w:lang w:eastAsia="en-US"/>
              </w:rPr>
            </w:pPr>
            <w:r>
              <w:rPr>
                <w:rFonts w:ascii="TimesNewRomanPSMT" w:eastAsia="Aptos" w:hAnsi="TimesNewRomanPSMT" w:cs="TimesNewRomanPSMT"/>
                <w:sz w:val="22"/>
                <w:szCs w:val="22"/>
                <w:lang w:eastAsia="en-US"/>
              </w:rPr>
              <w:t xml:space="preserve">Тип: </w:t>
            </w:r>
            <w:proofErr w:type="spellStart"/>
            <w:r>
              <w:rPr>
                <w:rFonts w:ascii="TimesNewRomanPSMT" w:eastAsia="Aptos" w:hAnsi="TimesNewRomanPSMT" w:cs="TimesNewRomanPSMT"/>
                <w:sz w:val="22"/>
                <w:szCs w:val="22"/>
                <w:lang w:eastAsia="en-US"/>
              </w:rPr>
              <w:t>пікоподібне</w:t>
            </w:r>
            <w:proofErr w:type="spellEnd"/>
            <w:r>
              <w:rPr>
                <w:rFonts w:ascii="TimesNewRomanPSMT" w:eastAsia="Aptos" w:hAnsi="TimesNewRomanPSMT" w:cs="TimesNewRomanPSMT"/>
                <w:sz w:val="22"/>
                <w:szCs w:val="22"/>
                <w:lang w:eastAsia="en-US"/>
              </w:rPr>
              <w:t xml:space="preserve"> зубило;</w:t>
            </w:r>
          </w:p>
          <w:p w14:paraId="034F9046" w14:textId="77777777" w:rsidR="00177080" w:rsidRDefault="00177080" w:rsidP="00D332AF">
            <w:pPr>
              <w:autoSpaceDE w:val="0"/>
              <w:autoSpaceDN w:val="0"/>
              <w:adjustRightInd w:val="0"/>
              <w:rPr>
                <w:rFonts w:ascii="TimesNewRomanPSMT" w:eastAsia="Aptos" w:hAnsi="TimesNewRomanPSMT" w:cs="TimesNewRomanPSMT"/>
                <w:sz w:val="22"/>
                <w:szCs w:val="22"/>
                <w:lang w:eastAsia="en-US"/>
              </w:rPr>
            </w:pPr>
            <w:r>
              <w:rPr>
                <w:rFonts w:ascii="TimesNewRomanPSMT" w:eastAsia="Aptos" w:hAnsi="TimesNewRomanPSMT" w:cs="TimesNewRomanPSMT"/>
                <w:sz w:val="22"/>
                <w:szCs w:val="22"/>
                <w:lang w:eastAsia="en-US"/>
              </w:rPr>
              <w:t>Тип хвостовика: шестигранний;</w:t>
            </w:r>
          </w:p>
          <w:p w14:paraId="1E5E845B" w14:textId="77777777" w:rsidR="00177080" w:rsidRDefault="00177080" w:rsidP="00D332AF">
            <w:pPr>
              <w:autoSpaceDE w:val="0"/>
              <w:autoSpaceDN w:val="0"/>
              <w:adjustRightInd w:val="0"/>
              <w:rPr>
                <w:rFonts w:ascii="TimesNewRomanPSMT" w:eastAsia="Aptos" w:hAnsi="TimesNewRomanPSMT" w:cs="TimesNewRomanPSMT"/>
                <w:sz w:val="22"/>
                <w:szCs w:val="22"/>
                <w:lang w:eastAsia="en-US"/>
              </w:rPr>
            </w:pPr>
            <w:r>
              <w:rPr>
                <w:rFonts w:ascii="TimesNewRomanPSMT" w:eastAsia="Aptos" w:hAnsi="TimesNewRomanPSMT" w:cs="TimesNewRomanPSMT"/>
                <w:sz w:val="22"/>
                <w:szCs w:val="22"/>
                <w:lang w:eastAsia="en-US"/>
              </w:rPr>
              <w:t>Довжина: 400мм;</w:t>
            </w:r>
          </w:p>
          <w:p w14:paraId="2B085002" w14:textId="77777777" w:rsidR="00177080" w:rsidRPr="0060256A" w:rsidRDefault="00177080" w:rsidP="00D332AF">
            <w:pPr>
              <w:autoSpaceDE w:val="0"/>
              <w:autoSpaceDN w:val="0"/>
              <w:adjustRightInd w:val="0"/>
              <w:ind w:left="30" w:right="115"/>
              <w:jc w:val="both"/>
              <w:rPr>
                <w:sz w:val="22"/>
                <w:szCs w:val="22"/>
              </w:rPr>
            </w:pPr>
            <w:r>
              <w:rPr>
                <w:rFonts w:ascii="TimesNewRomanPSMT" w:eastAsia="Aptos" w:hAnsi="TimesNewRomanPSMT" w:cs="TimesNewRomanPSMT"/>
                <w:sz w:val="22"/>
                <w:szCs w:val="22"/>
                <w:lang w:eastAsia="en-US"/>
              </w:rPr>
              <w:t>Розмір шестигранника: 28мм.</w:t>
            </w:r>
          </w:p>
        </w:tc>
        <w:tc>
          <w:tcPr>
            <w:tcW w:w="1863" w:type="dxa"/>
            <w:tcBorders>
              <w:top w:val="single" w:sz="4" w:space="0" w:color="auto"/>
              <w:left w:val="single" w:sz="4" w:space="0" w:color="auto"/>
              <w:right w:val="single" w:sz="4" w:space="0" w:color="auto"/>
            </w:tcBorders>
          </w:tcPr>
          <w:p w14:paraId="78F22900" w14:textId="77777777" w:rsidR="00177080" w:rsidRDefault="00177080" w:rsidP="00D332AF">
            <w:pPr>
              <w:autoSpaceDE w:val="0"/>
              <w:autoSpaceDN w:val="0"/>
              <w:adjustRightInd w:val="0"/>
              <w:jc w:val="center"/>
              <w:rPr>
                <w:rFonts w:ascii="TimesNewRomanPSMT" w:eastAsia="Aptos" w:hAnsi="TimesNewRomanPSMT" w:cs="TimesNewRomanPSMT"/>
                <w:sz w:val="22"/>
                <w:szCs w:val="22"/>
                <w:lang w:eastAsia="en-US"/>
              </w:rPr>
            </w:pPr>
            <w:r>
              <w:rPr>
                <w:rFonts w:ascii="TimesNewRomanPSMT" w:eastAsia="Aptos" w:hAnsi="TimesNewRomanPSMT" w:cs="TimesNewRomanPSMT"/>
                <w:sz w:val="22"/>
                <w:szCs w:val="22"/>
                <w:lang w:eastAsia="en-US"/>
              </w:rPr>
              <w:t>відбійний</w:t>
            </w:r>
          </w:p>
          <w:p w14:paraId="7D1BE1C1" w14:textId="77777777" w:rsidR="00177080" w:rsidRDefault="00177080" w:rsidP="00D332AF">
            <w:pPr>
              <w:autoSpaceDE w:val="0"/>
              <w:autoSpaceDN w:val="0"/>
              <w:adjustRightInd w:val="0"/>
              <w:jc w:val="center"/>
              <w:rPr>
                <w:rFonts w:ascii="TimesNewRomanPSMT" w:eastAsia="Aptos" w:hAnsi="TimesNewRomanPSMT" w:cs="TimesNewRomanPSMT"/>
                <w:sz w:val="22"/>
                <w:szCs w:val="22"/>
                <w:lang w:eastAsia="en-US"/>
              </w:rPr>
            </w:pPr>
            <w:r>
              <w:rPr>
                <w:rFonts w:ascii="TimesNewRomanPSMT" w:eastAsia="Aptos" w:hAnsi="TimesNewRomanPSMT" w:cs="TimesNewRomanPSMT"/>
                <w:sz w:val="22"/>
                <w:szCs w:val="22"/>
                <w:lang w:eastAsia="en-US"/>
              </w:rPr>
              <w:t xml:space="preserve">молоток </w:t>
            </w:r>
            <w:proofErr w:type="spellStart"/>
            <w:r>
              <w:rPr>
                <w:rFonts w:ascii="TimesNewRomanPSMT" w:eastAsia="Aptos" w:hAnsi="TimesNewRomanPSMT" w:cs="TimesNewRomanPSMT"/>
                <w:sz w:val="22"/>
                <w:szCs w:val="22"/>
                <w:lang w:eastAsia="en-US"/>
              </w:rPr>
              <w:t>Bosch</w:t>
            </w:r>
            <w:proofErr w:type="spellEnd"/>
            <w:r>
              <w:rPr>
                <w:rFonts w:ascii="TimesNewRomanPSMT" w:eastAsia="Aptos" w:hAnsi="TimesNewRomanPSMT" w:cs="TimesNewRomanPSMT"/>
                <w:sz w:val="22"/>
                <w:szCs w:val="22"/>
                <w:lang w:eastAsia="en-US"/>
              </w:rPr>
              <w:t xml:space="preserve"> GSH 16-28</w:t>
            </w:r>
          </w:p>
          <w:p w14:paraId="31B09396" w14:textId="77777777" w:rsidR="00177080" w:rsidRPr="0060256A" w:rsidRDefault="00177080" w:rsidP="00D332AF">
            <w:pPr>
              <w:widowControl w:val="0"/>
              <w:jc w:val="center"/>
              <w:rPr>
                <w:i/>
                <w:sz w:val="22"/>
                <w:szCs w:val="22"/>
                <w:highlight w:val="yellow"/>
              </w:rPr>
            </w:pPr>
            <w:r>
              <w:rPr>
                <w:rFonts w:ascii="TimesNewRomanPSMT" w:eastAsia="Aptos" w:hAnsi="TimesNewRomanPSMT" w:cs="TimesNewRomanPSMT"/>
                <w:sz w:val="22"/>
                <w:szCs w:val="22"/>
                <w:lang w:eastAsia="en-US"/>
              </w:rPr>
              <w:t>Professional.</w:t>
            </w:r>
          </w:p>
        </w:tc>
      </w:tr>
      <w:tr w:rsidR="00177080" w:rsidRPr="00BB60BE" w14:paraId="1AE246FB" w14:textId="77777777" w:rsidTr="00177080">
        <w:trPr>
          <w:trHeight w:val="229"/>
        </w:trPr>
        <w:tc>
          <w:tcPr>
            <w:tcW w:w="606" w:type="dxa"/>
            <w:tcBorders>
              <w:top w:val="single" w:sz="4" w:space="0" w:color="auto"/>
              <w:left w:val="single" w:sz="4" w:space="0" w:color="auto"/>
              <w:right w:val="single" w:sz="4" w:space="0" w:color="auto"/>
            </w:tcBorders>
          </w:tcPr>
          <w:p w14:paraId="4338360D" w14:textId="77777777" w:rsidR="00177080" w:rsidRPr="00BB60BE" w:rsidRDefault="00177080" w:rsidP="00D332AF">
            <w:pPr>
              <w:widowControl w:val="0"/>
              <w:rPr>
                <w:sz w:val="22"/>
                <w:szCs w:val="22"/>
              </w:rPr>
            </w:pPr>
            <w:r w:rsidRPr="00BB60BE">
              <w:rPr>
                <w:sz w:val="22"/>
                <w:szCs w:val="22"/>
              </w:rPr>
              <w:t>2</w:t>
            </w:r>
          </w:p>
        </w:tc>
        <w:tc>
          <w:tcPr>
            <w:tcW w:w="2551" w:type="dxa"/>
            <w:tcBorders>
              <w:top w:val="single" w:sz="4" w:space="0" w:color="auto"/>
              <w:left w:val="single" w:sz="4" w:space="0" w:color="auto"/>
              <w:right w:val="single" w:sz="4" w:space="0" w:color="auto"/>
            </w:tcBorders>
          </w:tcPr>
          <w:p w14:paraId="5E7E6145" w14:textId="77777777" w:rsidR="00177080" w:rsidRPr="0060256A" w:rsidRDefault="00177080" w:rsidP="00D332AF">
            <w:pPr>
              <w:widowControl w:val="0"/>
              <w:jc w:val="center"/>
              <w:rPr>
                <w:b/>
                <w:sz w:val="22"/>
                <w:szCs w:val="22"/>
              </w:rPr>
            </w:pPr>
            <w:r>
              <w:rPr>
                <w:rFonts w:ascii="TimesNewRomanPSMT" w:eastAsia="Aptos" w:hAnsi="TimesNewRomanPSMT" w:cs="TimesNewRomanPSMT"/>
                <w:sz w:val="22"/>
                <w:szCs w:val="22"/>
                <w:lang w:eastAsia="en-US"/>
              </w:rPr>
              <w:t>Зубило лопаткове</w:t>
            </w:r>
          </w:p>
        </w:tc>
        <w:tc>
          <w:tcPr>
            <w:tcW w:w="859" w:type="dxa"/>
            <w:tcBorders>
              <w:top w:val="single" w:sz="4" w:space="0" w:color="auto"/>
              <w:left w:val="single" w:sz="4" w:space="0" w:color="auto"/>
              <w:right w:val="single" w:sz="4" w:space="0" w:color="auto"/>
            </w:tcBorders>
          </w:tcPr>
          <w:p w14:paraId="31667806" w14:textId="77777777" w:rsidR="00177080" w:rsidRPr="0060256A" w:rsidRDefault="00177080" w:rsidP="00D332AF">
            <w:pPr>
              <w:widowControl w:val="0"/>
              <w:jc w:val="center"/>
              <w:rPr>
                <w:b/>
                <w:sz w:val="22"/>
                <w:szCs w:val="22"/>
              </w:rPr>
            </w:pPr>
            <w:proofErr w:type="spellStart"/>
            <w:r w:rsidRPr="0060256A">
              <w:rPr>
                <w:sz w:val="22"/>
                <w:szCs w:val="22"/>
              </w:rPr>
              <w:t>шт</w:t>
            </w:r>
            <w:proofErr w:type="spellEnd"/>
          </w:p>
        </w:tc>
        <w:tc>
          <w:tcPr>
            <w:tcW w:w="709" w:type="dxa"/>
            <w:tcBorders>
              <w:top w:val="single" w:sz="4" w:space="0" w:color="auto"/>
              <w:left w:val="single" w:sz="4" w:space="0" w:color="auto"/>
              <w:right w:val="single" w:sz="4" w:space="0" w:color="auto"/>
            </w:tcBorders>
          </w:tcPr>
          <w:p w14:paraId="43173D7F" w14:textId="77777777" w:rsidR="00177080" w:rsidRPr="0060256A" w:rsidRDefault="00177080" w:rsidP="00D332AF">
            <w:pPr>
              <w:widowControl w:val="0"/>
              <w:jc w:val="center"/>
              <w:rPr>
                <w:b/>
                <w:sz w:val="22"/>
                <w:szCs w:val="22"/>
              </w:rPr>
            </w:pPr>
            <w:r w:rsidRPr="0060256A">
              <w:rPr>
                <w:sz w:val="22"/>
                <w:szCs w:val="22"/>
              </w:rPr>
              <w:t>2</w:t>
            </w:r>
          </w:p>
        </w:tc>
        <w:tc>
          <w:tcPr>
            <w:tcW w:w="3685" w:type="dxa"/>
            <w:tcBorders>
              <w:top w:val="single" w:sz="4" w:space="0" w:color="auto"/>
              <w:left w:val="single" w:sz="4" w:space="0" w:color="auto"/>
              <w:right w:val="single" w:sz="4" w:space="0" w:color="auto"/>
            </w:tcBorders>
          </w:tcPr>
          <w:p w14:paraId="6D9EF744" w14:textId="77777777" w:rsidR="00177080" w:rsidRDefault="00177080" w:rsidP="00D332AF">
            <w:pPr>
              <w:autoSpaceDE w:val="0"/>
              <w:autoSpaceDN w:val="0"/>
              <w:adjustRightInd w:val="0"/>
              <w:rPr>
                <w:rFonts w:ascii="TimesNewRomanPSMT" w:eastAsia="Aptos" w:hAnsi="TimesNewRomanPSMT" w:cs="TimesNewRomanPSMT"/>
                <w:sz w:val="22"/>
                <w:szCs w:val="22"/>
                <w:lang w:eastAsia="en-US"/>
              </w:rPr>
            </w:pPr>
            <w:r>
              <w:rPr>
                <w:rFonts w:ascii="TimesNewRomanPSMT" w:eastAsia="Aptos" w:hAnsi="TimesNewRomanPSMT" w:cs="TimesNewRomanPSMT"/>
                <w:sz w:val="22"/>
                <w:szCs w:val="22"/>
                <w:lang w:eastAsia="en-US"/>
              </w:rPr>
              <w:t>Тип: лопаткове зубило;</w:t>
            </w:r>
          </w:p>
          <w:p w14:paraId="0680EC82" w14:textId="77777777" w:rsidR="00177080" w:rsidRDefault="00177080" w:rsidP="00D332AF">
            <w:pPr>
              <w:autoSpaceDE w:val="0"/>
              <w:autoSpaceDN w:val="0"/>
              <w:adjustRightInd w:val="0"/>
              <w:rPr>
                <w:rFonts w:ascii="TimesNewRomanPSMT" w:eastAsia="Aptos" w:hAnsi="TimesNewRomanPSMT" w:cs="TimesNewRomanPSMT"/>
                <w:sz w:val="22"/>
                <w:szCs w:val="22"/>
                <w:lang w:eastAsia="en-US"/>
              </w:rPr>
            </w:pPr>
            <w:r>
              <w:rPr>
                <w:rFonts w:ascii="TimesNewRomanPSMT" w:eastAsia="Aptos" w:hAnsi="TimesNewRomanPSMT" w:cs="TimesNewRomanPSMT"/>
                <w:sz w:val="22"/>
                <w:szCs w:val="22"/>
                <w:lang w:eastAsia="en-US"/>
              </w:rPr>
              <w:t>Тип хвостовика: шестигранний;</w:t>
            </w:r>
          </w:p>
          <w:p w14:paraId="1AFDF3FF" w14:textId="77777777" w:rsidR="00177080" w:rsidRDefault="00177080" w:rsidP="00D332AF">
            <w:pPr>
              <w:autoSpaceDE w:val="0"/>
              <w:autoSpaceDN w:val="0"/>
              <w:adjustRightInd w:val="0"/>
              <w:rPr>
                <w:rFonts w:ascii="TimesNewRomanPSMT" w:eastAsia="Aptos" w:hAnsi="TimesNewRomanPSMT" w:cs="TimesNewRomanPSMT"/>
                <w:sz w:val="22"/>
                <w:szCs w:val="22"/>
                <w:lang w:eastAsia="en-US"/>
              </w:rPr>
            </w:pPr>
            <w:r>
              <w:rPr>
                <w:rFonts w:ascii="TimesNewRomanPSMT" w:eastAsia="Aptos" w:hAnsi="TimesNewRomanPSMT" w:cs="TimesNewRomanPSMT"/>
                <w:sz w:val="22"/>
                <w:szCs w:val="22"/>
                <w:lang w:eastAsia="en-US"/>
              </w:rPr>
              <w:t>Довжина: 400мм;</w:t>
            </w:r>
          </w:p>
          <w:p w14:paraId="1B863D07" w14:textId="77777777" w:rsidR="00177080" w:rsidRDefault="00177080" w:rsidP="00D332AF">
            <w:pPr>
              <w:autoSpaceDE w:val="0"/>
              <w:autoSpaceDN w:val="0"/>
              <w:adjustRightInd w:val="0"/>
              <w:rPr>
                <w:rFonts w:ascii="TimesNewRomanPSMT" w:eastAsia="Aptos" w:hAnsi="TimesNewRomanPSMT" w:cs="TimesNewRomanPSMT"/>
                <w:sz w:val="22"/>
                <w:szCs w:val="22"/>
                <w:lang w:eastAsia="en-US"/>
              </w:rPr>
            </w:pPr>
            <w:r>
              <w:rPr>
                <w:rFonts w:ascii="TimesNewRomanPSMT" w:eastAsia="Aptos" w:hAnsi="TimesNewRomanPSMT" w:cs="TimesNewRomanPSMT"/>
                <w:sz w:val="22"/>
                <w:szCs w:val="22"/>
                <w:lang w:eastAsia="en-US"/>
              </w:rPr>
              <w:t>Ширина: 80 мм;</w:t>
            </w:r>
          </w:p>
          <w:p w14:paraId="07E002A6" w14:textId="77777777" w:rsidR="00177080" w:rsidRPr="0060256A" w:rsidRDefault="00177080" w:rsidP="00D332AF">
            <w:pPr>
              <w:autoSpaceDE w:val="0"/>
              <w:autoSpaceDN w:val="0"/>
              <w:adjustRightInd w:val="0"/>
              <w:ind w:left="30" w:right="108"/>
              <w:jc w:val="both"/>
              <w:rPr>
                <w:i/>
                <w:color w:val="000000"/>
                <w:sz w:val="22"/>
                <w:szCs w:val="22"/>
              </w:rPr>
            </w:pPr>
            <w:r>
              <w:rPr>
                <w:rFonts w:ascii="TimesNewRomanPSMT" w:eastAsia="Aptos" w:hAnsi="TimesNewRomanPSMT" w:cs="TimesNewRomanPSMT"/>
                <w:sz w:val="22"/>
                <w:szCs w:val="22"/>
                <w:lang w:eastAsia="en-US"/>
              </w:rPr>
              <w:t>Розмір шестигранника: 28мм.</w:t>
            </w:r>
          </w:p>
        </w:tc>
        <w:tc>
          <w:tcPr>
            <w:tcW w:w="1863" w:type="dxa"/>
            <w:tcBorders>
              <w:top w:val="single" w:sz="4" w:space="0" w:color="auto"/>
              <w:left w:val="single" w:sz="4" w:space="0" w:color="auto"/>
              <w:right w:val="single" w:sz="4" w:space="0" w:color="auto"/>
            </w:tcBorders>
          </w:tcPr>
          <w:p w14:paraId="37D24A42" w14:textId="77777777" w:rsidR="00177080" w:rsidRDefault="00177080" w:rsidP="00D332AF">
            <w:pPr>
              <w:autoSpaceDE w:val="0"/>
              <w:autoSpaceDN w:val="0"/>
              <w:adjustRightInd w:val="0"/>
              <w:jc w:val="center"/>
              <w:rPr>
                <w:rFonts w:ascii="TimesNewRomanPSMT" w:eastAsia="Aptos" w:hAnsi="TimesNewRomanPSMT" w:cs="TimesNewRomanPSMT"/>
                <w:sz w:val="22"/>
                <w:szCs w:val="22"/>
                <w:lang w:eastAsia="en-US"/>
              </w:rPr>
            </w:pPr>
            <w:r>
              <w:rPr>
                <w:rFonts w:ascii="TimesNewRomanPSMT" w:eastAsia="Aptos" w:hAnsi="TimesNewRomanPSMT" w:cs="TimesNewRomanPSMT"/>
                <w:sz w:val="22"/>
                <w:szCs w:val="22"/>
                <w:lang w:eastAsia="en-US"/>
              </w:rPr>
              <w:t>відбійний</w:t>
            </w:r>
          </w:p>
          <w:p w14:paraId="1977A969" w14:textId="77777777" w:rsidR="00177080" w:rsidRDefault="00177080" w:rsidP="00D332AF">
            <w:pPr>
              <w:autoSpaceDE w:val="0"/>
              <w:autoSpaceDN w:val="0"/>
              <w:adjustRightInd w:val="0"/>
              <w:jc w:val="center"/>
              <w:rPr>
                <w:rFonts w:ascii="TimesNewRomanPSMT" w:eastAsia="Aptos" w:hAnsi="TimesNewRomanPSMT" w:cs="TimesNewRomanPSMT"/>
                <w:sz w:val="22"/>
                <w:szCs w:val="22"/>
                <w:lang w:eastAsia="en-US"/>
              </w:rPr>
            </w:pPr>
            <w:r>
              <w:rPr>
                <w:rFonts w:ascii="TimesNewRomanPSMT" w:eastAsia="Aptos" w:hAnsi="TimesNewRomanPSMT" w:cs="TimesNewRomanPSMT"/>
                <w:sz w:val="22"/>
                <w:szCs w:val="22"/>
                <w:lang w:eastAsia="en-US"/>
              </w:rPr>
              <w:t xml:space="preserve">молоток </w:t>
            </w:r>
            <w:proofErr w:type="spellStart"/>
            <w:r>
              <w:rPr>
                <w:rFonts w:ascii="TimesNewRomanPSMT" w:eastAsia="Aptos" w:hAnsi="TimesNewRomanPSMT" w:cs="TimesNewRomanPSMT"/>
                <w:sz w:val="22"/>
                <w:szCs w:val="22"/>
                <w:lang w:eastAsia="en-US"/>
              </w:rPr>
              <w:t>Bosch</w:t>
            </w:r>
            <w:proofErr w:type="spellEnd"/>
            <w:r>
              <w:rPr>
                <w:rFonts w:ascii="TimesNewRomanPSMT" w:eastAsia="Aptos" w:hAnsi="TimesNewRomanPSMT" w:cs="TimesNewRomanPSMT"/>
                <w:sz w:val="22"/>
                <w:szCs w:val="22"/>
                <w:lang w:eastAsia="en-US"/>
              </w:rPr>
              <w:t xml:space="preserve"> GSH 16-28</w:t>
            </w:r>
          </w:p>
          <w:p w14:paraId="1EAAD60C" w14:textId="77777777" w:rsidR="00177080" w:rsidRPr="0060256A" w:rsidRDefault="00177080" w:rsidP="00D332AF">
            <w:pPr>
              <w:widowControl w:val="0"/>
              <w:jc w:val="center"/>
              <w:rPr>
                <w:i/>
                <w:sz w:val="22"/>
                <w:szCs w:val="22"/>
                <w:highlight w:val="yellow"/>
              </w:rPr>
            </w:pPr>
            <w:r>
              <w:rPr>
                <w:rFonts w:ascii="TimesNewRomanPSMT" w:eastAsia="Aptos" w:hAnsi="TimesNewRomanPSMT" w:cs="TimesNewRomanPSMT"/>
                <w:sz w:val="22"/>
                <w:szCs w:val="22"/>
                <w:lang w:eastAsia="en-US"/>
              </w:rPr>
              <w:t>Professional.</w:t>
            </w:r>
          </w:p>
        </w:tc>
      </w:tr>
    </w:tbl>
    <w:p w14:paraId="658D27A9" w14:textId="77777777" w:rsidR="00A256E7" w:rsidRPr="000C37C2" w:rsidRDefault="00A256E7" w:rsidP="00D04854">
      <w:pPr>
        <w:widowControl w:val="0"/>
        <w:autoSpaceDE w:val="0"/>
        <w:autoSpaceDN w:val="0"/>
        <w:adjustRightInd w:val="0"/>
        <w:ind w:firstLine="709"/>
        <w:contextualSpacing/>
        <w:jc w:val="both"/>
        <w:rPr>
          <w:color w:val="000000"/>
          <w:sz w:val="26"/>
          <w:szCs w:val="26"/>
        </w:rPr>
      </w:pPr>
    </w:p>
    <w:p w14:paraId="2F96AC92" w14:textId="77777777" w:rsidR="009165D1" w:rsidRPr="007D5347" w:rsidRDefault="009165D1" w:rsidP="009165D1">
      <w:pPr>
        <w:jc w:val="both"/>
        <w:rPr>
          <w:b/>
          <w:bCs/>
          <w:lang w:eastAsia="uk-UA"/>
        </w:rPr>
      </w:pPr>
      <w:r w:rsidRPr="007D5347">
        <w:rPr>
          <w:b/>
          <w:bCs/>
        </w:rPr>
        <w:t>Додаткова інформація.</w:t>
      </w:r>
    </w:p>
    <w:p w14:paraId="42672964" w14:textId="77777777" w:rsidR="000C37C2" w:rsidRPr="00177080" w:rsidRDefault="000C37C2" w:rsidP="000C37C2">
      <w:pPr>
        <w:keepNext/>
        <w:keepLines/>
        <w:suppressLineNumbers/>
        <w:shd w:val="clear" w:color="auto" w:fill="FFFFFF"/>
        <w:jc w:val="both"/>
        <w:rPr>
          <w:b/>
          <w:bCs/>
          <w:color w:val="000000"/>
          <w:lang w:eastAsia="en-US"/>
        </w:rPr>
      </w:pPr>
      <w:r w:rsidRPr="00177080">
        <w:rPr>
          <w:b/>
          <w:bCs/>
          <w:color w:val="000000"/>
          <w:lang w:eastAsia="en-US"/>
        </w:rPr>
        <w:t>Застосування виразу «або еквівалент»</w:t>
      </w:r>
    </w:p>
    <w:p w14:paraId="0AABBEB1" w14:textId="77777777" w:rsidR="000C37C2" w:rsidRPr="007D5347" w:rsidRDefault="000C37C2" w:rsidP="000C37C2">
      <w:pPr>
        <w:keepNext/>
        <w:keepLines/>
        <w:suppressLineNumbers/>
        <w:shd w:val="clear" w:color="auto" w:fill="FFFFFF"/>
        <w:jc w:val="both"/>
        <w:rPr>
          <w:color w:val="000000"/>
          <w:lang w:eastAsia="en-US"/>
        </w:rPr>
      </w:pPr>
      <w:r w:rsidRPr="00177080">
        <w:rPr>
          <w:color w:val="000000"/>
          <w:lang w:eastAsia="en-US"/>
        </w:rPr>
        <w:t>У випадках, коли технічна специфікація містить посилання на стандартні</w:t>
      </w:r>
      <w:r w:rsidRPr="007D5347">
        <w:rPr>
          <w:color w:val="000000"/>
          <w:lang w:eastAsia="en-US"/>
        </w:rPr>
        <w:t xml:space="preserve"> характеристики, технічні регламенти, умови, вимоги, умовні позначення або термінологію, пов’язані з товарами, роботами чи послугами, що закуповуються, передбачені міжнародними, європейськими або національними стандартами, іншими спільними технічними європейськими нормами, технічними еталонними системами, визнаними європейськими органами зі стандартизації, або національними стандартами, нормами та правилами, вважається, що до кожного такого посилання в цій </w:t>
      </w:r>
      <w:proofErr w:type="spellStart"/>
      <w:r w:rsidRPr="007D5347">
        <w:rPr>
          <w:color w:val="000000"/>
          <w:lang w:eastAsia="en-US"/>
        </w:rPr>
        <w:t>Докуменації</w:t>
      </w:r>
      <w:proofErr w:type="spellEnd"/>
      <w:r w:rsidRPr="007D5347">
        <w:rPr>
          <w:color w:val="000000"/>
          <w:lang w:eastAsia="en-US"/>
        </w:rPr>
        <w:t xml:space="preserve"> застосовується вираз </w:t>
      </w:r>
      <w:r w:rsidRPr="007D5347">
        <w:rPr>
          <w:b/>
          <w:bCs/>
          <w:color w:val="000000"/>
          <w:lang w:eastAsia="en-US"/>
        </w:rPr>
        <w:t>«або еквівалент»</w:t>
      </w:r>
      <w:r w:rsidRPr="007D5347">
        <w:rPr>
          <w:color w:val="000000"/>
          <w:lang w:eastAsia="en-US"/>
        </w:rPr>
        <w:t>, навіть якщо він прямо не зазначений у тексті.</w:t>
      </w:r>
    </w:p>
    <w:p w14:paraId="79BF4C36" w14:textId="77777777" w:rsidR="000C37C2" w:rsidRPr="007D5347" w:rsidRDefault="000C37C2" w:rsidP="000C37C2">
      <w:pPr>
        <w:keepNext/>
        <w:keepLines/>
        <w:suppressLineNumbers/>
        <w:shd w:val="clear" w:color="auto" w:fill="FFFFFF"/>
        <w:jc w:val="both"/>
        <w:rPr>
          <w:color w:val="000000"/>
          <w:lang w:eastAsia="en-US"/>
        </w:rPr>
      </w:pPr>
      <w:r w:rsidRPr="007D5347">
        <w:rPr>
          <w:color w:val="000000"/>
          <w:lang w:eastAsia="en-US"/>
        </w:rPr>
        <w:t>У випадках, коли технічна специфікація цієї Документації містить посилання на:</w:t>
      </w:r>
    </w:p>
    <w:p w14:paraId="3ADBB17F"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конкретну торговельну марку або виробника;</w:t>
      </w:r>
    </w:p>
    <w:p w14:paraId="193534F9"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конкретний процес, що характеризує продукт або послугу певного суб’єкта господарювання;</w:t>
      </w:r>
    </w:p>
    <w:p w14:paraId="293DF426"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торговельні марки, патенти, типи;</w:t>
      </w:r>
    </w:p>
    <w:p w14:paraId="48CC186A"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конкретне місце походження або спосіб виробництва,</w:t>
      </w:r>
    </w:p>
    <w:p w14:paraId="58D186B4"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вважається, що до кожного такого посилання також застосовується вираз «або еквівалент», навіть якщо він прямо не зазначений у тексті технічної специфікації.</w:t>
      </w:r>
    </w:p>
    <w:p w14:paraId="79298C51" w14:textId="77777777" w:rsidR="000C37C2" w:rsidRPr="007D5347" w:rsidRDefault="000C37C2" w:rsidP="000C37C2">
      <w:pPr>
        <w:keepNext/>
        <w:keepLines/>
        <w:suppressLineNumbers/>
        <w:shd w:val="clear" w:color="auto" w:fill="FFFFFF"/>
        <w:jc w:val="both"/>
        <w:rPr>
          <w:color w:val="000000"/>
          <w:lang w:eastAsia="en-US"/>
        </w:rPr>
      </w:pPr>
      <w:r w:rsidRPr="007D5347">
        <w:rPr>
          <w:color w:val="000000"/>
          <w:lang w:eastAsia="en-US"/>
        </w:rPr>
        <w:t>Такі посилання використовуються з метою надання Учасникам загального уявлення про технічні, якісні характеристики або складові предмета закупівлі та не мають на меті обмеження конкуренції.</w:t>
      </w:r>
    </w:p>
    <w:p w14:paraId="49F8F2F7" w14:textId="77777777" w:rsidR="000C37C2" w:rsidRPr="007D5347" w:rsidRDefault="000C37C2" w:rsidP="000C37C2">
      <w:pPr>
        <w:keepNext/>
        <w:keepLines/>
        <w:suppressLineNumbers/>
        <w:shd w:val="clear" w:color="auto" w:fill="FFFFFF"/>
        <w:jc w:val="both"/>
        <w:rPr>
          <w:b/>
          <w:bCs/>
          <w:color w:val="000000"/>
          <w:lang w:eastAsia="en-US"/>
        </w:rPr>
      </w:pPr>
      <w:r w:rsidRPr="007D5347">
        <w:rPr>
          <w:b/>
          <w:bCs/>
          <w:color w:val="000000"/>
          <w:lang w:eastAsia="en-US"/>
        </w:rPr>
        <w:t>Визначення еквіваленту</w:t>
      </w:r>
    </w:p>
    <w:p w14:paraId="6E8DCB2A" w14:textId="5A92ACD9" w:rsidR="000C37C2" w:rsidRPr="007D5347" w:rsidRDefault="000C37C2" w:rsidP="000C37C2">
      <w:pPr>
        <w:keepNext/>
        <w:keepLines/>
        <w:suppressLineNumbers/>
        <w:shd w:val="clear" w:color="auto" w:fill="FFFFFF"/>
        <w:jc w:val="both"/>
        <w:rPr>
          <w:color w:val="000000"/>
          <w:lang w:eastAsia="en-US"/>
        </w:rPr>
      </w:pPr>
      <w:r w:rsidRPr="007D5347">
        <w:rPr>
          <w:color w:val="000000"/>
          <w:lang w:eastAsia="en-US"/>
        </w:rPr>
        <w:t>Під терміном «еквівалент» розуміється товар, які є рівноцінними за технічними, функціональними та якісними характеристиками, призначенням та сферою застосування та повністю відповідають вимогам Замовника, встановленим у Додатку 1 до тендерної документації.</w:t>
      </w:r>
    </w:p>
    <w:p w14:paraId="50B7F781" w14:textId="77777777" w:rsidR="000C37C2" w:rsidRPr="007D5347" w:rsidRDefault="000C37C2" w:rsidP="000C37C2">
      <w:pPr>
        <w:keepNext/>
        <w:keepLines/>
        <w:suppressLineNumbers/>
        <w:shd w:val="clear" w:color="auto" w:fill="FFFFFF"/>
        <w:jc w:val="both"/>
        <w:rPr>
          <w:color w:val="000000"/>
          <w:lang w:eastAsia="en-US"/>
        </w:rPr>
      </w:pPr>
      <w:r w:rsidRPr="007D5347">
        <w:rPr>
          <w:color w:val="000000"/>
          <w:lang w:eastAsia="en-US"/>
        </w:rPr>
        <w:t>Еквівалент не може змінювати функціональне призначення предмета закупівлі.</w:t>
      </w:r>
    </w:p>
    <w:p w14:paraId="3C9EE369" w14:textId="77777777" w:rsidR="000C37C2" w:rsidRPr="007D5347" w:rsidRDefault="000C37C2" w:rsidP="000C37C2">
      <w:pPr>
        <w:keepNext/>
        <w:keepLines/>
        <w:suppressLineNumbers/>
        <w:shd w:val="clear" w:color="auto" w:fill="FFFFFF"/>
        <w:jc w:val="both"/>
        <w:rPr>
          <w:color w:val="000000"/>
          <w:lang w:eastAsia="en-US"/>
        </w:rPr>
      </w:pPr>
    </w:p>
    <w:sectPr w:rsidR="000C37C2" w:rsidRPr="007D5347" w:rsidSect="00F318CA">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B821" w14:textId="77777777" w:rsidR="00644D3C" w:rsidRPr="000C37C2" w:rsidRDefault="00644D3C">
      <w:r w:rsidRPr="000C37C2">
        <w:separator/>
      </w:r>
    </w:p>
  </w:endnote>
  <w:endnote w:type="continuationSeparator" w:id="0">
    <w:p w14:paraId="12512D4F" w14:textId="77777777" w:rsidR="00644D3C" w:rsidRPr="000C37C2" w:rsidRDefault="00644D3C">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altName w:val="Arial"/>
    <w:panose1 w:val="020B0604020202020204"/>
    <w:charset w:val="CC"/>
    <w:family w:val="swiss"/>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ptos">
    <w:altName w:val="Calibri"/>
    <w:panose1 w:val="00000000000000000000"/>
    <w:charset w:val="00"/>
    <w:family w:val="roman"/>
    <w:notTrueType/>
    <w:pitch w:val="default"/>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AD9E" w14:textId="77777777" w:rsidR="00357A4F" w:rsidRDefault="00357A4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07B7" w14:textId="1E1423F8" w:rsidR="00A256E7" w:rsidRPr="000C37C2" w:rsidRDefault="007A6B29"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7866B1C7" wp14:editId="0F67D99D">
              <wp:simplePos x="0" y="0"/>
              <wp:positionH relativeFrom="column">
                <wp:posOffset>-180340</wp:posOffset>
              </wp:positionH>
              <wp:positionV relativeFrom="paragraph">
                <wp:posOffset>7620</wp:posOffset>
              </wp:positionV>
              <wp:extent cx="6357620" cy="14605"/>
              <wp:effectExtent l="10160" t="7620" r="13970" b="6350"/>
              <wp:wrapNone/>
              <wp:docPr id="203031026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113855"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357A4F">
      <w:rPr>
        <w:sz w:val="20"/>
        <w:szCs w:val="20"/>
      </w:rPr>
      <w:t xml:space="preserve">Ручні інструменти, код ДК 021:2015 - 44510000-8 - Знаряддя </w:t>
    </w:r>
  </w:p>
  <w:p w14:paraId="1A35EEFE"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5DB4" w14:textId="77777777" w:rsidR="00357A4F" w:rsidRDefault="00357A4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16A86" w14:textId="77777777" w:rsidR="00644D3C" w:rsidRPr="000C37C2" w:rsidRDefault="00644D3C">
      <w:r w:rsidRPr="000C37C2">
        <w:separator/>
      </w:r>
    </w:p>
  </w:footnote>
  <w:footnote w:type="continuationSeparator" w:id="0">
    <w:p w14:paraId="4AE6C1C7" w14:textId="77777777" w:rsidR="00644D3C" w:rsidRPr="000C37C2" w:rsidRDefault="00644D3C">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E056"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4AFFF166"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BD1B" w14:textId="746CBE9C" w:rsidR="002D6492" w:rsidRPr="000C37C2" w:rsidRDefault="007A6B29" w:rsidP="00A3681A">
    <w:pPr>
      <w:pStyle w:val="aa"/>
      <w:jc w:val="both"/>
      <w:rPr>
        <w:sz w:val="20"/>
        <w:szCs w:val="20"/>
      </w:rPr>
    </w:pPr>
    <w:r>
      <w:rPr>
        <w:noProof/>
        <w:lang w:eastAsia="uk-UA"/>
      </w:rPr>
      <mc:AlternateContent>
        <mc:Choice Requires="wps">
          <w:drawing>
            <wp:anchor distT="0" distB="0" distL="114300" distR="114300" simplePos="0" relativeHeight="251657216" behindDoc="0" locked="0" layoutInCell="1" allowOverlap="1" wp14:anchorId="4670B103" wp14:editId="4C585975">
              <wp:simplePos x="0" y="0"/>
              <wp:positionH relativeFrom="column">
                <wp:posOffset>-17145</wp:posOffset>
              </wp:positionH>
              <wp:positionV relativeFrom="paragraph">
                <wp:posOffset>476885</wp:posOffset>
              </wp:positionV>
              <wp:extent cx="6329045" cy="13970"/>
              <wp:effectExtent l="11430" t="10160" r="12700" b="13970"/>
              <wp:wrapNone/>
              <wp:docPr id="144590184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52A763"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6C43998D" wp14:editId="77833AE4">
          <wp:extent cx="1444625" cy="2844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284480"/>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1CD6" w14:textId="762A564A" w:rsidR="00472235" w:rsidRPr="000C37C2" w:rsidRDefault="007A6B29" w:rsidP="00472235">
    <w:r>
      <w:rPr>
        <w:noProof/>
      </w:rPr>
      <w:drawing>
        <wp:anchor distT="0" distB="0" distL="114300" distR="114300" simplePos="0" relativeHeight="251659264" behindDoc="1" locked="0" layoutInCell="1" allowOverlap="1" wp14:anchorId="16BF0D5E" wp14:editId="5852A900">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437357B4" w14:textId="77777777" w:rsidTr="00AF66AC">
      <w:trPr>
        <w:gridAfter w:val="1"/>
        <w:wAfter w:w="135" w:type="dxa"/>
      </w:trPr>
      <w:tc>
        <w:tcPr>
          <w:tcW w:w="3402" w:type="dxa"/>
          <w:tcBorders>
            <w:right w:val="single" w:sz="8" w:space="0" w:color="0F4761"/>
          </w:tcBorders>
        </w:tcPr>
        <w:p w14:paraId="4BAADC63"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74D5A6F7" w14:textId="77777777" w:rsidR="00472235" w:rsidRPr="000C37C2" w:rsidRDefault="00472235" w:rsidP="00472235">
          <w:r w:rsidRPr="00AF66AC">
            <w:rPr>
              <w:color w:val="2136A4"/>
              <w:sz w:val="14"/>
            </w:rPr>
            <w:t>MINISTRY FOR DEVELOPMENT OF COMMUNITIES</w:t>
          </w:r>
        </w:p>
      </w:tc>
    </w:tr>
    <w:tr w:rsidR="00472235" w:rsidRPr="000C37C2" w14:paraId="7961ACE1" w14:textId="77777777" w:rsidTr="00AF66AC">
      <w:trPr>
        <w:gridAfter w:val="1"/>
        <w:wAfter w:w="135" w:type="dxa"/>
        <w:trHeight w:val="224"/>
      </w:trPr>
      <w:tc>
        <w:tcPr>
          <w:tcW w:w="3402" w:type="dxa"/>
          <w:tcBorders>
            <w:right w:val="single" w:sz="8" w:space="0" w:color="0F4761"/>
          </w:tcBorders>
        </w:tcPr>
        <w:p w14:paraId="3AF8658A"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665C2E1B"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7F11047A" w14:textId="77777777" w:rsidTr="00AF66AC">
      <w:trPr>
        <w:gridAfter w:val="1"/>
        <w:wAfter w:w="135" w:type="dxa"/>
      </w:trPr>
      <w:tc>
        <w:tcPr>
          <w:tcW w:w="3402" w:type="dxa"/>
          <w:tcBorders>
            <w:right w:val="single" w:sz="8" w:space="0" w:color="0F4761"/>
          </w:tcBorders>
        </w:tcPr>
        <w:p w14:paraId="3332233C"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257E7310"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0EB79EDB" w14:textId="77777777" w:rsidTr="00AF66AC">
      <w:trPr>
        <w:gridAfter w:val="1"/>
        <w:wAfter w:w="135" w:type="dxa"/>
        <w:trHeight w:val="216"/>
      </w:trPr>
      <w:tc>
        <w:tcPr>
          <w:tcW w:w="3402" w:type="dxa"/>
          <w:tcBorders>
            <w:right w:val="single" w:sz="8" w:space="0" w:color="0F4761"/>
          </w:tcBorders>
        </w:tcPr>
        <w:p w14:paraId="4AE5AA17"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67BB123D"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07EE7173" w14:textId="77777777" w:rsidTr="00AF66AC">
      <w:trPr>
        <w:gridAfter w:val="1"/>
        <w:wAfter w:w="135" w:type="dxa"/>
      </w:trPr>
      <w:tc>
        <w:tcPr>
          <w:tcW w:w="3402" w:type="dxa"/>
          <w:tcBorders>
            <w:right w:val="single" w:sz="8" w:space="0" w:color="0F4761"/>
          </w:tcBorders>
        </w:tcPr>
        <w:p w14:paraId="3555F23A"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3D3A7D87"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 xml:space="preserve">Boryspil-7 </w:t>
          </w:r>
          <w:proofErr w:type="spellStart"/>
          <w:r w:rsidRPr="00AF66AC">
            <w:rPr>
              <w:color w:val="2136A4"/>
              <w:sz w:val="14"/>
            </w:rPr>
            <w:t>Str</w:t>
          </w:r>
          <w:proofErr w:type="spellEnd"/>
          <w:r w:rsidRPr="00AF66AC">
            <w:rPr>
              <w:color w:val="2136A4"/>
              <w:sz w:val="14"/>
            </w:rPr>
            <w:t xml:space="preserve">., </w:t>
          </w:r>
          <w:proofErr w:type="spellStart"/>
          <w:r w:rsidRPr="00AF66AC">
            <w:rPr>
              <w:color w:val="2136A4"/>
              <w:sz w:val="14"/>
            </w:rPr>
            <w:t>Hora</w:t>
          </w:r>
          <w:proofErr w:type="spellEnd"/>
          <w:r w:rsidRPr="00AF66AC">
            <w:rPr>
              <w:color w:val="2136A4"/>
              <w:sz w:val="14"/>
            </w:rPr>
            <w:t xml:space="preserve"> </w:t>
          </w:r>
          <w:proofErr w:type="spellStart"/>
          <w:r w:rsidRPr="00AF66AC">
            <w:rPr>
              <w:color w:val="2136A4"/>
              <w:sz w:val="14"/>
            </w:rPr>
            <w:t>village</w:t>
          </w:r>
          <w:proofErr w:type="spellEnd"/>
          <w:r w:rsidRPr="00AF66AC">
            <w:rPr>
              <w:color w:val="2136A4"/>
              <w:sz w:val="14"/>
            </w:rPr>
            <w:t xml:space="preserve">, </w:t>
          </w:r>
          <w:proofErr w:type="spellStart"/>
          <w:r w:rsidRPr="00AF66AC">
            <w:rPr>
              <w:color w:val="2136A4"/>
              <w:sz w:val="14"/>
            </w:rPr>
            <w:t>Boryspil</w:t>
          </w:r>
          <w:proofErr w:type="spellEnd"/>
          <w:r w:rsidRPr="00AF66AC">
            <w:rPr>
              <w:color w:val="2136A4"/>
              <w:sz w:val="14"/>
            </w:rPr>
            <w:t xml:space="preserve"> </w:t>
          </w:r>
          <w:proofErr w:type="spellStart"/>
          <w:r w:rsidRPr="00AF66AC">
            <w:rPr>
              <w:color w:val="2136A4"/>
              <w:sz w:val="14"/>
            </w:rPr>
            <w:t>district</w:t>
          </w:r>
          <w:proofErr w:type="spellEnd"/>
        </w:p>
      </w:tc>
    </w:tr>
    <w:tr w:rsidR="00472235" w:rsidRPr="000C37C2" w14:paraId="05F83F5C" w14:textId="77777777" w:rsidTr="00AF66AC">
      <w:trPr>
        <w:gridAfter w:val="1"/>
        <w:wAfter w:w="135" w:type="dxa"/>
        <w:trHeight w:val="207"/>
      </w:trPr>
      <w:tc>
        <w:tcPr>
          <w:tcW w:w="3402" w:type="dxa"/>
          <w:tcBorders>
            <w:right w:val="single" w:sz="8" w:space="0" w:color="0F4761"/>
          </w:tcBorders>
        </w:tcPr>
        <w:p w14:paraId="6182EE3D"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76FA9377" w14:textId="77777777" w:rsidR="00472235" w:rsidRPr="000C37C2" w:rsidRDefault="00472235" w:rsidP="00472235">
          <w:proofErr w:type="spellStart"/>
          <w:r w:rsidRPr="00AF66AC">
            <w:rPr>
              <w:color w:val="2136A4"/>
              <w:sz w:val="14"/>
            </w:rPr>
            <w:t>Kyiv</w:t>
          </w:r>
          <w:proofErr w:type="spellEnd"/>
          <w:r w:rsidRPr="00AF66AC">
            <w:rPr>
              <w:color w:val="2136A4"/>
              <w:sz w:val="14"/>
            </w:rPr>
            <w:t xml:space="preserve"> </w:t>
          </w:r>
          <w:proofErr w:type="spellStart"/>
          <w:r w:rsidRPr="00AF66AC">
            <w:rPr>
              <w:color w:val="2136A4"/>
              <w:sz w:val="14"/>
            </w:rPr>
            <w:t>region</w:t>
          </w:r>
          <w:proofErr w:type="spellEnd"/>
          <w:r w:rsidRPr="00AF66AC">
            <w:rPr>
              <w:color w:val="2136A4"/>
              <w:sz w:val="14"/>
            </w:rPr>
            <w:t xml:space="preserve">, </w:t>
          </w:r>
          <w:proofErr w:type="spellStart"/>
          <w:r w:rsidRPr="00AF66AC">
            <w:rPr>
              <w:color w:val="2136A4"/>
              <w:sz w:val="14"/>
            </w:rPr>
            <w:t>Ukraine</w:t>
          </w:r>
          <w:proofErr w:type="spellEnd"/>
          <w:r w:rsidRPr="00AF66AC">
            <w:rPr>
              <w:color w:val="2136A4"/>
              <w:sz w:val="14"/>
            </w:rPr>
            <w:t>, 08300</w:t>
          </w:r>
        </w:p>
      </w:tc>
    </w:tr>
    <w:tr w:rsidR="00472235" w:rsidRPr="000C37C2" w14:paraId="58EAD481" w14:textId="77777777" w:rsidTr="00AF66AC">
      <w:tc>
        <w:tcPr>
          <w:tcW w:w="6378" w:type="dxa"/>
          <w:gridSpan w:val="3"/>
        </w:tcPr>
        <w:p w14:paraId="1FA35B1B"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07D54BDC" w14:textId="77777777" w:rsidTr="00AF66AC">
      <w:tc>
        <w:tcPr>
          <w:tcW w:w="6378" w:type="dxa"/>
          <w:gridSpan w:val="3"/>
        </w:tcPr>
        <w:p w14:paraId="43E72D75"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w:t>
          </w:r>
          <w:proofErr w:type="spellStart"/>
          <w:r w:rsidRPr="00AF66AC">
            <w:rPr>
              <w:color w:val="2136A4"/>
              <w:sz w:val="14"/>
            </w:rPr>
            <w:t>fax</w:t>
          </w:r>
          <w:proofErr w:type="spellEnd"/>
          <w:r w:rsidRPr="00AF66AC">
            <w:rPr>
              <w:color w:val="2136A4"/>
              <w:sz w:val="14"/>
            </w:rPr>
            <w:t xml:space="preserve">: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16C7BE1E"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1CCBEAED" w14:textId="2024DFB6" w:rsidR="000F2F0F" w:rsidRPr="000C37C2" w:rsidRDefault="007A6B29">
    <w:pPr>
      <w:pStyle w:val="aa"/>
    </w:pPr>
    <w:r>
      <w:rPr>
        <w:noProof/>
      </w:rPr>
      <mc:AlternateContent>
        <mc:Choice Requires="wps">
          <w:drawing>
            <wp:anchor distT="4294967295" distB="4294967295" distL="114300" distR="114300" simplePos="0" relativeHeight="251658240" behindDoc="0" locked="0" layoutInCell="1" allowOverlap="1" wp14:anchorId="3A707C2E" wp14:editId="2C8C5EFD">
              <wp:simplePos x="0" y="0"/>
              <wp:positionH relativeFrom="page">
                <wp:align>center</wp:align>
              </wp:positionH>
              <wp:positionV relativeFrom="paragraph">
                <wp:posOffset>25399</wp:posOffset>
              </wp:positionV>
              <wp:extent cx="7315200" cy="0"/>
              <wp:effectExtent l="0" t="0" r="0" b="0"/>
              <wp:wrapNone/>
              <wp:docPr id="1295058778"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28C5225"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649091655">
    <w:abstractNumId w:val="22"/>
  </w:num>
  <w:num w:numId="2" w16cid:durableId="1910729246">
    <w:abstractNumId w:val="24"/>
  </w:num>
  <w:num w:numId="3" w16cid:durableId="1422294824">
    <w:abstractNumId w:val="0"/>
  </w:num>
  <w:num w:numId="4" w16cid:durableId="131215585">
    <w:abstractNumId w:val="25"/>
  </w:num>
  <w:num w:numId="5" w16cid:durableId="1688871659">
    <w:abstractNumId w:val="7"/>
  </w:num>
  <w:num w:numId="6" w16cid:durableId="1254973266">
    <w:abstractNumId w:val="5"/>
  </w:num>
  <w:num w:numId="7" w16cid:durableId="265112794">
    <w:abstractNumId w:val="6"/>
  </w:num>
  <w:num w:numId="8" w16cid:durableId="479620279">
    <w:abstractNumId w:val="21"/>
  </w:num>
  <w:num w:numId="9" w16cid:durableId="147331655">
    <w:abstractNumId w:val="1"/>
  </w:num>
  <w:num w:numId="10" w16cid:durableId="1088499618">
    <w:abstractNumId w:val="18"/>
  </w:num>
  <w:num w:numId="11" w16cid:durableId="604925487">
    <w:abstractNumId w:val="16"/>
  </w:num>
  <w:num w:numId="12" w16cid:durableId="1299801079">
    <w:abstractNumId w:val="14"/>
  </w:num>
  <w:num w:numId="13" w16cid:durableId="1441335536">
    <w:abstractNumId w:val="15"/>
  </w:num>
  <w:num w:numId="14" w16cid:durableId="245772982">
    <w:abstractNumId w:val="3"/>
  </w:num>
  <w:num w:numId="15" w16cid:durableId="613101943">
    <w:abstractNumId w:val="17"/>
  </w:num>
  <w:num w:numId="16" w16cid:durableId="1740056426">
    <w:abstractNumId w:val="2"/>
  </w:num>
  <w:num w:numId="17" w16cid:durableId="1402102399">
    <w:abstractNumId w:val="13"/>
  </w:num>
  <w:num w:numId="18" w16cid:durableId="1638367217">
    <w:abstractNumId w:val="4"/>
  </w:num>
  <w:num w:numId="19" w16cid:durableId="564953064">
    <w:abstractNumId w:val="8"/>
  </w:num>
  <w:num w:numId="20" w16cid:durableId="1218737209">
    <w:abstractNumId w:val="20"/>
  </w:num>
  <w:num w:numId="21" w16cid:durableId="2020769044">
    <w:abstractNumId w:val="10"/>
  </w:num>
  <w:num w:numId="22" w16cid:durableId="1198078444">
    <w:abstractNumId w:val="19"/>
  </w:num>
  <w:num w:numId="23" w16cid:durableId="1408645697">
    <w:abstractNumId w:val="12"/>
  </w:num>
  <w:num w:numId="24" w16cid:durableId="528956284">
    <w:abstractNumId w:val="23"/>
  </w:num>
  <w:num w:numId="25" w16cid:durableId="1194807284">
    <w:abstractNumId w:val="23"/>
  </w:num>
  <w:num w:numId="26" w16cid:durableId="271212138">
    <w:abstractNumId w:val="9"/>
  </w:num>
  <w:num w:numId="27" w16cid:durableId="15314502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080"/>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65F8"/>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57A4F"/>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4D3C"/>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6B29"/>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4D8B"/>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5CD"/>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5767"/>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0CC8"/>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21EB"/>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05BF"/>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3A9E7"/>
  <w15:chartTrackingRefBased/>
  <w15:docId w15:val="{4BC6A569-E805-4BC2-B8A1-34E9B306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3036</Words>
  <Characters>1732</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Гапонюк Наталія Володимирівна</dc:creator>
  <cp:keywords/>
  <cp:lastModifiedBy>Гапонюк Наталія Володимирівна</cp:lastModifiedBy>
  <cp:revision>5</cp:revision>
  <cp:lastPrinted>2021-11-17T09:02:00Z</cp:lastPrinted>
  <dcterms:created xsi:type="dcterms:W3CDTF">2026-04-22T14:22:00Z</dcterms:created>
  <dcterms:modified xsi:type="dcterms:W3CDTF">2026-04-23T13:51:00Z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