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38C117D1" w14:textId="77777777" w:rsidTr="00C62708">
        <w:tc>
          <w:tcPr>
            <w:tcW w:w="9854" w:type="dxa"/>
          </w:tcPr>
          <w:p w14:paraId="00E3A86D"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62BB8BEF" w14:textId="77777777" w:rsidR="005F3529" w:rsidRPr="000C37C2" w:rsidRDefault="005F3529" w:rsidP="0063471D">
      <w:pPr>
        <w:pStyle w:val="a4"/>
        <w:widowControl w:val="0"/>
        <w:jc w:val="both"/>
        <w:rPr>
          <w:sz w:val="24"/>
          <w:szCs w:val="24"/>
          <w:lang w:val="uk-UA"/>
        </w:rPr>
      </w:pPr>
    </w:p>
    <w:p w14:paraId="4FF4416A"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687E676E"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433C2EFA" w14:textId="77777777" w:rsidTr="00C62708">
        <w:tc>
          <w:tcPr>
            <w:tcW w:w="487" w:type="pct"/>
            <w:shd w:val="clear" w:color="auto" w:fill="DEEAF6"/>
          </w:tcPr>
          <w:p w14:paraId="5452E4B1"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0B1C2C33" w14:textId="77777777" w:rsidR="00A76484" w:rsidRPr="008572BB" w:rsidRDefault="00A76484" w:rsidP="002D4D30">
            <w:pPr>
              <w:widowControl w:val="0"/>
              <w:contextualSpacing/>
              <w:jc w:val="center"/>
              <w:rPr>
                <w:b/>
              </w:rPr>
            </w:pPr>
            <w:r w:rsidRPr="008572BB">
              <w:rPr>
                <w:b/>
              </w:rPr>
              <w:t>Назва предмета закупівлі із зазначенням коду за Єдиним закупівельним словником</w:t>
            </w:r>
          </w:p>
        </w:tc>
        <w:tc>
          <w:tcPr>
            <w:tcW w:w="947" w:type="pct"/>
            <w:shd w:val="clear" w:color="auto" w:fill="DEEAF6"/>
          </w:tcPr>
          <w:p w14:paraId="52D86875" w14:textId="77777777" w:rsidR="00A76484" w:rsidRPr="008572BB" w:rsidRDefault="00A76484" w:rsidP="00DB2D70">
            <w:pPr>
              <w:widowControl w:val="0"/>
              <w:contextualSpacing/>
              <w:jc w:val="center"/>
              <w:rPr>
                <w:b/>
              </w:rPr>
            </w:pPr>
            <w:r w:rsidRPr="008572BB">
              <w:rPr>
                <w:b/>
              </w:rPr>
              <w:t>Очікувана варт</w:t>
            </w:r>
            <w:r w:rsidR="00DB2D70" w:rsidRPr="008572BB">
              <w:rPr>
                <w:b/>
              </w:rPr>
              <w:t>ість предмета закупівлі згідно р</w:t>
            </w:r>
            <w:r w:rsidRPr="008572BB">
              <w:rPr>
                <w:b/>
              </w:rPr>
              <w:t>ічного плану закупівель</w:t>
            </w:r>
          </w:p>
        </w:tc>
        <w:tc>
          <w:tcPr>
            <w:tcW w:w="1102" w:type="pct"/>
            <w:shd w:val="clear" w:color="auto" w:fill="DEEAF6"/>
          </w:tcPr>
          <w:p w14:paraId="532C38BA"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62892ACF"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27BC0C63" w14:textId="77777777" w:rsidTr="00212515">
        <w:tc>
          <w:tcPr>
            <w:tcW w:w="487" w:type="pct"/>
          </w:tcPr>
          <w:p w14:paraId="76E2F63F" w14:textId="2B1CE331" w:rsidR="00A76484" w:rsidRPr="008572BB" w:rsidRDefault="004072F7" w:rsidP="005469FD">
            <w:pPr>
              <w:widowControl w:val="0"/>
              <w:ind w:right="-11"/>
              <w:jc w:val="center"/>
              <w:rPr>
                <w:lang w:eastAsia="uk-UA"/>
              </w:rPr>
            </w:pPr>
            <w:r w:rsidRPr="008572BB">
              <w:t>п.</w:t>
            </w:r>
            <w:r w:rsidR="00A76484" w:rsidRPr="008572BB">
              <w:t xml:space="preserve"> </w:t>
            </w:r>
            <w:r w:rsidR="006126A3" w:rsidRPr="008572BB">
              <w:t xml:space="preserve">4.14 </w:t>
            </w:r>
            <w:r w:rsidR="00BD6E95" w:rsidRPr="008572BB">
              <w:rPr>
                <w:lang w:eastAsia="uk-UA"/>
              </w:rPr>
              <w:t>(202</w:t>
            </w:r>
            <w:r w:rsidR="008D78F9" w:rsidRPr="008572BB">
              <w:rPr>
                <w:lang w:eastAsia="uk-UA"/>
              </w:rPr>
              <w:t>6</w:t>
            </w:r>
            <w:r w:rsidR="00A76484" w:rsidRPr="008572BB">
              <w:rPr>
                <w:lang w:eastAsia="uk-UA"/>
              </w:rPr>
              <w:t>)</w:t>
            </w:r>
          </w:p>
        </w:tc>
        <w:tc>
          <w:tcPr>
            <w:tcW w:w="1527" w:type="pct"/>
          </w:tcPr>
          <w:p w14:paraId="7C0DCF63" w14:textId="07288750" w:rsidR="00A76484" w:rsidRPr="008572BB" w:rsidRDefault="006126A3" w:rsidP="00A12478">
            <w:pPr>
              <w:widowControl w:val="0"/>
              <w:rPr>
                <w:bCs/>
              </w:rPr>
            </w:pPr>
            <w:r w:rsidRPr="008572BB">
              <w:rPr>
                <w:b/>
              </w:rPr>
              <w:t xml:space="preserve">Крани кульові, </w:t>
            </w:r>
            <w:r w:rsidRPr="008572BB">
              <w:rPr>
                <w:bCs/>
              </w:rPr>
              <w:t>код ДК 021:2015 - 42130000-9 - Арматура трубопровідна: крани, вентилі, клапани та подібні пристрої</w:t>
            </w:r>
            <w:r w:rsidRPr="008572BB">
              <w:rPr>
                <w:b/>
              </w:rPr>
              <w:t xml:space="preserve"> </w:t>
            </w:r>
          </w:p>
        </w:tc>
        <w:tc>
          <w:tcPr>
            <w:tcW w:w="947" w:type="pct"/>
          </w:tcPr>
          <w:p w14:paraId="38D9F696" w14:textId="7215AC9C" w:rsidR="00A76484" w:rsidRPr="008572BB" w:rsidRDefault="006126A3" w:rsidP="002D4D30">
            <w:pPr>
              <w:widowControl w:val="0"/>
              <w:jc w:val="center"/>
            </w:pPr>
            <w:r w:rsidRPr="008572BB">
              <w:t>71 238,00</w:t>
            </w:r>
            <w:r w:rsidR="00A76484" w:rsidRPr="008572BB">
              <w:t xml:space="preserve"> </w:t>
            </w:r>
          </w:p>
          <w:p w14:paraId="1CD5A871" w14:textId="77777777" w:rsidR="00A76484" w:rsidRPr="008572BB" w:rsidRDefault="00A76484" w:rsidP="002D4D30">
            <w:pPr>
              <w:widowControl w:val="0"/>
              <w:jc w:val="center"/>
            </w:pPr>
            <w:r w:rsidRPr="008572BB">
              <w:t>грн. з ПДВ</w:t>
            </w:r>
          </w:p>
        </w:tc>
        <w:tc>
          <w:tcPr>
            <w:tcW w:w="1102" w:type="pct"/>
          </w:tcPr>
          <w:p w14:paraId="4146CC5B" w14:textId="77777777" w:rsidR="008572BB" w:rsidRDefault="008572BB" w:rsidP="002D4D30">
            <w:pPr>
              <w:widowControl w:val="0"/>
              <w:jc w:val="center"/>
            </w:pPr>
            <w:r w:rsidRPr="008572BB">
              <w:t>59 365,00</w:t>
            </w:r>
          </w:p>
          <w:p w14:paraId="1862B90C" w14:textId="59C3A2BB" w:rsidR="00A76484" w:rsidRPr="000C37C2" w:rsidRDefault="00A76484" w:rsidP="002D4D30">
            <w:pPr>
              <w:widowControl w:val="0"/>
              <w:jc w:val="center"/>
            </w:pPr>
            <w:r w:rsidRPr="000C37C2">
              <w:t xml:space="preserve">грн. без ПДВ </w:t>
            </w:r>
          </w:p>
        </w:tc>
        <w:tc>
          <w:tcPr>
            <w:tcW w:w="936" w:type="pct"/>
          </w:tcPr>
          <w:p w14:paraId="1E61C47F" w14:textId="6F8A3EFE" w:rsidR="00A76484" w:rsidRPr="000C37C2" w:rsidRDefault="00BB244D" w:rsidP="002D4D30">
            <w:pPr>
              <w:widowControl w:val="0"/>
              <w:jc w:val="center"/>
              <w:rPr>
                <w:color w:val="0000FF"/>
              </w:rPr>
            </w:pPr>
            <w:r w:rsidRPr="00BB244D">
              <w:rPr>
                <w:b/>
              </w:rPr>
              <w:t>UA-2026-05-21-011475-a</w:t>
            </w:r>
          </w:p>
        </w:tc>
      </w:tr>
    </w:tbl>
    <w:p w14:paraId="7433FA0B" w14:textId="77777777" w:rsidR="00A12478" w:rsidRPr="000C37C2" w:rsidRDefault="00A12478" w:rsidP="0063471D">
      <w:pPr>
        <w:pStyle w:val="a4"/>
        <w:widowControl w:val="0"/>
        <w:jc w:val="both"/>
        <w:rPr>
          <w:sz w:val="24"/>
          <w:szCs w:val="24"/>
          <w:lang w:val="uk-UA"/>
        </w:rPr>
      </w:pPr>
    </w:p>
    <w:p w14:paraId="090C6E29"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3CEADF9B"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7E67FB" w:rsidRPr="000C37C2" w14:paraId="2CF08247"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9910671" w14:textId="77777777" w:rsidR="007E67FB" w:rsidRPr="000C37C2" w:rsidRDefault="007E67FB" w:rsidP="007E67FB">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BB0DB50" w14:textId="77777777" w:rsidR="007E67FB" w:rsidRPr="000C37C2" w:rsidRDefault="007E67FB" w:rsidP="007E67FB">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786A63C" w14:textId="77777777" w:rsidR="007E67FB" w:rsidRDefault="007E67FB" w:rsidP="007E67FB">
            <w:pPr>
              <w:widowControl w:val="0"/>
              <w:ind w:right="160" w:firstLine="358"/>
              <w:jc w:val="both"/>
            </w:pPr>
            <w:r w:rsidRPr="00056BFC">
              <w:rPr>
                <w:b/>
                <w:i/>
              </w:rPr>
              <w:t>Обґрунтування очікуваної вартості предмета закупівлі:</w:t>
            </w:r>
            <w:r w:rsidRPr="00056BFC">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73133142" w14:textId="4A9B2396" w:rsidR="008D75A2" w:rsidRPr="00056BFC" w:rsidRDefault="007E67FB" w:rsidP="007E67FB">
            <w:pPr>
              <w:widowControl w:val="0"/>
              <w:ind w:right="160"/>
              <w:jc w:val="both"/>
            </w:pPr>
            <w:r>
              <w:t xml:space="preserve">    </w:t>
            </w: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r w:rsidR="008D75A2">
              <w:t xml:space="preserve">, який </w:t>
            </w:r>
            <w:r w:rsidR="008D75A2" w:rsidRPr="003A6632">
              <w:t xml:space="preserve">проводився </w:t>
            </w:r>
            <w:r w:rsidR="008D75A2" w:rsidRPr="003A6632">
              <w:rPr>
                <w:i/>
              </w:rPr>
              <w:t xml:space="preserve">методом порівняння ринкових цін </w:t>
            </w:r>
            <w:r w:rsidR="008D75A2">
              <w:rPr>
                <w:i/>
              </w:rPr>
              <w:t>за інформацією, що міститься у відкритих джерелах.</w:t>
            </w:r>
          </w:p>
          <w:p w14:paraId="7ADA8A17" w14:textId="07F1D62C" w:rsidR="007E67FB" w:rsidRPr="007E67FB" w:rsidRDefault="007E67FB" w:rsidP="007E67FB">
            <w:pPr>
              <w:rPr>
                <w:iCs/>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7E67FB" w:rsidRPr="000C37C2" w14:paraId="0FE22A9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1C2A341" w14:textId="77777777" w:rsidR="007E67FB" w:rsidRPr="000C37C2" w:rsidRDefault="007E67FB" w:rsidP="007E67FB">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2FDB6B3" w14:textId="77777777" w:rsidR="007E67FB" w:rsidRPr="000C37C2" w:rsidRDefault="007E67FB" w:rsidP="007E67FB">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63B20137" w14:textId="77777777" w:rsidR="007E67FB" w:rsidRDefault="007E67FB" w:rsidP="007E67FB">
            <w:pPr>
              <w:widowControl w:val="0"/>
              <w:ind w:right="160" w:firstLine="368"/>
              <w:jc w:val="both"/>
            </w:pPr>
            <w:r w:rsidRPr="00DB509D">
              <w:rPr>
                <w:b/>
                <w:i/>
              </w:rPr>
              <w:t>Визначення потреби в закупівлі:</w:t>
            </w:r>
            <w:r>
              <w:t xml:space="preserve"> зумовлена необхідністю з</w:t>
            </w:r>
            <w:r w:rsidRPr="00CD6DBC">
              <w:t>абезпечення належного технічного стану та безперебійного функціонування систем водопостачання та опалення підприємства.</w:t>
            </w:r>
          </w:p>
          <w:p w14:paraId="3EE593C4" w14:textId="77777777" w:rsidR="007E67FB" w:rsidRPr="00DB509D" w:rsidRDefault="007E67FB" w:rsidP="007E67FB">
            <w:pPr>
              <w:widowControl w:val="0"/>
              <w:ind w:right="160" w:firstLine="368"/>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1A56D2D0" w14:textId="0862988E" w:rsidR="007E67FB" w:rsidRPr="000C37C2" w:rsidRDefault="007E67FB" w:rsidP="007E67FB">
            <w:pPr>
              <w:rPr>
                <w:i/>
              </w:rPr>
            </w:pPr>
            <w:r w:rsidRPr="00DB509D">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bl>
    <w:p w14:paraId="639B9C14" w14:textId="77777777" w:rsidR="006F428D" w:rsidRPr="000C37C2" w:rsidRDefault="006F428D" w:rsidP="00A12478">
      <w:pPr>
        <w:rPr>
          <w:b/>
        </w:rPr>
      </w:pPr>
    </w:p>
    <w:p w14:paraId="63BF8DDF" w14:textId="77777777" w:rsidR="006926A0" w:rsidRPr="00C2671A" w:rsidRDefault="006926A0" w:rsidP="006926A0">
      <w:pPr>
        <w:ind w:firstLine="567"/>
        <w:jc w:val="both"/>
      </w:pPr>
      <w:r w:rsidRPr="00C2671A">
        <w:t>Враховуючи зазначене, замовник прийняв рішення стосовно застосування таких технічних та якісних характеристик предмета закупівлі:</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832"/>
        <w:gridCol w:w="1135"/>
        <w:gridCol w:w="851"/>
        <w:gridCol w:w="5273"/>
      </w:tblGrid>
      <w:tr w:rsidR="00C2671A" w:rsidRPr="00C2671A" w14:paraId="74887708" w14:textId="77777777" w:rsidTr="00C2671A">
        <w:trPr>
          <w:trHeight w:val="614"/>
        </w:trPr>
        <w:tc>
          <w:tcPr>
            <w:tcW w:w="757" w:type="dxa"/>
            <w:tcBorders>
              <w:top w:val="single" w:sz="4" w:space="0" w:color="auto"/>
              <w:left w:val="single" w:sz="4" w:space="0" w:color="auto"/>
              <w:right w:val="single" w:sz="4" w:space="0" w:color="auto"/>
            </w:tcBorders>
            <w:shd w:val="clear" w:color="auto" w:fill="F2F2F2"/>
          </w:tcPr>
          <w:p w14:paraId="53BCC9F3" w14:textId="77777777" w:rsidR="00C2671A" w:rsidRPr="00C2671A" w:rsidRDefault="00C2671A" w:rsidP="002B0D27">
            <w:pPr>
              <w:widowControl w:val="0"/>
            </w:pPr>
            <w:r w:rsidRPr="00C2671A">
              <w:t>№ п/п</w:t>
            </w:r>
          </w:p>
        </w:tc>
        <w:tc>
          <w:tcPr>
            <w:tcW w:w="1832" w:type="dxa"/>
            <w:tcBorders>
              <w:top w:val="single" w:sz="4" w:space="0" w:color="auto"/>
              <w:left w:val="single" w:sz="4" w:space="0" w:color="auto"/>
              <w:right w:val="single" w:sz="4" w:space="0" w:color="auto"/>
            </w:tcBorders>
            <w:shd w:val="clear" w:color="auto" w:fill="F2F2F2"/>
          </w:tcPr>
          <w:p w14:paraId="0C9C5DE0" w14:textId="77777777" w:rsidR="00C2671A" w:rsidRPr="00C2671A" w:rsidRDefault="00C2671A" w:rsidP="002B0D27">
            <w:pPr>
              <w:widowControl w:val="0"/>
              <w:jc w:val="center"/>
            </w:pPr>
            <w:r w:rsidRPr="00C2671A">
              <w:t>Найменування товару</w:t>
            </w:r>
          </w:p>
          <w:p w14:paraId="65CA11BF" w14:textId="77777777" w:rsidR="00C2671A" w:rsidRPr="00C2671A" w:rsidRDefault="00C2671A" w:rsidP="002B0D27">
            <w:pPr>
              <w:widowControl w:val="0"/>
              <w:jc w:val="center"/>
            </w:pPr>
          </w:p>
        </w:tc>
        <w:tc>
          <w:tcPr>
            <w:tcW w:w="1135" w:type="dxa"/>
            <w:tcBorders>
              <w:top w:val="single" w:sz="4" w:space="0" w:color="auto"/>
              <w:left w:val="single" w:sz="4" w:space="0" w:color="auto"/>
              <w:right w:val="single" w:sz="4" w:space="0" w:color="auto"/>
            </w:tcBorders>
            <w:shd w:val="clear" w:color="auto" w:fill="F2F2F2"/>
          </w:tcPr>
          <w:p w14:paraId="1417AF25" w14:textId="77777777" w:rsidR="00C2671A" w:rsidRPr="00C2671A" w:rsidRDefault="00C2671A" w:rsidP="002B0D27">
            <w:pPr>
              <w:widowControl w:val="0"/>
              <w:jc w:val="center"/>
            </w:pPr>
            <w:r w:rsidRPr="00C2671A">
              <w:t>Одиниця</w:t>
            </w:r>
          </w:p>
          <w:p w14:paraId="6BA6E15A" w14:textId="77777777" w:rsidR="00C2671A" w:rsidRPr="00C2671A" w:rsidRDefault="00C2671A" w:rsidP="002B0D27">
            <w:pPr>
              <w:widowControl w:val="0"/>
              <w:jc w:val="center"/>
            </w:pPr>
            <w:r w:rsidRPr="00C2671A">
              <w:t>виміру</w:t>
            </w:r>
          </w:p>
        </w:tc>
        <w:tc>
          <w:tcPr>
            <w:tcW w:w="851" w:type="dxa"/>
            <w:tcBorders>
              <w:top w:val="single" w:sz="4" w:space="0" w:color="auto"/>
              <w:left w:val="single" w:sz="4" w:space="0" w:color="auto"/>
              <w:right w:val="single" w:sz="4" w:space="0" w:color="auto"/>
            </w:tcBorders>
            <w:shd w:val="clear" w:color="auto" w:fill="F2F2F2"/>
          </w:tcPr>
          <w:p w14:paraId="7C201B66" w14:textId="77777777" w:rsidR="00C2671A" w:rsidRPr="00C2671A" w:rsidRDefault="00C2671A" w:rsidP="002B0D27">
            <w:pPr>
              <w:widowControl w:val="0"/>
              <w:jc w:val="center"/>
            </w:pPr>
            <w:r w:rsidRPr="00C2671A">
              <w:t>Кількість</w:t>
            </w:r>
          </w:p>
        </w:tc>
        <w:tc>
          <w:tcPr>
            <w:tcW w:w="5273" w:type="dxa"/>
            <w:tcBorders>
              <w:top w:val="single" w:sz="4" w:space="0" w:color="auto"/>
              <w:left w:val="single" w:sz="4" w:space="0" w:color="auto"/>
              <w:right w:val="single" w:sz="4" w:space="0" w:color="auto"/>
            </w:tcBorders>
            <w:shd w:val="clear" w:color="auto" w:fill="F2F2F2"/>
          </w:tcPr>
          <w:p w14:paraId="76C812DC" w14:textId="77777777" w:rsidR="00C2671A" w:rsidRPr="00C2671A" w:rsidRDefault="00C2671A" w:rsidP="002B0D27">
            <w:pPr>
              <w:widowControl w:val="0"/>
              <w:jc w:val="center"/>
            </w:pPr>
            <w:r w:rsidRPr="00C2671A">
              <w:t>Технічні та якісні характеристики предмета закупівлі</w:t>
            </w:r>
          </w:p>
        </w:tc>
      </w:tr>
      <w:tr w:rsidR="00C2671A" w:rsidRPr="00C2671A" w14:paraId="02A6ED6B" w14:textId="77777777" w:rsidTr="00C2671A">
        <w:trPr>
          <w:trHeight w:val="229"/>
        </w:trPr>
        <w:tc>
          <w:tcPr>
            <w:tcW w:w="757" w:type="dxa"/>
            <w:tcBorders>
              <w:top w:val="single" w:sz="4" w:space="0" w:color="auto"/>
              <w:left w:val="single" w:sz="4" w:space="0" w:color="auto"/>
              <w:right w:val="single" w:sz="4" w:space="0" w:color="auto"/>
            </w:tcBorders>
          </w:tcPr>
          <w:p w14:paraId="324B6A83" w14:textId="77777777" w:rsidR="00C2671A" w:rsidRPr="00C2671A" w:rsidRDefault="00C2671A" w:rsidP="002B0D27">
            <w:pPr>
              <w:widowControl w:val="0"/>
              <w:rPr>
                <w:noProof/>
              </w:rPr>
            </w:pPr>
            <w:r w:rsidRPr="00C2671A">
              <w:rPr>
                <w:noProof/>
              </w:rPr>
              <w:t>1</w:t>
            </w:r>
          </w:p>
        </w:tc>
        <w:tc>
          <w:tcPr>
            <w:tcW w:w="1832" w:type="dxa"/>
            <w:tcBorders>
              <w:top w:val="single" w:sz="4" w:space="0" w:color="auto"/>
              <w:left w:val="single" w:sz="4" w:space="0" w:color="auto"/>
              <w:right w:val="single" w:sz="4" w:space="0" w:color="auto"/>
            </w:tcBorders>
          </w:tcPr>
          <w:p w14:paraId="12420021" w14:textId="77777777" w:rsidR="00C2671A" w:rsidRPr="00C2671A" w:rsidRDefault="00C2671A" w:rsidP="002B0D27">
            <w:pPr>
              <w:widowControl w:val="0"/>
              <w:rPr>
                <w:b/>
                <w:noProof/>
              </w:rPr>
            </w:pPr>
            <w:r w:rsidRPr="00C2671A">
              <w:rPr>
                <w:noProof/>
              </w:rPr>
              <w:t>Кран кульовий</w:t>
            </w:r>
          </w:p>
        </w:tc>
        <w:tc>
          <w:tcPr>
            <w:tcW w:w="1135" w:type="dxa"/>
            <w:tcBorders>
              <w:top w:val="single" w:sz="4" w:space="0" w:color="auto"/>
              <w:left w:val="single" w:sz="4" w:space="0" w:color="auto"/>
              <w:right w:val="single" w:sz="4" w:space="0" w:color="auto"/>
            </w:tcBorders>
          </w:tcPr>
          <w:p w14:paraId="090BB1FB" w14:textId="77777777" w:rsidR="00C2671A" w:rsidRPr="00C2671A" w:rsidRDefault="00C2671A" w:rsidP="002B0D27">
            <w:pPr>
              <w:widowControl w:val="0"/>
              <w:rPr>
                <w:b/>
                <w:noProof/>
              </w:rPr>
            </w:pPr>
            <w:r w:rsidRPr="00C2671A">
              <w:rPr>
                <w:rFonts w:eastAsiaTheme="majorEastAsia"/>
                <w:bCs/>
                <w:noProof/>
                <w:color w:val="1F1F1F"/>
              </w:rPr>
              <w:t>шт</w:t>
            </w:r>
          </w:p>
        </w:tc>
        <w:tc>
          <w:tcPr>
            <w:tcW w:w="851" w:type="dxa"/>
            <w:tcBorders>
              <w:top w:val="single" w:sz="4" w:space="0" w:color="auto"/>
              <w:left w:val="single" w:sz="4" w:space="0" w:color="auto"/>
              <w:right w:val="single" w:sz="4" w:space="0" w:color="auto"/>
            </w:tcBorders>
          </w:tcPr>
          <w:p w14:paraId="20B7A24F" w14:textId="77777777" w:rsidR="00C2671A" w:rsidRPr="00C2671A" w:rsidRDefault="00C2671A" w:rsidP="002B0D27">
            <w:pPr>
              <w:widowControl w:val="0"/>
              <w:rPr>
                <w:b/>
                <w:noProof/>
              </w:rPr>
            </w:pPr>
            <w:r w:rsidRPr="00C2671A">
              <w:rPr>
                <w:noProof/>
                <w:color w:val="000000"/>
              </w:rPr>
              <w:t>27</w:t>
            </w:r>
          </w:p>
        </w:tc>
        <w:tc>
          <w:tcPr>
            <w:tcW w:w="5273" w:type="dxa"/>
            <w:tcBorders>
              <w:top w:val="single" w:sz="4" w:space="0" w:color="auto"/>
              <w:left w:val="single" w:sz="4" w:space="0" w:color="auto"/>
              <w:right w:val="single" w:sz="4" w:space="0" w:color="auto"/>
            </w:tcBorders>
          </w:tcPr>
          <w:p w14:paraId="3FDA660C" w14:textId="77777777" w:rsidR="00C2671A" w:rsidRPr="00C2671A" w:rsidRDefault="00C2671A" w:rsidP="002B0D27">
            <w:pPr>
              <w:autoSpaceDE w:val="0"/>
              <w:autoSpaceDN w:val="0"/>
              <w:adjustRightInd w:val="0"/>
              <w:rPr>
                <w:noProof/>
              </w:rPr>
            </w:pPr>
            <w:r w:rsidRPr="00C2671A">
              <w:rPr>
                <w:noProof/>
              </w:rPr>
              <w:t>Тип різьблення: Внутрішня-внутрішня;</w:t>
            </w:r>
          </w:p>
          <w:p w14:paraId="3889C0CA" w14:textId="77777777" w:rsidR="00C2671A" w:rsidRPr="00C2671A" w:rsidRDefault="00C2671A" w:rsidP="002B0D27">
            <w:pPr>
              <w:autoSpaceDE w:val="0"/>
              <w:autoSpaceDN w:val="0"/>
              <w:adjustRightInd w:val="0"/>
              <w:rPr>
                <w:noProof/>
              </w:rPr>
            </w:pPr>
            <w:r w:rsidRPr="00C2671A">
              <w:rPr>
                <w:noProof/>
              </w:rPr>
              <w:t>Діаметр різьблення: 1/2";</w:t>
            </w:r>
          </w:p>
          <w:p w14:paraId="17B5C47A" w14:textId="77777777" w:rsidR="00C2671A" w:rsidRPr="00C2671A" w:rsidRDefault="00C2671A" w:rsidP="002B0D27">
            <w:pPr>
              <w:autoSpaceDE w:val="0"/>
              <w:autoSpaceDN w:val="0"/>
              <w:adjustRightInd w:val="0"/>
              <w:rPr>
                <w:noProof/>
              </w:rPr>
            </w:pPr>
            <w:r w:rsidRPr="00C2671A">
              <w:rPr>
                <w:noProof/>
              </w:rPr>
              <w:t xml:space="preserve">Виконання: Прямий; </w:t>
            </w:r>
          </w:p>
          <w:p w14:paraId="333F2D8D" w14:textId="77777777" w:rsidR="00C2671A" w:rsidRPr="00C2671A" w:rsidRDefault="00C2671A" w:rsidP="002B0D27">
            <w:pPr>
              <w:autoSpaceDE w:val="0"/>
              <w:autoSpaceDN w:val="0"/>
              <w:adjustRightInd w:val="0"/>
              <w:rPr>
                <w:noProof/>
              </w:rPr>
            </w:pPr>
            <w:r w:rsidRPr="00C2671A">
              <w:rPr>
                <w:noProof/>
              </w:rPr>
              <w:t xml:space="preserve">Тип ручки: Метелик; </w:t>
            </w:r>
          </w:p>
          <w:p w14:paraId="19C33AAA" w14:textId="77777777" w:rsidR="00C2671A" w:rsidRPr="00C2671A" w:rsidRDefault="00C2671A" w:rsidP="002B0D27">
            <w:pPr>
              <w:autoSpaceDE w:val="0"/>
              <w:autoSpaceDN w:val="0"/>
              <w:adjustRightInd w:val="0"/>
              <w:rPr>
                <w:noProof/>
              </w:rPr>
            </w:pPr>
            <w:r w:rsidRPr="00C2671A">
              <w:rPr>
                <w:noProof/>
              </w:rPr>
              <w:t>Робоче середовище: Вода;</w:t>
            </w:r>
          </w:p>
          <w:p w14:paraId="71AE4753" w14:textId="77777777" w:rsidR="00C2671A" w:rsidRPr="00C2671A" w:rsidRDefault="00C2671A" w:rsidP="002B0D27">
            <w:pPr>
              <w:autoSpaceDE w:val="0"/>
              <w:autoSpaceDN w:val="0"/>
              <w:adjustRightInd w:val="0"/>
              <w:rPr>
                <w:noProof/>
              </w:rPr>
            </w:pPr>
            <w:r w:rsidRPr="00C2671A">
              <w:rPr>
                <w:noProof/>
              </w:rPr>
              <w:t xml:space="preserve">Робочий тиск: </w:t>
            </w:r>
            <w:r w:rsidRPr="00C2671A">
              <w:rPr>
                <w:i/>
                <w:noProof/>
                <w:color w:val="FF0000"/>
              </w:rPr>
              <w:t>не менше</w:t>
            </w:r>
            <w:r w:rsidRPr="00C2671A">
              <w:rPr>
                <w:noProof/>
                <w:color w:val="FF0000"/>
              </w:rPr>
              <w:t xml:space="preserve"> </w:t>
            </w:r>
            <w:r w:rsidRPr="00C2671A">
              <w:rPr>
                <w:noProof/>
              </w:rPr>
              <w:t xml:space="preserve">40 бар; </w:t>
            </w:r>
          </w:p>
          <w:p w14:paraId="45F32480" w14:textId="77777777" w:rsidR="00C2671A" w:rsidRPr="00C2671A" w:rsidRDefault="00C2671A" w:rsidP="002B0D27">
            <w:pPr>
              <w:autoSpaceDE w:val="0"/>
              <w:autoSpaceDN w:val="0"/>
              <w:adjustRightInd w:val="0"/>
              <w:rPr>
                <w:noProof/>
              </w:rPr>
            </w:pPr>
            <w:r w:rsidRPr="00C2671A">
              <w:rPr>
                <w:noProof/>
              </w:rPr>
              <w:t xml:space="preserve">Максимальна температура робочого середовища: </w:t>
            </w:r>
            <w:r w:rsidRPr="00C2671A">
              <w:rPr>
                <w:i/>
                <w:noProof/>
                <w:color w:val="FF0000"/>
              </w:rPr>
              <w:t>не менше</w:t>
            </w:r>
            <w:r w:rsidRPr="00C2671A">
              <w:rPr>
                <w:noProof/>
                <w:color w:val="FF0000"/>
              </w:rPr>
              <w:t xml:space="preserve"> </w:t>
            </w:r>
            <w:r w:rsidRPr="00C2671A">
              <w:rPr>
                <w:noProof/>
              </w:rPr>
              <w:t>+</w:t>
            </w:r>
            <w:r w:rsidRPr="00C2671A">
              <w:rPr>
                <w:noProof/>
                <w:color w:val="FF0000"/>
              </w:rPr>
              <w:t xml:space="preserve"> </w:t>
            </w:r>
            <w:r w:rsidRPr="00C2671A">
              <w:rPr>
                <w:noProof/>
              </w:rPr>
              <w:t xml:space="preserve">150°С; </w:t>
            </w:r>
          </w:p>
          <w:p w14:paraId="1BCC2B54" w14:textId="77777777" w:rsidR="00C2671A" w:rsidRPr="00C2671A" w:rsidRDefault="00C2671A" w:rsidP="002B0D27">
            <w:pPr>
              <w:widowControl w:val="0"/>
              <w:rPr>
                <w:b/>
                <w:noProof/>
              </w:rPr>
            </w:pPr>
            <w:r w:rsidRPr="00C2671A">
              <w:rPr>
                <w:noProof/>
              </w:rPr>
              <w:t>Матеріал: Латунь.</w:t>
            </w:r>
          </w:p>
        </w:tc>
      </w:tr>
      <w:tr w:rsidR="00C2671A" w:rsidRPr="00C2671A" w14:paraId="0033675E" w14:textId="77777777" w:rsidTr="00C2671A">
        <w:trPr>
          <w:trHeight w:val="229"/>
        </w:trPr>
        <w:tc>
          <w:tcPr>
            <w:tcW w:w="757" w:type="dxa"/>
            <w:tcBorders>
              <w:top w:val="single" w:sz="4" w:space="0" w:color="auto"/>
              <w:left w:val="single" w:sz="4" w:space="0" w:color="auto"/>
              <w:bottom w:val="single" w:sz="4" w:space="0" w:color="auto"/>
              <w:right w:val="single" w:sz="4" w:space="0" w:color="auto"/>
            </w:tcBorders>
          </w:tcPr>
          <w:p w14:paraId="58EEC250" w14:textId="77777777" w:rsidR="00C2671A" w:rsidRPr="00C2671A" w:rsidRDefault="00C2671A" w:rsidP="002B0D27">
            <w:pPr>
              <w:widowControl w:val="0"/>
              <w:rPr>
                <w:noProof/>
              </w:rPr>
            </w:pPr>
            <w:r w:rsidRPr="00C2671A">
              <w:rPr>
                <w:noProof/>
              </w:rPr>
              <w:t>2</w:t>
            </w:r>
          </w:p>
        </w:tc>
        <w:tc>
          <w:tcPr>
            <w:tcW w:w="1832" w:type="dxa"/>
            <w:tcBorders>
              <w:top w:val="single" w:sz="4" w:space="0" w:color="auto"/>
              <w:left w:val="single" w:sz="4" w:space="0" w:color="auto"/>
              <w:bottom w:val="single" w:sz="4" w:space="0" w:color="auto"/>
              <w:right w:val="single" w:sz="4" w:space="0" w:color="auto"/>
            </w:tcBorders>
          </w:tcPr>
          <w:p w14:paraId="5AA169DB" w14:textId="77777777" w:rsidR="00C2671A" w:rsidRPr="00C2671A" w:rsidRDefault="00C2671A" w:rsidP="002B0D27">
            <w:pPr>
              <w:widowControl w:val="0"/>
              <w:rPr>
                <w:b/>
                <w:noProof/>
              </w:rPr>
            </w:pPr>
            <w:r w:rsidRPr="00C2671A">
              <w:rPr>
                <w:noProof/>
              </w:rPr>
              <w:t>Кран кульовий</w:t>
            </w:r>
          </w:p>
        </w:tc>
        <w:tc>
          <w:tcPr>
            <w:tcW w:w="1135" w:type="dxa"/>
            <w:tcBorders>
              <w:top w:val="single" w:sz="4" w:space="0" w:color="auto"/>
              <w:left w:val="single" w:sz="4" w:space="0" w:color="auto"/>
              <w:bottom w:val="single" w:sz="4" w:space="0" w:color="auto"/>
              <w:right w:val="single" w:sz="4" w:space="0" w:color="auto"/>
            </w:tcBorders>
          </w:tcPr>
          <w:p w14:paraId="7D66CB86" w14:textId="77777777" w:rsidR="00C2671A" w:rsidRPr="00C2671A" w:rsidRDefault="00C2671A" w:rsidP="002B0D27">
            <w:pPr>
              <w:widowControl w:val="0"/>
              <w:rPr>
                <w:b/>
                <w:noProof/>
              </w:rPr>
            </w:pPr>
            <w:r w:rsidRPr="00C2671A">
              <w:rPr>
                <w:rFonts w:eastAsiaTheme="majorEastAsia"/>
                <w:bCs/>
                <w:noProof/>
                <w:color w:val="1F1F1F"/>
              </w:rPr>
              <w:t>шт</w:t>
            </w:r>
          </w:p>
        </w:tc>
        <w:tc>
          <w:tcPr>
            <w:tcW w:w="851" w:type="dxa"/>
            <w:tcBorders>
              <w:top w:val="single" w:sz="4" w:space="0" w:color="auto"/>
              <w:left w:val="single" w:sz="4" w:space="0" w:color="auto"/>
              <w:bottom w:val="single" w:sz="4" w:space="0" w:color="auto"/>
              <w:right w:val="single" w:sz="4" w:space="0" w:color="auto"/>
            </w:tcBorders>
          </w:tcPr>
          <w:p w14:paraId="6B9AD321" w14:textId="77777777" w:rsidR="00C2671A" w:rsidRPr="00C2671A" w:rsidRDefault="00C2671A" w:rsidP="002B0D27">
            <w:pPr>
              <w:widowControl w:val="0"/>
              <w:rPr>
                <w:b/>
                <w:noProof/>
              </w:rPr>
            </w:pPr>
            <w:r w:rsidRPr="00C2671A">
              <w:rPr>
                <w:noProof/>
                <w:color w:val="000000"/>
              </w:rPr>
              <w:t>19</w:t>
            </w:r>
          </w:p>
        </w:tc>
        <w:tc>
          <w:tcPr>
            <w:tcW w:w="5273" w:type="dxa"/>
            <w:tcBorders>
              <w:top w:val="single" w:sz="4" w:space="0" w:color="auto"/>
              <w:left w:val="single" w:sz="4" w:space="0" w:color="auto"/>
              <w:bottom w:val="single" w:sz="4" w:space="0" w:color="auto"/>
              <w:right w:val="single" w:sz="4" w:space="0" w:color="auto"/>
            </w:tcBorders>
          </w:tcPr>
          <w:p w14:paraId="2DA29825" w14:textId="77777777" w:rsidR="00C2671A" w:rsidRPr="00C2671A" w:rsidRDefault="00C2671A" w:rsidP="002B0D27">
            <w:pPr>
              <w:autoSpaceDE w:val="0"/>
              <w:autoSpaceDN w:val="0"/>
              <w:adjustRightInd w:val="0"/>
              <w:rPr>
                <w:noProof/>
              </w:rPr>
            </w:pPr>
            <w:r w:rsidRPr="00C2671A">
              <w:rPr>
                <w:noProof/>
              </w:rPr>
              <w:t>Тип різьблення: Внутрішня-внутрішня;</w:t>
            </w:r>
          </w:p>
          <w:p w14:paraId="51B3805B" w14:textId="77777777" w:rsidR="00C2671A" w:rsidRPr="00C2671A" w:rsidRDefault="00C2671A" w:rsidP="002B0D27">
            <w:pPr>
              <w:autoSpaceDE w:val="0"/>
              <w:autoSpaceDN w:val="0"/>
              <w:adjustRightInd w:val="0"/>
              <w:rPr>
                <w:noProof/>
              </w:rPr>
            </w:pPr>
            <w:r w:rsidRPr="00C2671A">
              <w:rPr>
                <w:noProof/>
              </w:rPr>
              <w:t>Діаметр різьблення: 3/4";</w:t>
            </w:r>
          </w:p>
          <w:p w14:paraId="6E5016BF" w14:textId="77777777" w:rsidR="00C2671A" w:rsidRPr="00C2671A" w:rsidRDefault="00C2671A" w:rsidP="002B0D27">
            <w:pPr>
              <w:autoSpaceDE w:val="0"/>
              <w:autoSpaceDN w:val="0"/>
              <w:adjustRightInd w:val="0"/>
              <w:rPr>
                <w:noProof/>
              </w:rPr>
            </w:pPr>
            <w:r w:rsidRPr="00C2671A">
              <w:rPr>
                <w:noProof/>
              </w:rPr>
              <w:t xml:space="preserve">Виконання: Прямий; </w:t>
            </w:r>
          </w:p>
          <w:p w14:paraId="1185889D" w14:textId="77777777" w:rsidR="00C2671A" w:rsidRPr="00C2671A" w:rsidRDefault="00C2671A" w:rsidP="002B0D27">
            <w:pPr>
              <w:autoSpaceDE w:val="0"/>
              <w:autoSpaceDN w:val="0"/>
              <w:adjustRightInd w:val="0"/>
              <w:rPr>
                <w:noProof/>
              </w:rPr>
            </w:pPr>
            <w:r w:rsidRPr="00C2671A">
              <w:rPr>
                <w:noProof/>
              </w:rPr>
              <w:t xml:space="preserve">Тип ручки: Метелик; </w:t>
            </w:r>
          </w:p>
          <w:p w14:paraId="4AD69FD0" w14:textId="77777777" w:rsidR="00C2671A" w:rsidRPr="00C2671A" w:rsidRDefault="00C2671A" w:rsidP="002B0D27">
            <w:pPr>
              <w:autoSpaceDE w:val="0"/>
              <w:autoSpaceDN w:val="0"/>
              <w:adjustRightInd w:val="0"/>
              <w:rPr>
                <w:noProof/>
              </w:rPr>
            </w:pPr>
            <w:r w:rsidRPr="00C2671A">
              <w:rPr>
                <w:noProof/>
              </w:rPr>
              <w:t>Робоче середовище: Вода;</w:t>
            </w:r>
          </w:p>
          <w:p w14:paraId="26BDD1EB" w14:textId="77777777" w:rsidR="00C2671A" w:rsidRPr="00C2671A" w:rsidRDefault="00C2671A" w:rsidP="002B0D27">
            <w:pPr>
              <w:autoSpaceDE w:val="0"/>
              <w:autoSpaceDN w:val="0"/>
              <w:adjustRightInd w:val="0"/>
              <w:rPr>
                <w:noProof/>
              </w:rPr>
            </w:pPr>
            <w:r w:rsidRPr="00C2671A">
              <w:rPr>
                <w:noProof/>
              </w:rPr>
              <w:t xml:space="preserve">Робочий тиск: </w:t>
            </w:r>
            <w:r w:rsidRPr="00C2671A">
              <w:rPr>
                <w:i/>
                <w:noProof/>
                <w:color w:val="FF0000"/>
              </w:rPr>
              <w:t>не менше</w:t>
            </w:r>
            <w:r w:rsidRPr="00C2671A">
              <w:rPr>
                <w:noProof/>
                <w:color w:val="FF0000"/>
              </w:rPr>
              <w:t xml:space="preserve"> </w:t>
            </w:r>
            <w:r w:rsidRPr="00C2671A">
              <w:rPr>
                <w:noProof/>
              </w:rPr>
              <w:t xml:space="preserve">40 бар; </w:t>
            </w:r>
          </w:p>
          <w:p w14:paraId="5B2AF8AA" w14:textId="77777777" w:rsidR="00C2671A" w:rsidRPr="00C2671A" w:rsidRDefault="00C2671A" w:rsidP="002B0D27">
            <w:pPr>
              <w:autoSpaceDE w:val="0"/>
              <w:autoSpaceDN w:val="0"/>
              <w:adjustRightInd w:val="0"/>
              <w:rPr>
                <w:noProof/>
              </w:rPr>
            </w:pPr>
            <w:r w:rsidRPr="00C2671A">
              <w:rPr>
                <w:noProof/>
              </w:rPr>
              <w:t xml:space="preserve">Максимальна температура робочого середовища: </w:t>
            </w:r>
            <w:r w:rsidRPr="00C2671A">
              <w:rPr>
                <w:i/>
                <w:noProof/>
                <w:color w:val="FF0000"/>
              </w:rPr>
              <w:t>не менше</w:t>
            </w:r>
            <w:r w:rsidRPr="00C2671A">
              <w:rPr>
                <w:noProof/>
                <w:color w:val="FF0000"/>
              </w:rPr>
              <w:t xml:space="preserve"> </w:t>
            </w:r>
            <w:r w:rsidRPr="00C2671A">
              <w:rPr>
                <w:noProof/>
              </w:rPr>
              <w:t>+</w:t>
            </w:r>
            <w:r w:rsidRPr="00C2671A">
              <w:rPr>
                <w:noProof/>
                <w:color w:val="FF0000"/>
              </w:rPr>
              <w:t xml:space="preserve"> </w:t>
            </w:r>
            <w:r w:rsidRPr="00C2671A">
              <w:rPr>
                <w:noProof/>
              </w:rPr>
              <w:t xml:space="preserve">150°С; </w:t>
            </w:r>
          </w:p>
          <w:p w14:paraId="1A9278DD" w14:textId="77777777" w:rsidR="00C2671A" w:rsidRPr="00C2671A" w:rsidRDefault="00C2671A" w:rsidP="002B0D27">
            <w:pPr>
              <w:widowControl w:val="0"/>
              <w:rPr>
                <w:b/>
                <w:noProof/>
              </w:rPr>
            </w:pPr>
            <w:r w:rsidRPr="00C2671A">
              <w:rPr>
                <w:noProof/>
              </w:rPr>
              <w:t>Матеріал: Латунь.</w:t>
            </w:r>
          </w:p>
        </w:tc>
      </w:tr>
      <w:tr w:rsidR="00C2671A" w:rsidRPr="00C2671A" w14:paraId="1986046A" w14:textId="77777777" w:rsidTr="00C2671A">
        <w:trPr>
          <w:trHeight w:val="229"/>
        </w:trPr>
        <w:tc>
          <w:tcPr>
            <w:tcW w:w="757" w:type="dxa"/>
            <w:tcBorders>
              <w:top w:val="single" w:sz="4" w:space="0" w:color="auto"/>
              <w:left w:val="single" w:sz="4" w:space="0" w:color="auto"/>
              <w:bottom w:val="single" w:sz="4" w:space="0" w:color="auto"/>
              <w:right w:val="single" w:sz="4" w:space="0" w:color="auto"/>
            </w:tcBorders>
          </w:tcPr>
          <w:p w14:paraId="4F1133A6" w14:textId="77777777" w:rsidR="00C2671A" w:rsidRPr="00C2671A" w:rsidRDefault="00C2671A" w:rsidP="002B0D27">
            <w:pPr>
              <w:widowControl w:val="0"/>
              <w:rPr>
                <w:noProof/>
              </w:rPr>
            </w:pPr>
            <w:r w:rsidRPr="00C2671A">
              <w:rPr>
                <w:noProof/>
              </w:rPr>
              <w:t>3</w:t>
            </w:r>
          </w:p>
        </w:tc>
        <w:tc>
          <w:tcPr>
            <w:tcW w:w="1832" w:type="dxa"/>
            <w:tcBorders>
              <w:top w:val="single" w:sz="4" w:space="0" w:color="auto"/>
              <w:left w:val="single" w:sz="4" w:space="0" w:color="auto"/>
              <w:bottom w:val="single" w:sz="4" w:space="0" w:color="auto"/>
              <w:right w:val="single" w:sz="4" w:space="0" w:color="auto"/>
            </w:tcBorders>
          </w:tcPr>
          <w:p w14:paraId="61F7517A" w14:textId="77777777" w:rsidR="00C2671A" w:rsidRPr="00C2671A" w:rsidRDefault="00C2671A" w:rsidP="002B0D27">
            <w:pPr>
              <w:autoSpaceDE w:val="0"/>
              <w:autoSpaceDN w:val="0"/>
              <w:adjustRightInd w:val="0"/>
              <w:rPr>
                <w:noProof/>
              </w:rPr>
            </w:pPr>
            <w:r w:rsidRPr="00C2671A">
              <w:rPr>
                <w:noProof/>
              </w:rPr>
              <w:t>Кран кульовий з</w:t>
            </w:r>
          </w:p>
          <w:p w14:paraId="67FDAC4E" w14:textId="77777777" w:rsidR="00C2671A" w:rsidRPr="00C2671A" w:rsidRDefault="00C2671A" w:rsidP="002B0D27">
            <w:pPr>
              <w:widowControl w:val="0"/>
              <w:rPr>
                <w:b/>
                <w:noProof/>
              </w:rPr>
            </w:pPr>
            <w:r w:rsidRPr="00C2671A">
              <w:rPr>
                <w:noProof/>
              </w:rPr>
              <w:t>американкою</w:t>
            </w:r>
          </w:p>
        </w:tc>
        <w:tc>
          <w:tcPr>
            <w:tcW w:w="1135" w:type="dxa"/>
            <w:tcBorders>
              <w:top w:val="single" w:sz="4" w:space="0" w:color="auto"/>
              <w:left w:val="single" w:sz="4" w:space="0" w:color="auto"/>
              <w:bottom w:val="single" w:sz="4" w:space="0" w:color="auto"/>
              <w:right w:val="single" w:sz="4" w:space="0" w:color="auto"/>
            </w:tcBorders>
          </w:tcPr>
          <w:p w14:paraId="09C81743" w14:textId="77777777" w:rsidR="00C2671A" w:rsidRPr="00C2671A" w:rsidRDefault="00C2671A" w:rsidP="002B0D27">
            <w:pPr>
              <w:widowControl w:val="0"/>
              <w:rPr>
                <w:b/>
                <w:noProof/>
              </w:rPr>
            </w:pPr>
            <w:r w:rsidRPr="00C2671A">
              <w:rPr>
                <w:rFonts w:eastAsiaTheme="majorEastAsia"/>
                <w:bCs/>
                <w:noProof/>
                <w:color w:val="1F1F1F"/>
              </w:rPr>
              <w:t>шт</w:t>
            </w:r>
          </w:p>
        </w:tc>
        <w:tc>
          <w:tcPr>
            <w:tcW w:w="851" w:type="dxa"/>
            <w:tcBorders>
              <w:top w:val="single" w:sz="4" w:space="0" w:color="auto"/>
              <w:left w:val="single" w:sz="4" w:space="0" w:color="auto"/>
              <w:bottom w:val="single" w:sz="4" w:space="0" w:color="auto"/>
              <w:right w:val="single" w:sz="4" w:space="0" w:color="auto"/>
            </w:tcBorders>
          </w:tcPr>
          <w:p w14:paraId="5C312088" w14:textId="77777777" w:rsidR="00C2671A" w:rsidRPr="00C2671A" w:rsidRDefault="00C2671A" w:rsidP="002B0D27">
            <w:pPr>
              <w:widowControl w:val="0"/>
              <w:rPr>
                <w:b/>
                <w:noProof/>
              </w:rPr>
            </w:pPr>
            <w:r w:rsidRPr="00C2671A">
              <w:rPr>
                <w:noProof/>
                <w:color w:val="000000"/>
              </w:rPr>
              <w:t>15</w:t>
            </w:r>
          </w:p>
        </w:tc>
        <w:tc>
          <w:tcPr>
            <w:tcW w:w="5273" w:type="dxa"/>
            <w:tcBorders>
              <w:top w:val="single" w:sz="4" w:space="0" w:color="auto"/>
              <w:left w:val="single" w:sz="4" w:space="0" w:color="auto"/>
              <w:bottom w:val="single" w:sz="4" w:space="0" w:color="auto"/>
              <w:right w:val="single" w:sz="4" w:space="0" w:color="auto"/>
            </w:tcBorders>
          </w:tcPr>
          <w:p w14:paraId="44804090" w14:textId="77777777" w:rsidR="00C2671A" w:rsidRDefault="00C2671A" w:rsidP="002B0D27">
            <w:pPr>
              <w:autoSpaceDE w:val="0"/>
              <w:autoSpaceDN w:val="0"/>
              <w:adjustRightInd w:val="0"/>
              <w:rPr>
                <w:noProof/>
              </w:rPr>
            </w:pPr>
            <w:r w:rsidRPr="00C2671A">
              <w:rPr>
                <w:noProof/>
              </w:rPr>
              <w:t xml:space="preserve">Тип різьблення: Внутрішня-Зовнішня; </w:t>
            </w:r>
          </w:p>
          <w:p w14:paraId="63B9EE46" w14:textId="1F9F7CB7" w:rsidR="00C2671A" w:rsidRPr="00C2671A" w:rsidRDefault="00C2671A" w:rsidP="002B0D27">
            <w:pPr>
              <w:autoSpaceDE w:val="0"/>
              <w:autoSpaceDN w:val="0"/>
              <w:adjustRightInd w:val="0"/>
              <w:rPr>
                <w:noProof/>
              </w:rPr>
            </w:pPr>
            <w:r w:rsidRPr="00C2671A">
              <w:rPr>
                <w:noProof/>
              </w:rPr>
              <w:t xml:space="preserve">Діаметр різьблення: 3/4"; </w:t>
            </w:r>
          </w:p>
          <w:p w14:paraId="6EF6F0B5" w14:textId="77777777" w:rsidR="00C2671A" w:rsidRPr="00C2671A" w:rsidRDefault="00C2671A" w:rsidP="002B0D27">
            <w:pPr>
              <w:autoSpaceDE w:val="0"/>
              <w:autoSpaceDN w:val="0"/>
              <w:adjustRightInd w:val="0"/>
              <w:rPr>
                <w:noProof/>
              </w:rPr>
            </w:pPr>
            <w:r w:rsidRPr="00C2671A">
              <w:rPr>
                <w:noProof/>
              </w:rPr>
              <w:t xml:space="preserve">Виконання: Прямий; </w:t>
            </w:r>
          </w:p>
          <w:p w14:paraId="127D4492" w14:textId="77777777" w:rsidR="00C2671A" w:rsidRPr="00C2671A" w:rsidRDefault="00C2671A" w:rsidP="002B0D27">
            <w:pPr>
              <w:autoSpaceDE w:val="0"/>
              <w:autoSpaceDN w:val="0"/>
              <w:adjustRightInd w:val="0"/>
              <w:rPr>
                <w:noProof/>
              </w:rPr>
            </w:pPr>
            <w:r w:rsidRPr="00C2671A">
              <w:rPr>
                <w:noProof/>
              </w:rPr>
              <w:t>Тип ручки: Метелик;</w:t>
            </w:r>
          </w:p>
          <w:p w14:paraId="6ABC4F68" w14:textId="77777777" w:rsidR="00C2671A" w:rsidRPr="00C2671A" w:rsidRDefault="00C2671A" w:rsidP="002B0D27">
            <w:pPr>
              <w:autoSpaceDE w:val="0"/>
              <w:autoSpaceDN w:val="0"/>
              <w:adjustRightInd w:val="0"/>
              <w:rPr>
                <w:noProof/>
              </w:rPr>
            </w:pPr>
            <w:r w:rsidRPr="00C2671A">
              <w:rPr>
                <w:noProof/>
              </w:rPr>
              <w:t xml:space="preserve">Робоче середовище: Вода; </w:t>
            </w:r>
          </w:p>
          <w:p w14:paraId="553F35BA" w14:textId="77777777" w:rsidR="00C2671A" w:rsidRPr="00C2671A" w:rsidRDefault="00C2671A" w:rsidP="002B0D27">
            <w:pPr>
              <w:autoSpaceDE w:val="0"/>
              <w:autoSpaceDN w:val="0"/>
              <w:adjustRightInd w:val="0"/>
              <w:rPr>
                <w:noProof/>
              </w:rPr>
            </w:pPr>
            <w:r w:rsidRPr="00C2671A">
              <w:rPr>
                <w:noProof/>
              </w:rPr>
              <w:t xml:space="preserve">Робочий тиск: </w:t>
            </w:r>
            <w:r w:rsidRPr="00C2671A">
              <w:rPr>
                <w:i/>
                <w:noProof/>
                <w:color w:val="FF0000"/>
              </w:rPr>
              <w:t>не менше</w:t>
            </w:r>
            <w:r w:rsidRPr="00C2671A">
              <w:rPr>
                <w:noProof/>
                <w:color w:val="FF0000"/>
              </w:rPr>
              <w:t xml:space="preserve"> </w:t>
            </w:r>
            <w:r w:rsidRPr="00C2671A">
              <w:rPr>
                <w:noProof/>
              </w:rPr>
              <w:t xml:space="preserve">40 бар; </w:t>
            </w:r>
          </w:p>
          <w:p w14:paraId="74FCFE74" w14:textId="77777777" w:rsidR="00C2671A" w:rsidRPr="00C2671A" w:rsidRDefault="00C2671A" w:rsidP="002B0D27">
            <w:pPr>
              <w:autoSpaceDE w:val="0"/>
              <w:autoSpaceDN w:val="0"/>
              <w:adjustRightInd w:val="0"/>
              <w:rPr>
                <w:noProof/>
              </w:rPr>
            </w:pPr>
            <w:r w:rsidRPr="00C2671A">
              <w:rPr>
                <w:noProof/>
              </w:rPr>
              <w:t xml:space="preserve">Максимальна температура робочого середовища: </w:t>
            </w:r>
            <w:r w:rsidRPr="00C2671A">
              <w:rPr>
                <w:i/>
                <w:noProof/>
                <w:color w:val="FF0000"/>
              </w:rPr>
              <w:t>не менше</w:t>
            </w:r>
            <w:r w:rsidRPr="00C2671A">
              <w:rPr>
                <w:noProof/>
                <w:color w:val="FF0000"/>
              </w:rPr>
              <w:t xml:space="preserve"> </w:t>
            </w:r>
            <w:r w:rsidRPr="00C2671A">
              <w:rPr>
                <w:noProof/>
              </w:rPr>
              <w:t>+</w:t>
            </w:r>
            <w:r w:rsidRPr="00C2671A">
              <w:rPr>
                <w:noProof/>
                <w:color w:val="FF0000"/>
              </w:rPr>
              <w:t xml:space="preserve"> </w:t>
            </w:r>
            <w:r w:rsidRPr="00C2671A">
              <w:rPr>
                <w:noProof/>
              </w:rPr>
              <w:t xml:space="preserve">150°С; </w:t>
            </w:r>
          </w:p>
          <w:p w14:paraId="28BA98D6" w14:textId="77777777" w:rsidR="00C2671A" w:rsidRPr="00C2671A" w:rsidRDefault="00C2671A" w:rsidP="002B0D27">
            <w:pPr>
              <w:widowControl w:val="0"/>
              <w:rPr>
                <w:b/>
                <w:noProof/>
              </w:rPr>
            </w:pPr>
            <w:r w:rsidRPr="00C2671A">
              <w:rPr>
                <w:noProof/>
              </w:rPr>
              <w:t>Матеріал: Латунь.</w:t>
            </w:r>
          </w:p>
        </w:tc>
      </w:tr>
      <w:tr w:rsidR="00C2671A" w:rsidRPr="00C2671A" w14:paraId="6AB3E437" w14:textId="77777777" w:rsidTr="00C2671A">
        <w:trPr>
          <w:trHeight w:val="229"/>
        </w:trPr>
        <w:tc>
          <w:tcPr>
            <w:tcW w:w="757" w:type="dxa"/>
            <w:tcBorders>
              <w:top w:val="single" w:sz="4" w:space="0" w:color="auto"/>
              <w:left w:val="single" w:sz="4" w:space="0" w:color="auto"/>
              <w:right w:val="single" w:sz="4" w:space="0" w:color="auto"/>
            </w:tcBorders>
          </w:tcPr>
          <w:p w14:paraId="4564129A" w14:textId="77777777" w:rsidR="00C2671A" w:rsidRPr="00C2671A" w:rsidRDefault="00C2671A" w:rsidP="002B0D27">
            <w:pPr>
              <w:widowControl w:val="0"/>
              <w:rPr>
                <w:noProof/>
              </w:rPr>
            </w:pPr>
            <w:r w:rsidRPr="00C2671A">
              <w:rPr>
                <w:noProof/>
              </w:rPr>
              <w:t>4</w:t>
            </w:r>
          </w:p>
        </w:tc>
        <w:tc>
          <w:tcPr>
            <w:tcW w:w="1832" w:type="dxa"/>
            <w:tcBorders>
              <w:top w:val="single" w:sz="4" w:space="0" w:color="auto"/>
              <w:left w:val="single" w:sz="4" w:space="0" w:color="auto"/>
              <w:right w:val="single" w:sz="4" w:space="0" w:color="auto"/>
            </w:tcBorders>
          </w:tcPr>
          <w:p w14:paraId="2B2A6B59" w14:textId="77777777" w:rsidR="00C2671A" w:rsidRPr="00C2671A" w:rsidRDefault="00C2671A" w:rsidP="002B0D27">
            <w:pPr>
              <w:widowControl w:val="0"/>
              <w:rPr>
                <w:b/>
                <w:noProof/>
              </w:rPr>
            </w:pPr>
            <w:r w:rsidRPr="00C2671A">
              <w:rPr>
                <w:noProof/>
              </w:rPr>
              <w:t>Кран кульовий</w:t>
            </w:r>
          </w:p>
        </w:tc>
        <w:tc>
          <w:tcPr>
            <w:tcW w:w="1135" w:type="dxa"/>
            <w:tcBorders>
              <w:top w:val="single" w:sz="4" w:space="0" w:color="auto"/>
              <w:left w:val="single" w:sz="4" w:space="0" w:color="auto"/>
              <w:right w:val="single" w:sz="4" w:space="0" w:color="auto"/>
            </w:tcBorders>
          </w:tcPr>
          <w:p w14:paraId="1565012A" w14:textId="77777777" w:rsidR="00C2671A" w:rsidRPr="00C2671A" w:rsidRDefault="00C2671A" w:rsidP="002B0D27">
            <w:pPr>
              <w:widowControl w:val="0"/>
              <w:rPr>
                <w:b/>
                <w:noProof/>
              </w:rPr>
            </w:pPr>
            <w:r w:rsidRPr="00C2671A">
              <w:rPr>
                <w:rFonts w:eastAsiaTheme="majorEastAsia"/>
                <w:bCs/>
                <w:noProof/>
                <w:color w:val="1F1F1F"/>
              </w:rPr>
              <w:t>шт</w:t>
            </w:r>
          </w:p>
        </w:tc>
        <w:tc>
          <w:tcPr>
            <w:tcW w:w="851" w:type="dxa"/>
            <w:tcBorders>
              <w:top w:val="single" w:sz="4" w:space="0" w:color="auto"/>
              <w:left w:val="single" w:sz="4" w:space="0" w:color="auto"/>
              <w:right w:val="single" w:sz="4" w:space="0" w:color="auto"/>
            </w:tcBorders>
          </w:tcPr>
          <w:p w14:paraId="5EEA54D7" w14:textId="77777777" w:rsidR="00C2671A" w:rsidRPr="00C2671A" w:rsidRDefault="00C2671A" w:rsidP="002B0D27">
            <w:pPr>
              <w:widowControl w:val="0"/>
              <w:rPr>
                <w:b/>
                <w:noProof/>
              </w:rPr>
            </w:pPr>
            <w:r w:rsidRPr="00C2671A">
              <w:rPr>
                <w:noProof/>
                <w:color w:val="000000"/>
              </w:rPr>
              <w:t>15</w:t>
            </w:r>
          </w:p>
        </w:tc>
        <w:tc>
          <w:tcPr>
            <w:tcW w:w="5273" w:type="dxa"/>
            <w:tcBorders>
              <w:top w:val="single" w:sz="4" w:space="0" w:color="auto"/>
              <w:left w:val="single" w:sz="4" w:space="0" w:color="auto"/>
              <w:right w:val="single" w:sz="4" w:space="0" w:color="auto"/>
            </w:tcBorders>
          </w:tcPr>
          <w:p w14:paraId="5EC598DD" w14:textId="77777777" w:rsidR="00C2671A" w:rsidRPr="00C2671A" w:rsidRDefault="00C2671A" w:rsidP="002B0D27">
            <w:pPr>
              <w:autoSpaceDE w:val="0"/>
              <w:autoSpaceDN w:val="0"/>
              <w:adjustRightInd w:val="0"/>
              <w:rPr>
                <w:noProof/>
              </w:rPr>
            </w:pPr>
            <w:r w:rsidRPr="00C2671A">
              <w:rPr>
                <w:noProof/>
              </w:rPr>
              <w:t>Тип різьблення: Внутрішня-внутрішня;</w:t>
            </w:r>
          </w:p>
          <w:p w14:paraId="5D86518A" w14:textId="77777777" w:rsidR="00C2671A" w:rsidRPr="00C2671A" w:rsidRDefault="00C2671A" w:rsidP="002B0D27">
            <w:pPr>
              <w:autoSpaceDE w:val="0"/>
              <w:autoSpaceDN w:val="0"/>
              <w:adjustRightInd w:val="0"/>
              <w:rPr>
                <w:noProof/>
              </w:rPr>
            </w:pPr>
            <w:r w:rsidRPr="00C2671A">
              <w:rPr>
                <w:noProof/>
              </w:rPr>
              <w:t xml:space="preserve">Діаметр різьблення: 2"; </w:t>
            </w:r>
          </w:p>
          <w:p w14:paraId="04F3139F" w14:textId="77777777" w:rsidR="00C2671A" w:rsidRPr="00C2671A" w:rsidRDefault="00C2671A" w:rsidP="002B0D27">
            <w:pPr>
              <w:autoSpaceDE w:val="0"/>
              <w:autoSpaceDN w:val="0"/>
              <w:adjustRightInd w:val="0"/>
              <w:rPr>
                <w:noProof/>
              </w:rPr>
            </w:pPr>
            <w:r w:rsidRPr="00C2671A">
              <w:rPr>
                <w:noProof/>
              </w:rPr>
              <w:t xml:space="preserve">Виконання: Прямий; </w:t>
            </w:r>
          </w:p>
          <w:p w14:paraId="7C44713B" w14:textId="77777777" w:rsidR="00C2671A" w:rsidRPr="00C2671A" w:rsidRDefault="00C2671A" w:rsidP="002B0D27">
            <w:pPr>
              <w:autoSpaceDE w:val="0"/>
              <w:autoSpaceDN w:val="0"/>
              <w:adjustRightInd w:val="0"/>
              <w:rPr>
                <w:noProof/>
              </w:rPr>
            </w:pPr>
            <w:r w:rsidRPr="00C2671A">
              <w:rPr>
                <w:noProof/>
              </w:rPr>
              <w:t>Тип ручки: важіль;</w:t>
            </w:r>
          </w:p>
          <w:p w14:paraId="68B8E6A8" w14:textId="77777777" w:rsidR="00C2671A" w:rsidRPr="00C2671A" w:rsidRDefault="00C2671A" w:rsidP="002B0D27">
            <w:pPr>
              <w:autoSpaceDE w:val="0"/>
              <w:autoSpaceDN w:val="0"/>
              <w:adjustRightInd w:val="0"/>
              <w:rPr>
                <w:noProof/>
              </w:rPr>
            </w:pPr>
            <w:r w:rsidRPr="00C2671A">
              <w:rPr>
                <w:noProof/>
              </w:rPr>
              <w:t xml:space="preserve">Робоче середовище: Вода; </w:t>
            </w:r>
          </w:p>
          <w:p w14:paraId="1875AF8C" w14:textId="77777777" w:rsidR="00C2671A" w:rsidRPr="00C2671A" w:rsidRDefault="00C2671A" w:rsidP="002B0D27">
            <w:pPr>
              <w:autoSpaceDE w:val="0"/>
              <w:autoSpaceDN w:val="0"/>
              <w:adjustRightInd w:val="0"/>
              <w:rPr>
                <w:noProof/>
              </w:rPr>
            </w:pPr>
            <w:r w:rsidRPr="00C2671A">
              <w:rPr>
                <w:noProof/>
              </w:rPr>
              <w:t xml:space="preserve">Робочий тиск: </w:t>
            </w:r>
            <w:r w:rsidRPr="00C2671A">
              <w:rPr>
                <w:i/>
                <w:noProof/>
                <w:color w:val="FF0000"/>
              </w:rPr>
              <w:t>не менше</w:t>
            </w:r>
            <w:r w:rsidRPr="00C2671A">
              <w:rPr>
                <w:noProof/>
                <w:color w:val="FF0000"/>
              </w:rPr>
              <w:t xml:space="preserve"> </w:t>
            </w:r>
            <w:r w:rsidRPr="00C2671A">
              <w:rPr>
                <w:noProof/>
              </w:rPr>
              <w:t xml:space="preserve">40 бар; </w:t>
            </w:r>
          </w:p>
          <w:p w14:paraId="75DC52A4" w14:textId="77777777" w:rsidR="00C2671A" w:rsidRPr="00C2671A" w:rsidRDefault="00C2671A" w:rsidP="002B0D27">
            <w:pPr>
              <w:autoSpaceDE w:val="0"/>
              <w:autoSpaceDN w:val="0"/>
              <w:adjustRightInd w:val="0"/>
              <w:rPr>
                <w:noProof/>
              </w:rPr>
            </w:pPr>
            <w:r w:rsidRPr="00C2671A">
              <w:rPr>
                <w:noProof/>
              </w:rPr>
              <w:t xml:space="preserve">Максимальна температура робочого середовища: </w:t>
            </w:r>
            <w:r w:rsidRPr="00C2671A">
              <w:rPr>
                <w:i/>
                <w:noProof/>
                <w:color w:val="FF0000"/>
              </w:rPr>
              <w:t>не менше</w:t>
            </w:r>
            <w:r w:rsidRPr="00C2671A">
              <w:rPr>
                <w:noProof/>
                <w:color w:val="FF0000"/>
              </w:rPr>
              <w:t xml:space="preserve"> </w:t>
            </w:r>
            <w:r w:rsidRPr="00C2671A">
              <w:rPr>
                <w:noProof/>
              </w:rPr>
              <w:t>+</w:t>
            </w:r>
            <w:r w:rsidRPr="00C2671A">
              <w:rPr>
                <w:noProof/>
                <w:color w:val="FF0000"/>
              </w:rPr>
              <w:t xml:space="preserve"> </w:t>
            </w:r>
            <w:r w:rsidRPr="00C2671A">
              <w:rPr>
                <w:noProof/>
              </w:rPr>
              <w:t xml:space="preserve">150°С; </w:t>
            </w:r>
          </w:p>
          <w:p w14:paraId="205B540B" w14:textId="77777777" w:rsidR="00C2671A" w:rsidRPr="00C2671A" w:rsidRDefault="00C2671A" w:rsidP="002B0D27">
            <w:pPr>
              <w:widowControl w:val="0"/>
              <w:rPr>
                <w:b/>
                <w:noProof/>
              </w:rPr>
            </w:pPr>
            <w:r w:rsidRPr="00C2671A">
              <w:rPr>
                <w:noProof/>
              </w:rPr>
              <w:t>Матеріал: Латунь.</w:t>
            </w:r>
          </w:p>
        </w:tc>
      </w:tr>
    </w:tbl>
    <w:p w14:paraId="46B27F59" w14:textId="77777777" w:rsidR="006F428D" w:rsidRPr="00C2671A" w:rsidRDefault="006F428D" w:rsidP="00A12478">
      <w:pPr>
        <w:rPr>
          <w:b/>
        </w:rPr>
      </w:pPr>
    </w:p>
    <w:sectPr w:rsidR="006F428D" w:rsidRPr="00C2671A" w:rsidSect="00F318CA">
      <w:headerReference w:type="even" r:id="rId8"/>
      <w:headerReference w:type="default" r:id="rId9"/>
      <w:footerReference w:type="default" r:id="rId10"/>
      <w:headerReference w:type="first" r:id="rId11"/>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2C69" w14:textId="77777777" w:rsidR="0009700B" w:rsidRPr="000C37C2" w:rsidRDefault="0009700B">
      <w:r w:rsidRPr="000C37C2">
        <w:separator/>
      </w:r>
    </w:p>
  </w:endnote>
  <w:endnote w:type="continuationSeparator" w:id="0">
    <w:p w14:paraId="5C6300D0" w14:textId="77777777" w:rsidR="0009700B" w:rsidRPr="000C37C2" w:rsidRDefault="0009700B">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6419" w14:textId="4B5F9DB5" w:rsidR="00A256E7" w:rsidRPr="000C37C2" w:rsidRDefault="00DD285A"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3188D6E9" wp14:editId="79A50938">
              <wp:simplePos x="0" y="0"/>
              <wp:positionH relativeFrom="column">
                <wp:posOffset>-180340</wp:posOffset>
              </wp:positionH>
              <wp:positionV relativeFrom="paragraph">
                <wp:posOffset>7620</wp:posOffset>
              </wp:positionV>
              <wp:extent cx="6357620" cy="14605"/>
              <wp:effectExtent l="10160" t="7620" r="13970" b="6350"/>
              <wp:wrapNone/>
              <wp:docPr id="74768319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AEF9D"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6126A3">
      <w:rPr>
        <w:sz w:val="20"/>
        <w:szCs w:val="20"/>
      </w:rPr>
      <w:t xml:space="preserve">Крани кульові, код ДК 021:2015 - 42130000-9 - Арматура трубопровідна: крани, вентилі, клапани та подібні пристрої </w:t>
    </w:r>
  </w:p>
  <w:p w14:paraId="4D3E0978"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95EC" w14:textId="77777777" w:rsidR="0009700B" w:rsidRPr="000C37C2" w:rsidRDefault="0009700B">
      <w:r w:rsidRPr="000C37C2">
        <w:separator/>
      </w:r>
    </w:p>
  </w:footnote>
  <w:footnote w:type="continuationSeparator" w:id="0">
    <w:p w14:paraId="045AE6CE" w14:textId="77777777" w:rsidR="0009700B" w:rsidRPr="000C37C2" w:rsidRDefault="0009700B">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0678"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47DB0947"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757F" w14:textId="5FC27D20" w:rsidR="002D6492" w:rsidRPr="000C37C2" w:rsidRDefault="00DD285A" w:rsidP="007E67FB">
    <w:pPr>
      <w:pStyle w:val="aa"/>
      <w:pBdr>
        <w:bottom w:val="single" w:sz="4" w:space="1" w:color="auto"/>
      </w:pBdr>
      <w:jc w:val="both"/>
      <w:rPr>
        <w:sz w:val="20"/>
        <w:szCs w:val="20"/>
      </w:rPr>
    </w:pPr>
    <w:r>
      <w:rPr>
        <w:noProof/>
      </w:rPr>
      <w:drawing>
        <wp:inline distT="0" distB="0" distL="0" distR="0" wp14:anchorId="79A106A5" wp14:editId="434712A9">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6684" w14:textId="19D0AB82" w:rsidR="00472235" w:rsidRPr="000C37C2" w:rsidRDefault="00DD285A" w:rsidP="00472235">
    <w:r>
      <w:rPr>
        <w:noProof/>
      </w:rPr>
      <w:drawing>
        <wp:anchor distT="0" distB="0" distL="114300" distR="114300" simplePos="0" relativeHeight="251659264" behindDoc="1" locked="0" layoutInCell="1" allowOverlap="1" wp14:anchorId="69A982EE" wp14:editId="79C51C04">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0E472ED9" w14:textId="77777777" w:rsidTr="00AF66AC">
      <w:trPr>
        <w:gridAfter w:val="1"/>
        <w:wAfter w:w="135" w:type="dxa"/>
      </w:trPr>
      <w:tc>
        <w:tcPr>
          <w:tcW w:w="3402" w:type="dxa"/>
          <w:tcBorders>
            <w:right w:val="single" w:sz="8" w:space="0" w:color="0F4761"/>
          </w:tcBorders>
        </w:tcPr>
        <w:p w14:paraId="78929976"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2B1636F5" w14:textId="77777777" w:rsidR="00472235" w:rsidRPr="000C37C2" w:rsidRDefault="00472235" w:rsidP="00472235">
          <w:r w:rsidRPr="00AF66AC">
            <w:rPr>
              <w:color w:val="2136A4"/>
              <w:sz w:val="14"/>
            </w:rPr>
            <w:t>MINISTRY FOR DEVELOPMENT OF COMMUNITIES</w:t>
          </w:r>
        </w:p>
      </w:tc>
    </w:tr>
    <w:tr w:rsidR="00472235" w:rsidRPr="000C37C2" w14:paraId="7631E5D1" w14:textId="77777777" w:rsidTr="00AF66AC">
      <w:trPr>
        <w:gridAfter w:val="1"/>
        <w:wAfter w:w="135" w:type="dxa"/>
        <w:trHeight w:val="224"/>
      </w:trPr>
      <w:tc>
        <w:tcPr>
          <w:tcW w:w="3402" w:type="dxa"/>
          <w:tcBorders>
            <w:right w:val="single" w:sz="8" w:space="0" w:color="0F4761"/>
          </w:tcBorders>
        </w:tcPr>
        <w:p w14:paraId="5BDCE624"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4475CC78"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D10FB49" w14:textId="77777777" w:rsidTr="00AF66AC">
      <w:trPr>
        <w:gridAfter w:val="1"/>
        <w:wAfter w:w="135" w:type="dxa"/>
      </w:trPr>
      <w:tc>
        <w:tcPr>
          <w:tcW w:w="3402" w:type="dxa"/>
          <w:tcBorders>
            <w:right w:val="single" w:sz="8" w:space="0" w:color="0F4761"/>
          </w:tcBorders>
        </w:tcPr>
        <w:p w14:paraId="734A750A"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0A78F30D"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31E59BCB" w14:textId="77777777" w:rsidTr="00AF66AC">
      <w:trPr>
        <w:gridAfter w:val="1"/>
        <w:wAfter w:w="135" w:type="dxa"/>
        <w:trHeight w:val="216"/>
      </w:trPr>
      <w:tc>
        <w:tcPr>
          <w:tcW w:w="3402" w:type="dxa"/>
          <w:tcBorders>
            <w:right w:val="single" w:sz="8" w:space="0" w:color="0F4761"/>
          </w:tcBorders>
        </w:tcPr>
        <w:p w14:paraId="6F84F6E2"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5B00345C"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493C0F77" w14:textId="77777777" w:rsidTr="00AF66AC">
      <w:trPr>
        <w:gridAfter w:val="1"/>
        <w:wAfter w:w="135" w:type="dxa"/>
      </w:trPr>
      <w:tc>
        <w:tcPr>
          <w:tcW w:w="3402" w:type="dxa"/>
          <w:tcBorders>
            <w:right w:val="single" w:sz="8" w:space="0" w:color="0F4761"/>
          </w:tcBorders>
        </w:tcPr>
        <w:p w14:paraId="50968393"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9428D86"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6F28581B" w14:textId="77777777" w:rsidTr="00AF66AC">
      <w:trPr>
        <w:gridAfter w:val="1"/>
        <w:wAfter w:w="135" w:type="dxa"/>
        <w:trHeight w:val="207"/>
      </w:trPr>
      <w:tc>
        <w:tcPr>
          <w:tcW w:w="3402" w:type="dxa"/>
          <w:tcBorders>
            <w:right w:val="single" w:sz="8" w:space="0" w:color="0F4761"/>
          </w:tcBorders>
        </w:tcPr>
        <w:p w14:paraId="202A3481"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0E2CFE66" w14:textId="77777777" w:rsidR="00472235" w:rsidRPr="000C37C2" w:rsidRDefault="00472235" w:rsidP="00472235">
          <w:r w:rsidRPr="00AF66AC">
            <w:rPr>
              <w:color w:val="2136A4"/>
              <w:sz w:val="14"/>
            </w:rPr>
            <w:t>Kyiv region, Ukraine, 08300</w:t>
          </w:r>
        </w:p>
      </w:tc>
    </w:tr>
    <w:tr w:rsidR="00472235" w:rsidRPr="000C37C2" w14:paraId="303E5251" w14:textId="77777777" w:rsidTr="00AF66AC">
      <w:tc>
        <w:tcPr>
          <w:tcW w:w="6378" w:type="dxa"/>
          <w:gridSpan w:val="3"/>
        </w:tcPr>
        <w:p w14:paraId="79C907D4"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7ED7BC42" w14:textId="77777777" w:rsidTr="00AF66AC">
      <w:tc>
        <w:tcPr>
          <w:tcW w:w="6378" w:type="dxa"/>
          <w:gridSpan w:val="3"/>
        </w:tcPr>
        <w:p w14:paraId="61E8C278"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397955A7"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355E32F4" w14:textId="07312EB1" w:rsidR="000F2F0F" w:rsidRPr="000C37C2" w:rsidRDefault="00DD285A">
    <w:pPr>
      <w:pStyle w:val="aa"/>
    </w:pPr>
    <w:r>
      <w:rPr>
        <w:noProof/>
      </w:rPr>
      <mc:AlternateContent>
        <mc:Choice Requires="wps">
          <w:drawing>
            <wp:anchor distT="4294967295" distB="4294967295" distL="114300" distR="114300" simplePos="0" relativeHeight="251658240" behindDoc="0" locked="0" layoutInCell="1" allowOverlap="1" wp14:anchorId="2710DFF2" wp14:editId="374C5A4E">
              <wp:simplePos x="0" y="0"/>
              <wp:positionH relativeFrom="page">
                <wp:align>center</wp:align>
              </wp:positionH>
              <wp:positionV relativeFrom="paragraph">
                <wp:posOffset>25399</wp:posOffset>
              </wp:positionV>
              <wp:extent cx="7315200" cy="0"/>
              <wp:effectExtent l="0" t="0" r="0" b="0"/>
              <wp:wrapNone/>
              <wp:docPr id="1889808514"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7D6818"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89284689">
    <w:abstractNumId w:val="22"/>
  </w:num>
  <w:num w:numId="2" w16cid:durableId="1242370500">
    <w:abstractNumId w:val="24"/>
  </w:num>
  <w:num w:numId="3" w16cid:durableId="1198666303">
    <w:abstractNumId w:val="0"/>
  </w:num>
  <w:num w:numId="4" w16cid:durableId="1690453384">
    <w:abstractNumId w:val="25"/>
  </w:num>
  <w:num w:numId="5" w16cid:durableId="1206068301">
    <w:abstractNumId w:val="7"/>
  </w:num>
  <w:num w:numId="6" w16cid:durableId="1648511067">
    <w:abstractNumId w:val="5"/>
  </w:num>
  <w:num w:numId="7" w16cid:durableId="290863619">
    <w:abstractNumId w:val="6"/>
  </w:num>
  <w:num w:numId="8" w16cid:durableId="1238395592">
    <w:abstractNumId w:val="21"/>
  </w:num>
  <w:num w:numId="9" w16cid:durableId="1035010771">
    <w:abstractNumId w:val="1"/>
  </w:num>
  <w:num w:numId="10" w16cid:durableId="2124108125">
    <w:abstractNumId w:val="18"/>
  </w:num>
  <w:num w:numId="11" w16cid:durableId="863862618">
    <w:abstractNumId w:val="16"/>
  </w:num>
  <w:num w:numId="12" w16cid:durableId="1895266190">
    <w:abstractNumId w:val="14"/>
  </w:num>
  <w:num w:numId="13" w16cid:durableId="1600018759">
    <w:abstractNumId w:val="15"/>
  </w:num>
  <w:num w:numId="14" w16cid:durableId="1215659843">
    <w:abstractNumId w:val="3"/>
  </w:num>
  <w:num w:numId="15" w16cid:durableId="180705956">
    <w:abstractNumId w:val="17"/>
  </w:num>
  <w:num w:numId="16" w16cid:durableId="322590756">
    <w:abstractNumId w:val="2"/>
  </w:num>
  <w:num w:numId="17" w16cid:durableId="675570844">
    <w:abstractNumId w:val="13"/>
  </w:num>
  <w:num w:numId="18" w16cid:durableId="19671958">
    <w:abstractNumId w:val="4"/>
  </w:num>
  <w:num w:numId="19" w16cid:durableId="1282803253">
    <w:abstractNumId w:val="8"/>
  </w:num>
  <w:num w:numId="20" w16cid:durableId="1178153703">
    <w:abstractNumId w:val="20"/>
  </w:num>
  <w:num w:numId="21" w16cid:durableId="43797482">
    <w:abstractNumId w:val="10"/>
  </w:num>
  <w:num w:numId="22" w16cid:durableId="567224221">
    <w:abstractNumId w:val="19"/>
  </w:num>
  <w:num w:numId="23" w16cid:durableId="1815247984">
    <w:abstractNumId w:val="12"/>
  </w:num>
  <w:num w:numId="24" w16cid:durableId="384527730">
    <w:abstractNumId w:val="23"/>
  </w:num>
  <w:num w:numId="25" w16cid:durableId="1923834642">
    <w:abstractNumId w:val="23"/>
  </w:num>
  <w:num w:numId="26" w16cid:durableId="68306631">
    <w:abstractNumId w:val="9"/>
  </w:num>
  <w:num w:numId="27" w16cid:durableId="1762406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00B"/>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644"/>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A6DC4"/>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3F759D"/>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2DE5"/>
    <w:rsid w:val="004D4BA8"/>
    <w:rsid w:val="004D56C0"/>
    <w:rsid w:val="004D6B63"/>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A44"/>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26A3"/>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E67FB"/>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572BB"/>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5A2"/>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4D"/>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1A"/>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285A"/>
    <w:rsid w:val="00DD3C5D"/>
    <w:rsid w:val="00DD3E65"/>
    <w:rsid w:val="00DD6C13"/>
    <w:rsid w:val="00DD71E4"/>
    <w:rsid w:val="00DE05C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11CB"/>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B893D"/>
  <w15:chartTrackingRefBased/>
  <w15:docId w15:val="{81B1CA9D-AACF-40C5-889D-EE0601AC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2355</Words>
  <Characters>1343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9</cp:revision>
  <cp:lastPrinted>2021-11-17T09:02:00Z</cp:lastPrinted>
  <dcterms:created xsi:type="dcterms:W3CDTF">2026-05-20T14:45:00Z</dcterms:created>
  <dcterms:modified xsi:type="dcterms:W3CDTF">2026-05-21T13:08:00Z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