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3CBEA107" w14:textId="77777777" w:rsidTr="00C62708">
        <w:tc>
          <w:tcPr>
            <w:tcW w:w="9854" w:type="dxa"/>
          </w:tcPr>
          <w:p w14:paraId="4F3EF15F"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78346960" w14:textId="77777777" w:rsidR="005F3529" w:rsidRPr="000C37C2" w:rsidRDefault="005F3529" w:rsidP="0063471D">
      <w:pPr>
        <w:pStyle w:val="a4"/>
        <w:widowControl w:val="0"/>
        <w:jc w:val="both"/>
        <w:rPr>
          <w:sz w:val="24"/>
          <w:szCs w:val="24"/>
          <w:lang w:val="uk-UA"/>
        </w:rPr>
      </w:pPr>
    </w:p>
    <w:p w14:paraId="0DBB6DEE"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6A750638"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391B4531" w14:textId="77777777" w:rsidTr="00C62708">
        <w:tc>
          <w:tcPr>
            <w:tcW w:w="487" w:type="pct"/>
            <w:shd w:val="clear" w:color="auto" w:fill="DEEAF6"/>
          </w:tcPr>
          <w:p w14:paraId="267C8C7B"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13260102"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340177A7"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375817E9"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499A221B"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0D0502F5" w14:textId="77777777" w:rsidTr="00212515">
        <w:tc>
          <w:tcPr>
            <w:tcW w:w="487" w:type="pct"/>
          </w:tcPr>
          <w:p w14:paraId="663A4B68" w14:textId="33AB96CD" w:rsidR="00A76484" w:rsidRPr="000C37C2" w:rsidRDefault="004B084B" w:rsidP="005469FD">
            <w:pPr>
              <w:widowControl w:val="0"/>
              <w:ind w:right="-11"/>
              <w:jc w:val="center"/>
              <w:rPr>
                <w:lang w:eastAsia="uk-UA"/>
              </w:rPr>
            </w:pPr>
            <w:r w:rsidRPr="00985D22">
              <w:t xml:space="preserve">41.29 </w:t>
            </w:r>
            <w:r w:rsidR="00BD6E95" w:rsidRPr="00985D22">
              <w:rPr>
                <w:lang w:eastAsia="uk-UA"/>
              </w:rPr>
              <w:t>(202</w:t>
            </w:r>
            <w:r w:rsidR="008D78F9" w:rsidRPr="00985D22">
              <w:rPr>
                <w:lang w:eastAsia="uk-UA"/>
              </w:rPr>
              <w:t>6</w:t>
            </w:r>
            <w:r w:rsidR="00A76484" w:rsidRPr="00985D22">
              <w:rPr>
                <w:lang w:eastAsia="uk-UA"/>
              </w:rPr>
              <w:t>)</w:t>
            </w:r>
          </w:p>
        </w:tc>
        <w:tc>
          <w:tcPr>
            <w:tcW w:w="1527" w:type="pct"/>
          </w:tcPr>
          <w:p w14:paraId="656BB01E" w14:textId="04A6EE1B" w:rsidR="00A76484" w:rsidRPr="00985D22" w:rsidRDefault="004B084B" w:rsidP="00A12478">
            <w:pPr>
              <w:widowControl w:val="0"/>
              <w:rPr>
                <w:bCs/>
              </w:rPr>
            </w:pPr>
            <w:r w:rsidRPr="00985D22">
              <w:rPr>
                <w:b/>
              </w:rPr>
              <w:t xml:space="preserve">Послуги для систем безпеки, </w:t>
            </w:r>
            <w:r w:rsidRPr="00985D22">
              <w:rPr>
                <w:bCs/>
              </w:rPr>
              <w:t>код ДК 021:2015 - 72260000-5 - Послуги, пов’язані з програмним забезпеченням</w:t>
            </w:r>
            <w:r w:rsidRPr="00985D22">
              <w:rPr>
                <w:b/>
              </w:rPr>
              <w:t xml:space="preserve"> </w:t>
            </w:r>
          </w:p>
        </w:tc>
        <w:tc>
          <w:tcPr>
            <w:tcW w:w="947" w:type="pct"/>
          </w:tcPr>
          <w:p w14:paraId="6F5058D8" w14:textId="786E1688" w:rsidR="00A76484" w:rsidRPr="00985D22" w:rsidRDefault="004B084B" w:rsidP="002D4D30">
            <w:pPr>
              <w:widowControl w:val="0"/>
              <w:jc w:val="center"/>
            </w:pPr>
            <w:r w:rsidRPr="00985D22">
              <w:t>2 637 575,15</w:t>
            </w:r>
            <w:r w:rsidR="00A76484" w:rsidRPr="00985D22">
              <w:t xml:space="preserve"> </w:t>
            </w:r>
          </w:p>
          <w:p w14:paraId="786D5086" w14:textId="77777777" w:rsidR="00A76484" w:rsidRPr="00985D22" w:rsidRDefault="00A76484" w:rsidP="002D4D30">
            <w:pPr>
              <w:widowControl w:val="0"/>
              <w:jc w:val="center"/>
            </w:pPr>
            <w:r w:rsidRPr="00985D22">
              <w:t>грн. з ПДВ</w:t>
            </w:r>
          </w:p>
        </w:tc>
        <w:tc>
          <w:tcPr>
            <w:tcW w:w="1102" w:type="pct"/>
          </w:tcPr>
          <w:p w14:paraId="14B720D7" w14:textId="7CD96F22" w:rsidR="00A76484" w:rsidRPr="00985D22" w:rsidRDefault="004B084B" w:rsidP="002D4D30">
            <w:pPr>
              <w:widowControl w:val="0"/>
              <w:jc w:val="center"/>
            </w:pPr>
            <w:r w:rsidRPr="00985D22">
              <w:t>2</w:t>
            </w:r>
            <w:r w:rsidR="00985D22" w:rsidRPr="00985D22">
              <w:t> 197 979,29</w:t>
            </w:r>
          </w:p>
          <w:p w14:paraId="50738AD5" w14:textId="77777777" w:rsidR="00A76484" w:rsidRPr="00985D22" w:rsidRDefault="00A76484" w:rsidP="002D4D30">
            <w:pPr>
              <w:widowControl w:val="0"/>
              <w:jc w:val="center"/>
            </w:pPr>
            <w:r w:rsidRPr="00985D22">
              <w:t xml:space="preserve">грн. без ПДВ </w:t>
            </w:r>
          </w:p>
        </w:tc>
        <w:tc>
          <w:tcPr>
            <w:tcW w:w="936" w:type="pct"/>
          </w:tcPr>
          <w:p w14:paraId="7BA1E617" w14:textId="457259DA" w:rsidR="00A76484" w:rsidRPr="00985D22" w:rsidRDefault="00985D22" w:rsidP="002D4D30">
            <w:pPr>
              <w:widowControl w:val="0"/>
              <w:jc w:val="center"/>
              <w:rPr>
                <w:color w:val="0000FF"/>
              </w:rPr>
            </w:pPr>
            <w:r w:rsidRPr="00985D22">
              <w:rPr>
                <w:color w:val="0000FF"/>
              </w:rPr>
              <w:t>UA-2026-05-06-007097-a</w:t>
            </w:r>
          </w:p>
        </w:tc>
      </w:tr>
    </w:tbl>
    <w:p w14:paraId="144F3B90" w14:textId="77777777" w:rsidR="00A12478" w:rsidRPr="000C37C2" w:rsidRDefault="00A12478" w:rsidP="0063471D">
      <w:pPr>
        <w:pStyle w:val="a4"/>
        <w:widowControl w:val="0"/>
        <w:jc w:val="both"/>
        <w:rPr>
          <w:sz w:val="24"/>
          <w:szCs w:val="24"/>
          <w:lang w:val="uk-UA"/>
        </w:rPr>
      </w:pPr>
    </w:p>
    <w:p w14:paraId="3EACAC86"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016366C7"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03C7840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D6A8874"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B01B1C4"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B0D9985" w14:textId="5B9FB6E9" w:rsidR="008335E7" w:rsidRPr="000C37C2" w:rsidRDefault="00985D22" w:rsidP="00985D22">
            <w:pPr>
              <w:ind w:right="57"/>
              <w:jc w:val="both"/>
              <w:rPr>
                <w:i/>
              </w:rPr>
            </w:pPr>
            <w:r w:rsidRPr="00ED47A9">
              <w:rPr>
                <w:sz w:val="22"/>
                <w:szCs w:val="22"/>
              </w:rPr>
              <w:t xml:space="preserve">Очікувана вартість предмета закупівлі визначена методом порівняння ринкових цін на підставі отриманих комерційних пропозицій відповідно до Положення «Про порядок визначення очікуваної вартості предмета закупівлі», затвердженого на підприємстві. Джерела інформації використані для розрахунку – </w:t>
            </w:r>
            <w:r w:rsidRPr="002A6421">
              <w:rPr>
                <w:sz w:val="22"/>
                <w:szCs w:val="22"/>
              </w:rPr>
              <w:t>отримані цінові пропозиції від офіційних партнерів виробника поточних систем безпеки, одержаних у відповідь на письмові запити</w:t>
            </w:r>
            <w:r w:rsidRPr="00ED47A9">
              <w:rPr>
                <w:sz w:val="22"/>
                <w:szCs w:val="22"/>
              </w:rPr>
              <w:t>. Очікувану вартість предмета закупівлі розраховано, як середньоарифметичне значення масиву отриманих даних.</w:t>
            </w:r>
          </w:p>
        </w:tc>
      </w:tr>
      <w:tr w:rsidR="006F428D" w:rsidRPr="000C37C2" w14:paraId="5C3FB544"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821763C"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6C1A646"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E14BA66" w14:textId="23F583D0" w:rsidR="006F428D" w:rsidRPr="000C37C2" w:rsidRDefault="00985D22" w:rsidP="00985D22">
            <w:pPr>
              <w:ind w:right="57"/>
              <w:jc w:val="both"/>
              <w:rPr>
                <w:i/>
              </w:rPr>
            </w:pPr>
            <w:r w:rsidRPr="00ED47A9">
              <w:rPr>
                <w:sz w:val="22"/>
                <w:szCs w:val="22"/>
              </w:rPr>
              <w:t>Технічні та якісні характеристики предмета закупівлі визначені з урахуванням реальних потреб підприємства та наявн</w:t>
            </w:r>
            <w:r>
              <w:rPr>
                <w:sz w:val="22"/>
                <w:szCs w:val="22"/>
              </w:rPr>
              <w:t>ої інфраструктури</w:t>
            </w:r>
            <w:r w:rsidRPr="00ED47A9">
              <w:rPr>
                <w:sz w:val="22"/>
                <w:szCs w:val="22"/>
              </w:rPr>
              <w:t>, є достатніми для досягнення мети закупівлі та не містять надлишкових або дискримінаційних вимог</w:t>
            </w:r>
            <w:r>
              <w:rPr>
                <w:sz w:val="22"/>
                <w:szCs w:val="22"/>
              </w:rPr>
              <w:t>.</w:t>
            </w:r>
          </w:p>
        </w:tc>
      </w:tr>
      <w:tr w:rsidR="006F428D" w:rsidRPr="000C37C2" w14:paraId="3A63558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319E638" w14:textId="77777777" w:rsidR="006F428D" w:rsidRPr="000C37C2" w:rsidRDefault="006F428D" w:rsidP="00C62708">
            <w:pPr>
              <w:rPr>
                <w:bCs/>
              </w:rPr>
            </w:pPr>
            <w:r w:rsidRPr="000C37C2">
              <w:rPr>
                <w:bCs/>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3A1B720"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021548E" w14:textId="77777777" w:rsidR="00985D22" w:rsidRPr="00EE5315" w:rsidRDefault="00985D22" w:rsidP="00985D22">
            <w:pPr>
              <w:widowControl w:val="0"/>
              <w:ind w:right="57"/>
              <w:jc w:val="both"/>
              <w:rPr>
                <w:sz w:val="22"/>
                <w:szCs w:val="22"/>
              </w:rPr>
            </w:pPr>
            <w:r w:rsidRPr="00EE5315">
              <w:rPr>
                <w:sz w:val="22"/>
                <w:szCs w:val="22"/>
              </w:rPr>
              <w:t>Відповідно до «Положення про порядок визначення очікуваної вартості</w:t>
            </w:r>
          </w:p>
          <w:p w14:paraId="69B59277" w14:textId="77777777" w:rsidR="00985D22" w:rsidRPr="00EE5315" w:rsidRDefault="00985D22" w:rsidP="00985D22">
            <w:pPr>
              <w:widowControl w:val="0"/>
              <w:ind w:right="57"/>
              <w:jc w:val="both"/>
              <w:rPr>
                <w:sz w:val="22"/>
                <w:szCs w:val="22"/>
              </w:rPr>
            </w:pPr>
            <w:r w:rsidRPr="00EE5315">
              <w:rPr>
                <w:sz w:val="22"/>
                <w:szCs w:val="22"/>
              </w:rPr>
              <w:t>предмета закупівлі», визначення очікуваної вартості виконано методом</w:t>
            </w:r>
          </w:p>
          <w:p w14:paraId="75C0D8FC" w14:textId="77777777" w:rsidR="00985D22" w:rsidRPr="00EE5315" w:rsidRDefault="00985D22" w:rsidP="00985D22">
            <w:pPr>
              <w:widowControl w:val="0"/>
              <w:ind w:right="57"/>
              <w:jc w:val="both"/>
              <w:rPr>
                <w:sz w:val="22"/>
                <w:szCs w:val="22"/>
              </w:rPr>
            </w:pPr>
            <w:r w:rsidRPr="00EE5315">
              <w:rPr>
                <w:sz w:val="22"/>
                <w:szCs w:val="22"/>
              </w:rPr>
              <w:t>порівняння ринкових цін на підставі отриманих цінових пропозицій.</w:t>
            </w:r>
          </w:p>
          <w:p w14:paraId="02625B6F" w14:textId="77777777" w:rsidR="00985D22" w:rsidRPr="00EE5315" w:rsidRDefault="00985D22" w:rsidP="00985D22">
            <w:pPr>
              <w:widowControl w:val="0"/>
              <w:ind w:right="57"/>
              <w:jc w:val="both"/>
              <w:rPr>
                <w:sz w:val="22"/>
                <w:szCs w:val="22"/>
              </w:rPr>
            </w:pPr>
            <w:r w:rsidRPr="00EE5315">
              <w:rPr>
                <w:sz w:val="22"/>
                <w:szCs w:val="22"/>
              </w:rPr>
              <w:t>Перелік потенційних постачальників, яким направлялись запити цінових</w:t>
            </w:r>
          </w:p>
          <w:p w14:paraId="125A5F56" w14:textId="77777777" w:rsidR="00985D22" w:rsidRPr="00EE5315" w:rsidRDefault="00985D22" w:rsidP="00985D22">
            <w:pPr>
              <w:widowControl w:val="0"/>
              <w:ind w:right="57"/>
              <w:jc w:val="both"/>
              <w:rPr>
                <w:sz w:val="22"/>
                <w:szCs w:val="22"/>
              </w:rPr>
            </w:pPr>
            <w:r w:rsidRPr="00EE5315">
              <w:rPr>
                <w:sz w:val="22"/>
                <w:szCs w:val="22"/>
              </w:rPr>
              <w:t>пропозицій:</w:t>
            </w:r>
          </w:p>
          <w:p w14:paraId="30081E96" w14:textId="77777777" w:rsidR="00985D22" w:rsidRDefault="00985D22" w:rsidP="00985D22">
            <w:pPr>
              <w:widowControl w:val="0"/>
              <w:ind w:right="57"/>
              <w:jc w:val="both"/>
              <w:rPr>
                <w:sz w:val="22"/>
                <w:szCs w:val="22"/>
              </w:rPr>
            </w:pPr>
            <w:r>
              <w:rPr>
                <w:sz w:val="22"/>
                <w:szCs w:val="22"/>
              </w:rPr>
              <w:t xml:space="preserve">ТОВ «БІЗНЕС КОНТІНЮІТІ СОЛЮШНЗ», </w:t>
            </w:r>
            <w:r w:rsidRPr="003A5155">
              <w:rPr>
                <w:sz w:val="22"/>
                <w:szCs w:val="22"/>
              </w:rPr>
              <w:t>ek@bcsolutions.com.ua</w:t>
            </w:r>
          </w:p>
          <w:p w14:paraId="428A231F" w14:textId="77777777" w:rsidR="00985D22" w:rsidRPr="00394EF6" w:rsidRDefault="00985D22" w:rsidP="00985D22">
            <w:pPr>
              <w:widowControl w:val="0"/>
              <w:ind w:right="57"/>
              <w:jc w:val="both"/>
              <w:rPr>
                <w:sz w:val="22"/>
                <w:szCs w:val="22"/>
              </w:rPr>
            </w:pPr>
            <w:r>
              <w:rPr>
                <w:sz w:val="22"/>
                <w:szCs w:val="22"/>
              </w:rPr>
              <w:t xml:space="preserve">ТОВ «АБКОММУНІКЕЙШЕН», </w:t>
            </w:r>
            <w:r w:rsidRPr="003A5155">
              <w:rPr>
                <w:sz w:val="22"/>
                <w:szCs w:val="22"/>
              </w:rPr>
              <w:t>info@abcommunication.com.ua</w:t>
            </w:r>
          </w:p>
          <w:p w14:paraId="48724097" w14:textId="77777777" w:rsidR="00985D22" w:rsidRPr="00394EF6" w:rsidRDefault="00985D22" w:rsidP="00985D22">
            <w:pPr>
              <w:widowControl w:val="0"/>
              <w:ind w:right="57"/>
              <w:jc w:val="both"/>
              <w:rPr>
                <w:sz w:val="22"/>
                <w:szCs w:val="22"/>
              </w:rPr>
            </w:pPr>
            <w:r>
              <w:rPr>
                <w:sz w:val="22"/>
                <w:szCs w:val="22"/>
              </w:rPr>
              <w:t>ТОВ «</w:t>
            </w:r>
            <w:r w:rsidRPr="00394EF6">
              <w:rPr>
                <w:sz w:val="22"/>
                <w:szCs w:val="22"/>
              </w:rPr>
              <w:t>АЙ Т</w:t>
            </w:r>
            <w:r>
              <w:rPr>
                <w:sz w:val="22"/>
                <w:szCs w:val="22"/>
              </w:rPr>
              <w:t xml:space="preserve">І ДІАЛОГ», </w:t>
            </w:r>
            <w:r w:rsidRPr="003A5155">
              <w:rPr>
                <w:sz w:val="22"/>
                <w:szCs w:val="22"/>
              </w:rPr>
              <w:t>office@it-dialog.com.ua</w:t>
            </w:r>
          </w:p>
          <w:p w14:paraId="6224C303" w14:textId="77777777" w:rsidR="00985D22" w:rsidRPr="00394EF6" w:rsidRDefault="00985D22" w:rsidP="00985D22">
            <w:pPr>
              <w:widowControl w:val="0"/>
              <w:ind w:right="57"/>
              <w:jc w:val="both"/>
              <w:rPr>
                <w:sz w:val="22"/>
                <w:szCs w:val="22"/>
              </w:rPr>
            </w:pPr>
            <w:r w:rsidRPr="00394EF6">
              <w:rPr>
                <w:sz w:val="22"/>
                <w:szCs w:val="22"/>
              </w:rPr>
              <w:t>ТОВ «СМАРТ ІННОВЕЙШН»</w:t>
            </w:r>
            <w:r>
              <w:rPr>
                <w:sz w:val="22"/>
                <w:szCs w:val="22"/>
              </w:rPr>
              <w:t xml:space="preserve">, </w:t>
            </w:r>
            <w:r w:rsidRPr="003A5155">
              <w:rPr>
                <w:sz w:val="22"/>
                <w:szCs w:val="22"/>
              </w:rPr>
              <w:t>info@smartinnovation.com.ua</w:t>
            </w:r>
          </w:p>
          <w:p w14:paraId="375A21FB" w14:textId="77777777" w:rsidR="00985D22" w:rsidRPr="00394EF6" w:rsidRDefault="00985D22" w:rsidP="00985D22">
            <w:pPr>
              <w:widowControl w:val="0"/>
              <w:ind w:right="57"/>
              <w:jc w:val="both"/>
              <w:rPr>
                <w:sz w:val="22"/>
                <w:szCs w:val="22"/>
              </w:rPr>
            </w:pPr>
            <w:r w:rsidRPr="00394EF6">
              <w:rPr>
                <w:sz w:val="22"/>
                <w:szCs w:val="22"/>
              </w:rPr>
              <w:t xml:space="preserve">ТОВ </w:t>
            </w:r>
            <w:r>
              <w:rPr>
                <w:sz w:val="22"/>
                <w:szCs w:val="22"/>
              </w:rPr>
              <w:t>«ІТ-ІНТЕГРАТОР», maksim.belov@it-integrator.ua</w:t>
            </w:r>
          </w:p>
          <w:p w14:paraId="4DFB3D16" w14:textId="17D6767F" w:rsidR="006F428D" w:rsidRPr="000C37C2" w:rsidRDefault="00985D22" w:rsidP="00985D22">
            <w:pPr>
              <w:ind w:right="57"/>
              <w:jc w:val="both"/>
              <w:rPr>
                <w:i/>
              </w:rPr>
            </w:pPr>
            <w:r>
              <w:rPr>
                <w:sz w:val="22"/>
                <w:szCs w:val="22"/>
              </w:rPr>
              <w:t xml:space="preserve">ТОВ «БІМЕКС Україна», </w:t>
            </w:r>
            <w:r w:rsidRPr="003A5155">
              <w:rPr>
                <w:sz w:val="22"/>
                <w:szCs w:val="22"/>
              </w:rPr>
              <w:t>info@bimex.com.ua</w:t>
            </w:r>
          </w:p>
        </w:tc>
      </w:tr>
    </w:tbl>
    <w:p w14:paraId="4F668361" w14:textId="77777777" w:rsidR="006926A0" w:rsidRPr="000C37C2" w:rsidRDefault="006926A0" w:rsidP="006926A0">
      <w:pPr>
        <w:ind w:firstLine="567"/>
        <w:jc w:val="both"/>
      </w:pPr>
      <w:r w:rsidRPr="000C37C2">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2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4A0" w:firstRow="1" w:lastRow="0" w:firstColumn="1" w:lastColumn="0" w:noHBand="0" w:noVBand="1"/>
      </w:tblPr>
      <w:tblGrid>
        <w:gridCol w:w="567"/>
        <w:gridCol w:w="1779"/>
        <w:gridCol w:w="992"/>
        <w:gridCol w:w="709"/>
        <w:gridCol w:w="6237"/>
      </w:tblGrid>
      <w:tr w:rsidR="00985D22" w:rsidRPr="002B5F85" w14:paraId="0D7CA8A8" w14:textId="77777777" w:rsidTr="00985D22">
        <w:tc>
          <w:tcPr>
            <w:tcW w:w="567" w:type="dxa"/>
            <w:shd w:val="clear" w:color="auto" w:fill="F2F2F2" w:themeFill="background1" w:themeFillShade="F2"/>
            <w:tcMar>
              <w:top w:w="30" w:type="dxa"/>
              <w:left w:w="60" w:type="dxa"/>
              <w:bottom w:w="30" w:type="dxa"/>
              <w:right w:w="30" w:type="dxa"/>
            </w:tcMar>
          </w:tcPr>
          <w:p w14:paraId="3D642C02" w14:textId="77777777" w:rsidR="00985D22" w:rsidRPr="002B5F85" w:rsidRDefault="00985D22" w:rsidP="00444701">
            <w:pPr>
              <w:widowControl w:val="0"/>
              <w:rPr>
                <w:noProof/>
                <w:sz w:val="22"/>
                <w:szCs w:val="22"/>
              </w:rPr>
            </w:pPr>
            <w:r w:rsidRPr="002B5F85">
              <w:rPr>
                <w:noProof/>
                <w:sz w:val="22"/>
                <w:szCs w:val="22"/>
              </w:rPr>
              <w:t>№ п/п</w:t>
            </w:r>
          </w:p>
        </w:tc>
        <w:tc>
          <w:tcPr>
            <w:tcW w:w="1779" w:type="dxa"/>
            <w:shd w:val="clear" w:color="auto" w:fill="F2F2F2" w:themeFill="background1" w:themeFillShade="F2"/>
            <w:tcMar>
              <w:top w:w="30" w:type="dxa"/>
              <w:left w:w="60" w:type="dxa"/>
              <w:bottom w:w="30" w:type="dxa"/>
              <w:right w:w="30" w:type="dxa"/>
            </w:tcMar>
          </w:tcPr>
          <w:p w14:paraId="46F92F74" w14:textId="77777777" w:rsidR="00985D22" w:rsidRPr="002B5F85" w:rsidRDefault="00985D22" w:rsidP="00444701">
            <w:pPr>
              <w:widowControl w:val="0"/>
              <w:jc w:val="center"/>
              <w:rPr>
                <w:b/>
                <w:noProof/>
                <w:sz w:val="22"/>
                <w:szCs w:val="22"/>
              </w:rPr>
            </w:pPr>
            <w:r w:rsidRPr="002B5F85">
              <w:rPr>
                <w:b/>
                <w:noProof/>
                <w:sz w:val="22"/>
                <w:szCs w:val="22"/>
              </w:rPr>
              <w:t xml:space="preserve">Найменування </w:t>
            </w:r>
          </w:p>
          <w:p w14:paraId="609E5B91" w14:textId="77777777" w:rsidR="00985D22" w:rsidRPr="002B5F85" w:rsidRDefault="00985D22" w:rsidP="00444701">
            <w:pPr>
              <w:widowControl w:val="0"/>
              <w:jc w:val="center"/>
              <w:rPr>
                <w:b/>
                <w:noProof/>
                <w:sz w:val="22"/>
                <w:szCs w:val="22"/>
              </w:rPr>
            </w:pPr>
            <w:r w:rsidRPr="002B5F85">
              <w:rPr>
                <w:b/>
                <w:noProof/>
                <w:sz w:val="22"/>
                <w:szCs w:val="22"/>
              </w:rPr>
              <w:t xml:space="preserve">послуги </w:t>
            </w:r>
          </w:p>
        </w:tc>
        <w:tc>
          <w:tcPr>
            <w:tcW w:w="992" w:type="dxa"/>
            <w:shd w:val="clear" w:color="auto" w:fill="F2F2F2" w:themeFill="background1" w:themeFillShade="F2"/>
            <w:tcMar>
              <w:top w:w="30" w:type="dxa"/>
              <w:left w:w="60" w:type="dxa"/>
              <w:bottom w:w="30" w:type="dxa"/>
              <w:right w:w="30" w:type="dxa"/>
            </w:tcMar>
          </w:tcPr>
          <w:p w14:paraId="362BAF21" w14:textId="77777777" w:rsidR="00985D22" w:rsidRPr="002B5F85" w:rsidRDefault="00985D22" w:rsidP="00444701">
            <w:pPr>
              <w:widowControl w:val="0"/>
              <w:jc w:val="center"/>
              <w:rPr>
                <w:b/>
                <w:noProof/>
                <w:sz w:val="22"/>
                <w:szCs w:val="22"/>
              </w:rPr>
            </w:pPr>
            <w:r w:rsidRPr="002B5F85">
              <w:rPr>
                <w:b/>
                <w:noProof/>
                <w:sz w:val="22"/>
                <w:szCs w:val="22"/>
              </w:rPr>
              <w:t>Од.</w:t>
            </w:r>
          </w:p>
          <w:p w14:paraId="44EA5C94" w14:textId="77777777" w:rsidR="00985D22" w:rsidRPr="002B5F85" w:rsidRDefault="00985D22" w:rsidP="00444701">
            <w:pPr>
              <w:widowControl w:val="0"/>
              <w:jc w:val="center"/>
              <w:rPr>
                <w:b/>
                <w:noProof/>
                <w:sz w:val="22"/>
                <w:szCs w:val="22"/>
              </w:rPr>
            </w:pPr>
            <w:r w:rsidRPr="002B5F85">
              <w:rPr>
                <w:b/>
                <w:noProof/>
                <w:sz w:val="22"/>
                <w:szCs w:val="22"/>
              </w:rPr>
              <w:t>виміру</w:t>
            </w:r>
          </w:p>
        </w:tc>
        <w:tc>
          <w:tcPr>
            <w:tcW w:w="709" w:type="dxa"/>
            <w:shd w:val="clear" w:color="auto" w:fill="F2F2F2" w:themeFill="background1" w:themeFillShade="F2"/>
            <w:tcMar>
              <w:top w:w="30" w:type="dxa"/>
              <w:left w:w="60" w:type="dxa"/>
              <w:bottom w:w="30" w:type="dxa"/>
              <w:right w:w="30" w:type="dxa"/>
            </w:tcMar>
          </w:tcPr>
          <w:p w14:paraId="6DEE8091" w14:textId="77777777" w:rsidR="00985D22" w:rsidRPr="002B5F85" w:rsidRDefault="00985D22" w:rsidP="00444701">
            <w:pPr>
              <w:widowControl w:val="0"/>
              <w:jc w:val="center"/>
              <w:rPr>
                <w:b/>
                <w:noProof/>
                <w:sz w:val="22"/>
                <w:szCs w:val="22"/>
              </w:rPr>
            </w:pPr>
            <w:r w:rsidRPr="002B5F85">
              <w:rPr>
                <w:b/>
                <w:noProof/>
                <w:sz w:val="22"/>
                <w:szCs w:val="22"/>
              </w:rPr>
              <w:t>Кількість</w:t>
            </w:r>
          </w:p>
        </w:tc>
        <w:tc>
          <w:tcPr>
            <w:tcW w:w="6237" w:type="dxa"/>
            <w:shd w:val="clear" w:color="auto" w:fill="F2F2F2" w:themeFill="background1" w:themeFillShade="F2"/>
            <w:tcMar>
              <w:top w:w="30" w:type="dxa"/>
              <w:left w:w="60" w:type="dxa"/>
              <w:bottom w:w="30" w:type="dxa"/>
              <w:right w:w="30" w:type="dxa"/>
            </w:tcMar>
          </w:tcPr>
          <w:p w14:paraId="71C71C9B" w14:textId="77777777" w:rsidR="00985D22" w:rsidRPr="002B5F85" w:rsidRDefault="00985D22" w:rsidP="00444701">
            <w:pPr>
              <w:widowControl w:val="0"/>
              <w:jc w:val="center"/>
              <w:rPr>
                <w:b/>
                <w:noProof/>
                <w:sz w:val="22"/>
                <w:szCs w:val="22"/>
              </w:rPr>
            </w:pPr>
            <w:r w:rsidRPr="002B5F85">
              <w:rPr>
                <w:b/>
                <w:noProof/>
                <w:sz w:val="22"/>
                <w:szCs w:val="22"/>
              </w:rPr>
              <w:t>Технічні та якісні характеристики</w:t>
            </w:r>
          </w:p>
          <w:p w14:paraId="7EA14FBB" w14:textId="77777777" w:rsidR="00985D22" w:rsidRPr="002B5F85" w:rsidRDefault="00985D22" w:rsidP="00444701">
            <w:pPr>
              <w:widowControl w:val="0"/>
              <w:jc w:val="center"/>
              <w:rPr>
                <w:b/>
                <w:noProof/>
                <w:sz w:val="22"/>
                <w:szCs w:val="22"/>
              </w:rPr>
            </w:pPr>
            <w:r w:rsidRPr="002B5F85">
              <w:rPr>
                <w:b/>
                <w:noProof/>
                <w:sz w:val="22"/>
                <w:szCs w:val="22"/>
              </w:rPr>
              <w:t>(технічна специфікація)</w:t>
            </w:r>
          </w:p>
        </w:tc>
      </w:tr>
      <w:tr w:rsidR="00985D22" w:rsidRPr="002B5F85" w14:paraId="732D7DC5" w14:textId="77777777" w:rsidTr="00985D22">
        <w:tc>
          <w:tcPr>
            <w:tcW w:w="567" w:type="dxa"/>
            <w:tcMar>
              <w:top w:w="30" w:type="dxa"/>
              <w:left w:w="60" w:type="dxa"/>
              <w:bottom w:w="30" w:type="dxa"/>
              <w:right w:w="30" w:type="dxa"/>
            </w:tcMar>
          </w:tcPr>
          <w:p w14:paraId="025EE1EB" w14:textId="77777777" w:rsidR="00985D22" w:rsidRPr="002B5F85" w:rsidRDefault="00985D22" w:rsidP="00444701">
            <w:pPr>
              <w:suppressAutoHyphens/>
              <w:rPr>
                <w:b/>
                <w:bCs/>
                <w:noProof/>
                <w:sz w:val="22"/>
                <w:szCs w:val="22"/>
              </w:rPr>
            </w:pPr>
            <w:r w:rsidRPr="002B5F85">
              <w:rPr>
                <w:noProof/>
                <w:sz w:val="22"/>
                <w:szCs w:val="22"/>
              </w:rPr>
              <w:t>1</w:t>
            </w:r>
          </w:p>
        </w:tc>
        <w:tc>
          <w:tcPr>
            <w:tcW w:w="1779" w:type="dxa"/>
            <w:tcMar>
              <w:top w:w="30" w:type="dxa"/>
              <w:left w:w="60" w:type="dxa"/>
              <w:bottom w:w="30" w:type="dxa"/>
              <w:right w:w="30" w:type="dxa"/>
            </w:tcMar>
          </w:tcPr>
          <w:p w14:paraId="0D0DA048" w14:textId="77777777" w:rsidR="00985D22" w:rsidRPr="002B5F85" w:rsidRDefault="00985D22" w:rsidP="00444701">
            <w:pPr>
              <w:rPr>
                <w:noProof/>
                <w:sz w:val="22"/>
                <w:szCs w:val="22"/>
              </w:rPr>
            </w:pPr>
            <w:r w:rsidRPr="002B5F85">
              <w:rPr>
                <w:bCs/>
                <w:noProof/>
                <w:kern w:val="1"/>
                <w:sz w:val="22"/>
                <w:szCs w:val="22"/>
              </w:rPr>
              <w:t>Послуга з передачі сервісного пакету для системи безпеки (підписка Threat Defense Threat Malware and URL для розширення функціоналу та можливостей пристрою Firepower серії 2110)</w:t>
            </w:r>
          </w:p>
        </w:tc>
        <w:tc>
          <w:tcPr>
            <w:tcW w:w="992" w:type="dxa"/>
            <w:tcMar>
              <w:top w:w="30" w:type="dxa"/>
              <w:left w:w="60" w:type="dxa"/>
              <w:bottom w:w="30" w:type="dxa"/>
              <w:right w:w="30" w:type="dxa"/>
            </w:tcMar>
          </w:tcPr>
          <w:p w14:paraId="5ECAAE91" w14:textId="77777777" w:rsidR="00985D22" w:rsidRPr="002B5F85" w:rsidRDefault="00985D22" w:rsidP="00444701">
            <w:pPr>
              <w:suppressAutoHyphens/>
              <w:jc w:val="both"/>
              <w:rPr>
                <w:noProof/>
                <w:sz w:val="22"/>
                <w:szCs w:val="22"/>
              </w:rPr>
            </w:pPr>
            <w:r w:rsidRPr="002B5F85">
              <w:rPr>
                <w:noProof/>
                <w:sz w:val="22"/>
                <w:szCs w:val="22"/>
              </w:rPr>
              <w:t>послуга</w:t>
            </w:r>
          </w:p>
        </w:tc>
        <w:tc>
          <w:tcPr>
            <w:tcW w:w="709" w:type="dxa"/>
            <w:tcMar>
              <w:top w:w="30" w:type="dxa"/>
              <w:left w:w="60" w:type="dxa"/>
              <w:bottom w:w="30" w:type="dxa"/>
              <w:right w:w="30" w:type="dxa"/>
            </w:tcMar>
          </w:tcPr>
          <w:p w14:paraId="2097DB4B" w14:textId="77777777" w:rsidR="00985D22" w:rsidRPr="002B5F85" w:rsidRDefault="00985D22" w:rsidP="00444701">
            <w:pPr>
              <w:suppressAutoHyphens/>
              <w:jc w:val="both"/>
              <w:rPr>
                <w:noProof/>
                <w:sz w:val="22"/>
                <w:szCs w:val="22"/>
              </w:rPr>
            </w:pPr>
            <w:r w:rsidRPr="002B5F85">
              <w:rPr>
                <w:noProof/>
                <w:sz w:val="22"/>
                <w:szCs w:val="22"/>
              </w:rPr>
              <w:t>2</w:t>
            </w:r>
          </w:p>
        </w:tc>
        <w:tc>
          <w:tcPr>
            <w:tcW w:w="6237" w:type="dxa"/>
            <w:tcMar>
              <w:top w:w="30" w:type="dxa"/>
              <w:left w:w="60" w:type="dxa"/>
              <w:bottom w:w="30" w:type="dxa"/>
              <w:right w:w="30" w:type="dxa"/>
            </w:tcMar>
          </w:tcPr>
          <w:p w14:paraId="7CC482A4"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Послуга з передачі сервісного пакету для системи безпеки включає в себе:</w:t>
            </w:r>
          </w:p>
          <w:p w14:paraId="19D4C8D6" w14:textId="77777777" w:rsidR="00985D22" w:rsidRPr="002B5F85" w:rsidRDefault="00985D22" w:rsidP="00985D22">
            <w:pPr>
              <w:pStyle w:val="af6"/>
              <w:numPr>
                <w:ilvl w:val="0"/>
                <w:numId w:val="31"/>
              </w:numPr>
              <w:tabs>
                <w:tab w:val="left" w:pos="360"/>
              </w:tabs>
              <w:suppressAutoHyphens/>
              <w:spacing w:after="0" w:line="240" w:lineRule="auto"/>
              <w:ind w:left="90" w:right="117" w:firstLine="0"/>
              <w:jc w:val="both"/>
              <w:rPr>
                <w:rFonts w:ascii="Times New Roman" w:hAnsi="Times New Roman"/>
                <w:noProof/>
                <w:lang w:eastAsia="ar-SA"/>
              </w:rPr>
            </w:pPr>
            <w:r w:rsidRPr="002B5F85">
              <w:rPr>
                <w:rFonts w:ascii="Times New Roman" w:hAnsi="Times New Roman"/>
                <w:noProof/>
                <w:lang w:eastAsia="ar-SA"/>
              </w:rPr>
              <w:t xml:space="preserve">підписку на AnyConnect </w:t>
            </w:r>
            <w:r w:rsidRPr="00FF15D0">
              <w:rPr>
                <w:rFonts w:ascii="Times New Roman" w:hAnsi="Times New Roman"/>
                <w:b/>
                <w:bCs/>
                <w:noProof/>
                <w:lang w:eastAsia="ar-SA"/>
              </w:rPr>
              <w:t>для 50 кінцевих пристроїв</w:t>
            </w:r>
            <w:r w:rsidRPr="002B5F85">
              <w:rPr>
                <w:rFonts w:ascii="Times New Roman" w:hAnsi="Times New Roman"/>
                <w:noProof/>
                <w:lang w:eastAsia="ar-SA"/>
              </w:rPr>
              <w:t xml:space="preserve"> (або підключень) Cisco AnyConnect Plus License, 1YR. L-AC-PLS-1Y-S2 (L-AC-PLS-LIC) на 12 місяців для забезпечення віддаленого підключення працівників до ІТ-сервісів підприємства;</w:t>
            </w:r>
          </w:p>
          <w:p w14:paraId="13298BF1" w14:textId="77777777" w:rsidR="00985D22" w:rsidRPr="002B5F85" w:rsidRDefault="00985D22" w:rsidP="00985D22">
            <w:pPr>
              <w:pStyle w:val="af6"/>
              <w:numPr>
                <w:ilvl w:val="0"/>
                <w:numId w:val="31"/>
              </w:numPr>
              <w:tabs>
                <w:tab w:val="left" w:pos="360"/>
              </w:tabs>
              <w:suppressAutoHyphens/>
              <w:spacing w:after="0" w:line="240" w:lineRule="auto"/>
              <w:ind w:left="90" w:right="117" w:firstLine="0"/>
              <w:jc w:val="both"/>
              <w:rPr>
                <w:rFonts w:ascii="Times New Roman" w:hAnsi="Times New Roman"/>
                <w:noProof/>
                <w:lang w:eastAsia="ar-SA"/>
              </w:rPr>
            </w:pPr>
            <w:r w:rsidRPr="002B5F85">
              <w:rPr>
                <w:rFonts w:ascii="Times New Roman" w:hAnsi="Times New Roman"/>
                <w:noProof/>
                <w:lang w:eastAsia="ar-SA"/>
              </w:rPr>
              <w:t>підписку Threat Defense Threat Malware and URL на сервіси для  пристрою Firepower серії 2110 на 12 місяців та включає в себе застосування на обладнанні наступних функцій:</w:t>
            </w:r>
          </w:p>
          <w:p w14:paraId="3BEA59FE" w14:textId="77777777" w:rsidR="00985D22" w:rsidRPr="002B5F85" w:rsidRDefault="00985D22" w:rsidP="00985D22">
            <w:pPr>
              <w:numPr>
                <w:ilvl w:val="0"/>
                <w:numId w:val="30"/>
              </w:numPr>
              <w:tabs>
                <w:tab w:val="num" w:pos="416"/>
              </w:tabs>
              <w:suppressAutoHyphens/>
              <w:ind w:left="416" w:right="117" w:hanging="283"/>
              <w:contextualSpacing/>
              <w:jc w:val="both"/>
              <w:rPr>
                <w:noProof/>
                <w:sz w:val="22"/>
                <w:szCs w:val="22"/>
                <w:lang w:eastAsia="ar-SA"/>
              </w:rPr>
            </w:pPr>
            <w:r w:rsidRPr="002B5F85">
              <w:rPr>
                <w:noProof/>
                <w:sz w:val="22"/>
                <w:szCs w:val="22"/>
                <w:lang w:eastAsia="ar-SA"/>
              </w:rPr>
              <w:t>виявлення та запобігання вторгненням, що дозволяє аналізувати мережевий трафік на предмет здійснення несанкціонованого доступу (вторгнення), використання уразливостей (експлойтів) та, за необхідністю, видалення кінцевих пакетів.</w:t>
            </w:r>
          </w:p>
          <w:p w14:paraId="288B3D04" w14:textId="77777777" w:rsidR="00985D22" w:rsidRPr="002B5F85" w:rsidRDefault="00985D22" w:rsidP="00985D22">
            <w:pPr>
              <w:numPr>
                <w:ilvl w:val="0"/>
                <w:numId w:val="30"/>
              </w:numPr>
              <w:tabs>
                <w:tab w:val="num" w:pos="416"/>
              </w:tabs>
              <w:suppressAutoHyphens/>
              <w:ind w:left="416" w:right="117" w:hanging="283"/>
              <w:contextualSpacing/>
              <w:jc w:val="both"/>
              <w:rPr>
                <w:noProof/>
                <w:sz w:val="22"/>
                <w:szCs w:val="22"/>
                <w:lang w:eastAsia="ar-SA"/>
              </w:rPr>
            </w:pPr>
            <w:r w:rsidRPr="002B5F85">
              <w:rPr>
                <w:noProof/>
                <w:sz w:val="22"/>
                <w:szCs w:val="22"/>
                <w:lang w:eastAsia="ar-SA"/>
              </w:rPr>
              <w:t>керування файлами, що дозволяє виявляти та, за бажанням, блокувати користувачів від надсилання або отримання файлів конкретних типів за конкретними протоколами додатків.</w:t>
            </w:r>
          </w:p>
          <w:p w14:paraId="00B090D5" w14:textId="77777777" w:rsidR="00985D22" w:rsidRPr="002B5F85" w:rsidRDefault="00985D22" w:rsidP="00985D22">
            <w:pPr>
              <w:numPr>
                <w:ilvl w:val="0"/>
                <w:numId w:val="30"/>
              </w:numPr>
              <w:tabs>
                <w:tab w:val="num" w:pos="416"/>
              </w:tabs>
              <w:suppressAutoHyphens/>
              <w:ind w:left="416" w:right="117" w:hanging="283"/>
              <w:contextualSpacing/>
              <w:jc w:val="both"/>
              <w:rPr>
                <w:noProof/>
                <w:sz w:val="22"/>
                <w:szCs w:val="22"/>
                <w:lang w:eastAsia="ar-SA"/>
              </w:rPr>
            </w:pPr>
            <w:r w:rsidRPr="002B5F85">
              <w:rPr>
                <w:noProof/>
                <w:sz w:val="22"/>
                <w:szCs w:val="22"/>
                <w:lang w:eastAsia="ar-SA"/>
              </w:rPr>
              <w:t>фільтрації, що дозволяє використовувати чорний список  конкретних IP/URL-адрес та доменних імен DNS для обмеження (заборони) трафіку, перш ніж цей трафік буде підданий аналізу у відповідності до правил доступу.</w:t>
            </w:r>
          </w:p>
          <w:p w14:paraId="10B0EEB5" w14:textId="77777777" w:rsidR="00985D22" w:rsidRPr="002B5F85" w:rsidRDefault="00985D22" w:rsidP="00985D22">
            <w:pPr>
              <w:numPr>
                <w:ilvl w:val="0"/>
                <w:numId w:val="30"/>
              </w:numPr>
              <w:tabs>
                <w:tab w:val="num" w:pos="416"/>
              </w:tabs>
              <w:suppressAutoHyphens/>
              <w:ind w:left="416" w:right="117" w:hanging="283"/>
              <w:contextualSpacing/>
              <w:jc w:val="both"/>
              <w:rPr>
                <w:noProof/>
                <w:sz w:val="22"/>
                <w:szCs w:val="22"/>
                <w:lang w:eastAsia="ar-SA"/>
              </w:rPr>
            </w:pPr>
            <w:r w:rsidRPr="002B5F85">
              <w:rPr>
                <w:noProof/>
                <w:sz w:val="22"/>
                <w:szCs w:val="22"/>
                <w:lang w:eastAsia="ar-SA"/>
              </w:rPr>
              <w:t>виявлення користувачів, які здійснюють надсилання/отримання файлів конкретних типів за конкретними протоколами додатків.</w:t>
            </w:r>
          </w:p>
          <w:p w14:paraId="6EC2597D" w14:textId="77777777" w:rsidR="00985D22" w:rsidRPr="002B5F85" w:rsidRDefault="00985D22" w:rsidP="00985D22">
            <w:pPr>
              <w:numPr>
                <w:ilvl w:val="0"/>
                <w:numId w:val="30"/>
              </w:numPr>
              <w:tabs>
                <w:tab w:val="num" w:pos="416"/>
              </w:tabs>
              <w:suppressAutoHyphens/>
              <w:ind w:left="416" w:right="117" w:hanging="283"/>
              <w:contextualSpacing/>
              <w:jc w:val="both"/>
              <w:rPr>
                <w:rFonts w:cs="Calibri"/>
                <w:noProof/>
                <w:sz w:val="22"/>
                <w:szCs w:val="22"/>
              </w:rPr>
            </w:pPr>
            <w:r w:rsidRPr="002B5F85">
              <w:rPr>
                <w:noProof/>
                <w:sz w:val="22"/>
                <w:szCs w:val="22"/>
                <w:lang w:eastAsia="ar-SA"/>
              </w:rPr>
              <w:t xml:space="preserve">автоматичне блокування або розблокування виявлених файлів, на основі списків дозволених/заборонених файлів. Можливість включення файлу до </w:t>
            </w:r>
            <w:r w:rsidRPr="00CC5E5E">
              <w:rPr>
                <w:noProof/>
                <w:sz w:val="22"/>
                <w:szCs w:val="22"/>
                <w:lang w:eastAsia="ar-SA"/>
              </w:rPr>
              <w:t>списку наявна в п</w:t>
            </w:r>
            <w:r w:rsidRPr="002B5F85">
              <w:rPr>
                <w:noProof/>
                <w:sz w:val="22"/>
                <w:szCs w:val="22"/>
                <w:lang w:eastAsia="ar-SA"/>
              </w:rPr>
              <w:t>олітиці файлу.</w:t>
            </w:r>
          </w:p>
          <w:p w14:paraId="30EFFD8B" w14:textId="77777777" w:rsidR="00985D22" w:rsidRPr="002B5F85" w:rsidRDefault="00985D22" w:rsidP="00985D22">
            <w:pPr>
              <w:numPr>
                <w:ilvl w:val="0"/>
                <w:numId w:val="30"/>
              </w:numPr>
              <w:tabs>
                <w:tab w:val="num" w:pos="416"/>
              </w:tabs>
              <w:suppressAutoHyphens/>
              <w:ind w:left="416" w:right="117" w:hanging="283"/>
              <w:contextualSpacing/>
              <w:jc w:val="both"/>
              <w:rPr>
                <w:noProof/>
                <w:sz w:val="22"/>
                <w:szCs w:val="22"/>
                <w:lang w:eastAsia="ar-SA"/>
              </w:rPr>
            </w:pPr>
            <w:r>
              <w:rPr>
                <w:noProof/>
                <w:sz w:val="22"/>
                <w:szCs w:val="22"/>
                <w:lang w:eastAsia="ar-SA"/>
              </w:rPr>
              <w:t xml:space="preserve">наявне </w:t>
            </w:r>
            <w:r w:rsidRPr="002B5F85">
              <w:rPr>
                <w:noProof/>
                <w:sz w:val="22"/>
                <w:szCs w:val="22"/>
                <w:lang w:eastAsia="ar-SA"/>
              </w:rPr>
              <w:t>застосування можливості писати правила контролю доступу, які визначають трафік, що може перетинати мережу на основі URL-адрес, запитуваних відстежуваними хостами, з кореляцією інформації про такі URL-адреси з метою отримання детального контролю над веб-трафіком.</w:t>
            </w:r>
          </w:p>
          <w:p w14:paraId="01DE99BD" w14:textId="77777777" w:rsidR="00985D22" w:rsidRPr="002B5F85" w:rsidRDefault="00985D22" w:rsidP="00444701">
            <w:pPr>
              <w:suppressAutoHyphens/>
              <w:ind w:right="117"/>
              <w:contextualSpacing/>
              <w:jc w:val="both"/>
              <w:rPr>
                <w:noProof/>
                <w:sz w:val="22"/>
                <w:szCs w:val="22"/>
                <w:lang w:eastAsia="ar-SA"/>
              </w:rPr>
            </w:pPr>
            <w:r w:rsidRPr="002B5F85">
              <w:rPr>
                <w:noProof/>
                <w:sz w:val="22"/>
                <w:szCs w:val="22"/>
                <w:lang w:eastAsia="ar-SA"/>
              </w:rPr>
              <w:t>Послуга передбачається для наявного в Замовника обладнання, а саме:</w:t>
            </w:r>
          </w:p>
          <w:p w14:paraId="53BC8BC6" w14:textId="77777777" w:rsidR="00985D22" w:rsidRPr="002B5F85" w:rsidRDefault="00985D22" w:rsidP="00985D22">
            <w:pPr>
              <w:pStyle w:val="af6"/>
              <w:numPr>
                <w:ilvl w:val="0"/>
                <w:numId w:val="32"/>
              </w:numPr>
              <w:tabs>
                <w:tab w:val="left" w:pos="420"/>
              </w:tabs>
              <w:suppressAutoHyphens/>
              <w:spacing w:after="0" w:line="240" w:lineRule="auto"/>
              <w:ind w:left="463" w:right="117" w:hanging="283"/>
              <w:jc w:val="both"/>
              <w:rPr>
                <w:rFonts w:ascii="Times New Roman" w:hAnsi="Times New Roman"/>
                <w:noProof/>
                <w:lang w:eastAsia="ar-SA"/>
              </w:rPr>
            </w:pPr>
            <w:r w:rsidRPr="002B5F85">
              <w:rPr>
                <w:rFonts w:ascii="Times New Roman" w:hAnsi="Times New Roman"/>
                <w:noProof/>
                <w:lang w:eastAsia="ar-SA"/>
              </w:rPr>
              <w:t>міжмережевий екран Cisco Firepower 2110 NGFW,  Appliance FPR2110-NGFW-K9, S/N JMX2209Y05X;</w:t>
            </w:r>
          </w:p>
          <w:p w14:paraId="034B19E8" w14:textId="77777777" w:rsidR="00985D22" w:rsidRPr="002B5F85" w:rsidRDefault="00985D22" w:rsidP="00985D22">
            <w:pPr>
              <w:pStyle w:val="af6"/>
              <w:numPr>
                <w:ilvl w:val="0"/>
                <w:numId w:val="32"/>
              </w:numPr>
              <w:tabs>
                <w:tab w:val="left" w:pos="420"/>
              </w:tabs>
              <w:suppressAutoHyphens/>
              <w:spacing w:after="0" w:line="240" w:lineRule="auto"/>
              <w:ind w:left="463" w:right="117" w:hanging="283"/>
              <w:jc w:val="both"/>
              <w:rPr>
                <w:rFonts w:ascii="Times New Roman" w:hAnsi="Times New Roman"/>
                <w:noProof/>
                <w:lang w:eastAsia="ar-SA"/>
              </w:rPr>
            </w:pPr>
            <w:r w:rsidRPr="002B5F85">
              <w:rPr>
                <w:rFonts w:ascii="Times New Roman" w:hAnsi="Times New Roman"/>
                <w:noProof/>
                <w:lang w:eastAsia="ar-SA"/>
              </w:rPr>
              <w:t>міжмережевий екран Cisco Firepower 2110 NGFW,  Appliance FPR2110-NGFW-K9, S/N JMX2209Y06B.</w:t>
            </w:r>
          </w:p>
        </w:tc>
      </w:tr>
      <w:tr w:rsidR="00985D22" w:rsidRPr="002B5F85" w14:paraId="3E822A52" w14:textId="77777777" w:rsidTr="00985D22">
        <w:tc>
          <w:tcPr>
            <w:tcW w:w="567" w:type="dxa"/>
            <w:tcMar>
              <w:top w:w="30" w:type="dxa"/>
              <w:left w:w="60" w:type="dxa"/>
              <w:bottom w:w="30" w:type="dxa"/>
              <w:right w:w="30" w:type="dxa"/>
            </w:tcMar>
          </w:tcPr>
          <w:p w14:paraId="333EDA04" w14:textId="77777777" w:rsidR="00985D22" w:rsidRPr="002B5F85" w:rsidRDefault="00985D22" w:rsidP="00444701">
            <w:pPr>
              <w:suppressAutoHyphens/>
              <w:rPr>
                <w:noProof/>
                <w:sz w:val="22"/>
                <w:szCs w:val="22"/>
              </w:rPr>
            </w:pPr>
            <w:r w:rsidRPr="002B5F85">
              <w:rPr>
                <w:noProof/>
                <w:sz w:val="22"/>
                <w:szCs w:val="22"/>
              </w:rPr>
              <w:t>2</w:t>
            </w:r>
          </w:p>
        </w:tc>
        <w:tc>
          <w:tcPr>
            <w:tcW w:w="1779" w:type="dxa"/>
            <w:tcMar>
              <w:top w:w="30" w:type="dxa"/>
              <w:left w:w="60" w:type="dxa"/>
              <w:bottom w:w="30" w:type="dxa"/>
              <w:right w:w="30" w:type="dxa"/>
            </w:tcMar>
          </w:tcPr>
          <w:p w14:paraId="0D3EA825" w14:textId="77777777" w:rsidR="00985D22" w:rsidRPr="002B5F85" w:rsidRDefault="00985D22" w:rsidP="00444701">
            <w:pPr>
              <w:rPr>
                <w:bCs/>
                <w:noProof/>
                <w:kern w:val="1"/>
                <w:sz w:val="22"/>
                <w:szCs w:val="22"/>
              </w:rPr>
            </w:pPr>
            <w:r w:rsidRPr="002B5F85">
              <w:rPr>
                <w:bCs/>
                <w:noProof/>
                <w:kern w:val="1"/>
                <w:sz w:val="22"/>
                <w:szCs w:val="22"/>
              </w:rPr>
              <w:t>Послуга з передачі сервісного пакету для пристроїв Firepower серії 2110</w:t>
            </w:r>
          </w:p>
        </w:tc>
        <w:tc>
          <w:tcPr>
            <w:tcW w:w="992" w:type="dxa"/>
            <w:shd w:val="clear" w:color="auto" w:fill="FFFFFF" w:themeFill="background1"/>
            <w:tcMar>
              <w:top w:w="30" w:type="dxa"/>
              <w:left w:w="60" w:type="dxa"/>
              <w:bottom w:w="30" w:type="dxa"/>
              <w:right w:w="30" w:type="dxa"/>
            </w:tcMar>
          </w:tcPr>
          <w:p w14:paraId="37C53B01" w14:textId="77777777" w:rsidR="00985D22" w:rsidRPr="002B5F85" w:rsidRDefault="00985D22" w:rsidP="00444701">
            <w:pPr>
              <w:jc w:val="center"/>
              <w:rPr>
                <w:noProof/>
                <w:sz w:val="22"/>
                <w:szCs w:val="22"/>
              </w:rPr>
            </w:pPr>
            <w:r w:rsidRPr="002B5F85">
              <w:rPr>
                <w:noProof/>
                <w:sz w:val="22"/>
                <w:szCs w:val="22"/>
              </w:rPr>
              <w:t>послуга</w:t>
            </w:r>
          </w:p>
        </w:tc>
        <w:tc>
          <w:tcPr>
            <w:tcW w:w="709" w:type="dxa"/>
            <w:shd w:val="clear" w:color="auto" w:fill="FFFFFF" w:themeFill="background1"/>
            <w:tcMar>
              <w:top w:w="30" w:type="dxa"/>
              <w:left w:w="60" w:type="dxa"/>
              <w:bottom w:w="30" w:type="dxa"/>
              <w:right w:w="30" w:type="dxa"/>
            </w:tcMar>
          </w:tcPr>
          <w:p w14:paraId="24756B9C" w14:textId="77777777" w:rsidR="00985D22" w:rsidRPr="002B5F85" w:rsidRDefault="00985D22" w:rsidP="00444701">
            <w:pPr>
              <w:jc w:val="center"/>
              <w:rPr>
                <w:noProof/>
                <w:sz w:val="22"/>
                <w:szCs w:val="22"/>
              </w:rPr>
            </w:pPr>
            <w:r w:rsidRPr="002B5F85">
              <w:rPr>
                <w:noProof/>
                <w:sz w:val="22"/>
                <w:szCs w:val="22"/>
              </w:rPr>
              <w:t>2</w:t>
            </w:r>
          </w:p>
        </w:tc>
        <w:tc>
          <w:tcPr>
            <w:tcW w:w="6237" w:type="dxa"/>
            <w:tcMar>
              <w:top w:w="30" w:type="dxa"/>
              <w:left w:w="60" w:type="dxa"/>
              <w:bottom w:w="30" w:type="dxa"/>
              <w:right w:w="30" w:type="dxa"/>
            </w:tcMar>
          </w:tcPr>
          <w:p w14:paraId="47ADF5C5"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Послуга з передачі сервісного пакету для пристроїв Firepower серії 2110 надається на 12 місяців з наступними вимогами:</w:t>
            </w:r>
          </w:p>
          <w:p w14:paraId="77BA65F2"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w:t>
            </w:r>
            <w:r w:rsidRPr="002B5F85">
              <w:rPr>
                <w:noProof/>
                <w:sz w:val="22"/>
                <w:szCs w:val="22"/>
                <w:lang w:eastAsia="ar-SA"/>
              </w:rPr>
              <w:tab/>
              <w:t>забезпечення постійного цілодобового (24x7х365) доступу до Центру Технічної Підтримки (Cisco TAC) по телефону, e-mail або web для вирішення і ескалації критичних проблем в частині апаратної, конфігураційної або програмної проблеми пристроїв систем безпеки Firepower серії 2110;</w:t>
            </w:r>
          </w:p>
          <w:p w14:paraId="44E5FDE2"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w:t>
            </w:r>
            <w:r w:rsidRPr="002B5F85">
              <w:rPr>
                <w:noProof/>
                <w:sz w:val="22"/>
                <w:szCs w:val="22"/>
                <w:lang w:eastAsia="ar-SA"/>
              </w:rPr>
              <w:tab/>
              <w:t xml:space="preserve">надання Замовнику прав на  отримання основних та проміжних релізів програмного забезпечення, включно з </w:t>
            </w:r>
            <w:r w:rsidRPr="002B5F85">
              <w:rPr>
                <w:noProof/>
                <w:sz w:val="22"/>
                <w:szCs w:val="22"/>
                <w:lang w:eastAsia="ar-SA"/>
              </w:rPr>
              <w:lastRenderedPageBreak/>
              <w:t>оновленнями, виправленнями, мікрокодами та програмними образами для пристроїв систем безпеки Firepower серії 2110 через офіційний веб сайт Виробника;</w:t>
            </w:r>
          </w:p>
          <w:p w14:paraId="4649A270"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w:t>
            </w:r>
            <w:r w:rsidRPr="002B5F85">
              <w:rPr>
                <w:noProof/>
                <w:sz w:val="22"/>
                <w:szCs w:val="22"/>
                <w:lang w:eastAsia="ar-SA"/>
              </w:rPr>
              <w:tab/>
              <w:t>надання Замовнику цілодобового (24x7) авторизованого доступу до онлайн бази знань, технічної документації, інструментів підтримки та порталу виробника для керування сервісними запитами.</w:t>
            </w:r>
          </w:p>
          <w:p w14:paraId="11E98CA4"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w:t>
            </w:r>
            <w:r w:rsidRPr="002B5F85">
              <w:rPr>
                <w:noProof/>
                <w:sz w:val="22"/>
                <w:szCs w:val="22"/>
                <w:lang w:eastAsia="ar-SA"/>
              </w:rPr>
              <w:tab/>
              <w:t>забезпечення послуги з апаратної заміни обладнання/запчастин пристроїв систем безпеки Firepower серії 2110 з рівнем сервісу 8х5xNBD (8 годин на день, 5 днів на тиждень, на наступний робочий день) з моменту прийняття рішення про необхідність заміни.</w:t>
            </w:r>
          </w:p>
          <w:p w14:paraId="47C51CE9"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ab/>
              <w:t>Послуга з передачі сервісного пакету для пристроїв Firepower серії 2110 передбачається для наявних в Замовника пристроїв систем безпеки, а саме:</w:t>
            </w:r>
          </w:p>
          <w:p w14:paraId="6FF2EC5C"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w:t>
            </w:r>
            <w:r w:rsidRPr="002B5F85">
              <w:rPr>
                <w:noProof/>
                <w:sz w:val="22"/>
                <w:szCs w:val="22"/>
                <w:lang w:eastAsia="ar-SA"/>
              </w:rPr>
              <w:tab/>
              <w:t xml:space="preserve">міжмережевий екран Cisco Firepower 2110 NGFW,  Appliance FPR2110-NGFW-K9, S/N JMX2209Y05X; </w:t>
            </w:r>
          </w:p>
          <w:p w14:paraId="55627DD5"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w:t>
            </w:r>
            <w:r w:rsidRPr="002B5F85">
              <w:rPr>
                <w:noProof/>
                <w:sz w:val="22"/>
                <w:szCs w:val="22"/>
                <w:lang w:eastAsia="ar-SA"/>
              </w:rPr>
              <w:tab/>
              <w:t>міжмережевий екран Cisco Firepower 2110 NGFW,  Appliance FPR2110-NGFW-K9, S/N JMX2209Y06B.</w:t>
            </w:r>
          </w:p>
        </w:tc>
      </w:tr>
      <w:tr w:rsidR="00985D22" w:rsidRPr="002B5F85" w14:paraId="46748D2E" w14:textId="77777777" w:rsidTr="00985D22">
        <w:tc>
          <w:tcPr>
            <w:tcW w:w="567" w:type="dxa"/>
            <w:tcMar>
              <w:top w:w="30" w:type="dxa"/>
              <w:left w:w="60" w:type="dxa"/>
              <w:bottom w:w="30" w:type="dxa"/>
              <w:right w:w="30" w:type="dxa"/>
            </w:tcMar>
          </w:tcPr>
          <w:p w14:paraId="229E72BE" w14:textId="77777777" w:rsidR="00985D22" w:rsidRPr="002B5F85" w:rsidRDefault="00985D22" w:rsidP="00444701">
            <w:pPr>
              <w:suppressAutoHyphens/>
              <w:rPr>
                <w:noProof/>
                <w:sz w:val="22"/>
                <w:szCs w:val="22"/>
              </w:rPr>
            </w:pPr>
            <w:r w:rsidRPr="002B5F85">
              <w:rPr>
                <w:noProof/>
                <w:sz w:val="22"/>
                <w:szCs w:val="22"/>
              </w:rPr>
              <w:lastRenderedPageBreak/>
              <w:t>3</w:t>
            </w:r>
          </w:p>
        </w:tc>
        <w:tc>
          <w:tcPr>
            <w:tcW w:w="1779" w:type="dxa"/>
            <w:shd w:val="clear" w:color="auto" w:fill="FFFFFF" w:themeFill="background1"/>
            <w:tcMar>
              <w:top w:w="30" w:type="dxa"/>
              <w:left w:w="60" w:type="dxa"/>
              <w:bottom w:w="30" w:type="dxa"/>
              <w:right w:w="30" w:type="dxa"/>
            </w:tcMar>
          </w:tcPr>
          <w:p w14:paraId="33A4AC87" w14:textId="77777777" w:rsidR="00985D22" w:rsidRPr="002B5F85" w:rsidRDefault="00985D22" w:rsidP="00444701">
            <w:pPr>
              <w:suppressAutoHyphens/>
              <w:rPr>
                <w:bCs/>
                <w:noProof/>
                <w:kern w:val="1"/>
                <w:sz w:val="22"/>
                <w:szCs w:val="22"/>
              </w:rPr>
            </w:pPr>
            <w:r w:rsidRPr="002B5F85">
              <w:rPr>
                <w:bCs/>
                <w:noProof/>
                <w:kern w:val="1"/>
                <w:sz w:val="22"/>
                <w:szCs w:val="22"/>
              </w:rPr>
              <w:t>Послуга з передачі сервісного пакету для Cisco Firepower Management Center (FMC)</w:t>
            </w:r>
          </w:p>
        </w:tc>
        <w:tc>
          <w:tcPr>
            <w:tcW w:w="992" w:type="dxa"/>
            <w:shd w:val="clear" w:color="auto" w:fill="FFFFFF" w:themeFill="background1"/>
            <w:tcMar>
              <w:top w:w="30" w:type="dxa"/>
              <w:left w:w="60" w:type="dxa"/>
              <w:bottom w:w="30" w:type="dxa"/>
              <w:right w:w="30" w:type="dxa"/>
            </w:tcMar>
          </w:tcPr>
          <w:p w14:paraId="4F7B9826" w14:textId="77777777" w:rsidR="00985D22" w:rsidRPr="002B5F85" w:rsidRDefault="00985D22" w:rsidP="00444701">
            <w:pPr>
              <w:jc w:val="center"/>
              <w:rPr>
                <w:noProof/>
                <w:sz w:val="22"/>
                <w:szCs w:val="22"/>
              </w:rPr>
            </w:pPr>
            <w:r w:rsidRPr="002B5F85">
              <w:rPr>
                <w:noProof/>
                <w:sz w:val="22"/>
                <w:szCs w:val="22"/>
              </w:rPr>
              <w:t xml:space="preserve">послуга </w:t>
            </w:r>
          </w:p>
        </w:tc>
        <w:tc>
          <w:tcPr>
            <w:tcW w:w="709" w:type="dxa"/>
            <w:shd w:val="clear" w:color="auto" w:fill="FFFFFF" w:themeFill="background1"/>
            <w:tcMar>
              <w:top w:w="30" w:type="dxa"/>
              <w:left w:w="60" w:type="dxa"/>
              <w:bottom w:w="30" w:type="dxa"/>
              <w:right w:w="30" w:type="dxa"/>
            </w:tcMar>
          </w:tcPr>
          <w:p w14:paraId="5388D33A" w14:textId="77777777" w:rsidR="00985D22" w:rsidRPr="002B5F85" w:rsidRDefault="00985D22" w:rsidP="00444701">
            <w:pPr>
              <w:jc w:val="center"/>
              <w:rPr>
                <w:noProof/>
                <w:sz w:val="22"/>
                <w:szCs w:val="22"/>
              </w:rPr>
            </w:pPr>
            <w:r w:rsidRPr="002B5F85">
              <w:rPr>
                <w:noProof/>
                <w:sz w:val="22"/>
                <w:szCs w:val="22"/>
              </w:rPr>
              <w:t>1</w:t>
            </w:r>
          </w:p>
        </w:tc>
        <w:tc>
          <w:tcPr>
            <w:tcW w:w="6237" w:type="dxa"/>
            <w:tcMar>
              <w:top w:w="30" w:type="dxa"/>
              <w:left w:w="60" w:type="dxa"/>
              <w:bottom w:w="30" w:type="dxa"/>
              <w:right w:w="30" w:type="dxa"/>
            </w:tcMar>
          </w:tcPr>
          <w:p w14:paraId="431C47B7" w14:textId="77777777" w:rsidR="00985D22" w:rsidRPr="002B5F85" w:rsidRDefault="00985D22" w:rsidP="00444701">
            <w:pPr>
              <w:suppressAutoHyphens/>
              <w:ind w:right="119"/>
              <w:jc w:val="both"/>
              <w:rPr>
                <w:bCs/>
                <w:noProof/>
                <w:kern w:val="1"/>
                <w:sz w:val="22"/>
                <w:szCs w:val="22"/>
              </w:rPr>
            </w:pPr>
            <w:r w:rsidRPr="002B5F85">
              <w:rPr>
                <w:bCs/>
                <w:noProof/>
                <w:kern w:val="1"/>
                <w:sz w:val="22"/>
                <w:szCs w:val="22"/>
              </w:rPr>
              <w:t>Послуга з надання ліцензії та сервісного пакету для Cisco Firepower Management Center (FMC) включає в себе:</w:t>
            </w:r>
          </w:p>
          <w:p w14:paraId="2EF803AF" w14:textId="77777777" w:rsidR="00985D22" w:rsidRPr="002B5F85" w:rsidRDefault="00985D22" w:rsidP="00985D22">
            <w:pPr>
              <w:numPr>
                <w:ilvl w:val="0"/>
                <w:numId w:val="33"/>
              </w:numPr>
              <w:suppressAutoHyphens/>
              <w:spacing w:after="160" w:line="259" w:lineRule="auto"/>
              <w:ind w:left="38" w:right="119" w:firstLine="0"/>
              <w:contextualSpacing/>
              <w:jc w:val="both"/>
              <w:rPr>
                <w:b/>
                <w:noProof/>
                <w:sz w:val="22"/>
                <w:szCs w:val="22"/>
                <w:lang w:eastAsia="ar-SA"/>
              </w:rPr>
            </w:pPr>
            <w:r w:rsidRPr="002B5F85">
              <w:rPr>
                <w:noProof/>
                <w:sz w:val="22"/>
                <w:szCs w:val="22"/>
                <w:lang w:eastAsia="ar-SA"/>
              </w:rPr>
              <w:t xml:space="preserve">надання Замовнику ліцензії на використання </w:t>
            </w:r>
            <w:r w:rsidRPr="002B5F85">
              <w:rPr>
                <w:bCs/>
                <w:noProof/>
                <w:kern w:val="1"/>
                <w:sz w:val="22"/>
                <w:szCs w:val="22"/>
              </w:rPr>
              <w:t>Cisco Firepower Management Center</w:t>
            </w:r>
            <w:r w:rsidRPr="002B5F85">
              <w:rPr>
                <w:noProof/>
                <w:sz w:val="22"/>
                <w:szCs w:val="22"/>
                <w:lang w:eastAsia="ar-SA"/>
              </w:rPr>
              <w:t xml:space="preserve"> в віртуальному середовищі (VMware ESXi) для забезпечення централізованого керування пристроями Cisco Firepower серії 2110 в кількості </w:t>
            </w:r>
            <w:r w:rsidRPr="007F1834">
              <w:rPr>
                <w:bCs/>
                <w:i/>
                <w:noProof/>
                <w:color w:val="0000FF"/>
                <w:sz w:val="22"/>
                <w:szCs w:val="22"/>
                <w:lang w:eastAsia="ar-SA"/>
              </w:rPr>
              <w:t>не менше</w:t>
            </w:r>
            <w:r w:rsidRPr="007F1834">
              <w:rPr>
                <w:b/>
                <w:noProof/>
                <w:color w:val="0000FF"/>
                <w:sz w:val="22"/>
                <w:szCs w:val="22"/>
                <w:lang w:eastAsia="ar-SA"/>
              </w:rPr>
              <w:t xml:space="preserve"> </w:t>
            </w:r>
            <w:r w:rsidRPr="002B5F85">
              <w:rPr>
                <w:noProof/>
                <w:sz w:val="22"/>
                <w:szCs w:val="22"/>
                <w:lang w:eastAsia="ar-SA"/>
              </w:rPr>
              <w:t>2 шт.</w:t>
            </w:r>
          </w:p>
          <w:p w14:paraId="7BB21FFF" w14:textId="77777777" w:rsidR="00985D22" w:rsidRPr="002B5F85" w:rsidRDefault="00985D22" w:rsidP="00985D22">
            <w:pPr>
              <w:numPr>
                <w:ilvl w:val="0"/>
                <w:numId w:val="33"/>
              </w:numPr>
              <w:suppressAutoHyphens/>
              <w:spacing w:after="160" w:line="259" w:lineRule="auto"/>
              <w:ind w:left="38" w:right="119" w:firstLine="0"/>
              <w:contextualSpacing/>
              <w:jc w:val="both"/>
              <w:rPr>
                <w:noProof/>
                <w:sz w:val="22"/>
                <w:szCs w:val="22"/>
                <w:lang w:eastAsia="ar-SA"/>
              </w:rPr>
            </w:pPr>
            <w:r w:rsidRPr="002B5F85">
              <w:rPr>
                <w:noProof/>
                <w:sz w:val="22"/>
                <w:szCs w:val="22"/>
                <w:lang w:eastAsia="ar-SA"/>
              </w:rPr>
              <w:t xml:space="preserve">надання ліцензії з повним функціоналом </w:t>
            </w:r>
            <w:r w:rsidRPr="002B5F85">
              <w:rPr>
                <w:bCs/>
                <w:noProof/>
                <w:sz w:val="22"/>
                <w:szCs w:val="22"/>
                <w:lang w:eastAsia="ar-SA"/>
              </w:rPr>
              <w:t>Cisco Firepower Management Center</w:t>
            </w:r>
            <w:r w:rsidRPr="002B5F85">
              <w:rPr>
                <w:noProof/>
                <w:sz w:val="22"/>
                <w:szCs w:val="22"/>
                <w:lang w:eastAsia="ar-SA"/>
              </w:rPr>
              <w:t>, необхідним для централізованої політики безпеки, логування, кореляції подій, оновлень, аналізу загроз та управління платформою Cisco Firepower серії 2110.</w:t>
            </w:r>
          </w:p>
          <w:p w14:paraId="7B826827" w14:textId="77777777" w:rsidR="00985D22" w:rsidRPr="00C3271D" w:rsidRDefault="00985D22" w:rsidP="00985D22">
            <w:pPr>
              <w:numPr>
                <w:ilvl w:val="0"/>
                <w:numId w:val="33"/>
              </w:numPr>
              <w:suppressAutoHyphens/>
              <w:spacing w:after="160" w:line="259" w:lineRule="auto"/>
              <w:ind w:left="38" w:right="119" w:firstLine="0"/>
              <w:contextualSpacing/>
              <w:jc w:val="both"/>
              <w:rPr>
                <w:noProof/>
                <w:sz w:val="22"/>
                <w:szCs w:val="22"/>
                <w:lang w:eastAsia="ar-SA"/>
              </w:rPr>
            </w:pPr>
            <w:r w:rsidRPr="002B5F85">
              <w:rPr>
                <w:noProof/>
                <w:sz w:val="22"/>
                <w:szCs w:val="22"/>
                <w:lang w:eastAsia="ar-SA"/>
              </w:rPr>
              <w:t xml:space="preserve">надання ліцензії для </w:t>
            </w:r>
            <w:r w:rsidRPr="002B5F85">
              <w:rPr>
                <w:bCs/>
                <w:noProof/>
                <w:kern w:val="1"/>
                <w:sz w:val="22"/>
                <w:szCs w:val="22"/>
              </w:rPr>
              <w:t xml:space="preserve">Cisco </w:t>
            </w:r>
            <w:r w:rsidRPr="00C3271D">
              <w:rPr>
                <w:bCs/>
                <w:noProof/>
                <w:kern w:val="1"/>
                <w:sz w:val="22"/>
                <w:szCs w:val="22"/>
              </w:rPr>
              <w:t>Firepower Management Center</w:t>
            </w:r>
            <w:r w:rsidRPr="00C3271D">
              <w:rPr>
                <w:noProof/>
                <w:sz w:val="22"/>
                <w:szCs w:val="22"/>
                <w:lang w:eastAsia="ar-SA"/>
              </w:rPr>
              <w:t>, сумісної з віртуалізацією VMware ESXi версії 5.1 та вище.</w:t>
            </w:r>
          </w:p>
          <w:p w14:paraId="54E29D5F" w14:textId="77777777" w:rsidR="00985D22" w:rsidRPr="002B5F85" w:rsidRDefault="00985D22" w:rsidP="00985D22">
            <w:pPr>
              <w:numPr>
                <w:ilvl w:val="0"/>
                <w:numId w:val="33"/>
              </w:numPr>
              <w:spacing w:after="160" w:line="259" w:lineRule="auto"/>
              <w:ind w:left="38" w:firstLine="0"/>
              <w:contextualSpacing/>
              <w:rPr>
                <w:noProof/>
                <w:sz w:val="22"/>
                <w:szCs w:val="22"/>
                <w:lang w:eastAsia="ar-SA"/>
              </w:rPr>
            </w:pPr>
            <w:r w:rsidRPr="002B5F85">
              <w:rPr>
                <w:noProof/>
                <w:sz w:val="22"/>
                <w:szCs w:val="22"/>
                <w:lang w:eastAsia="ar-SA"/>
              </w:rPr>
              <w:t>надання</w:t>
            </w:r>
            <w:r w:rsidRPr="002B5F85">
              <w:rPr>
                <w:bCs/>
                <w:noProof/>
                <w:kern w:val="1"/>
                <w:sz w:val="22"/>
                <w:szCs w:val="22"/>
              </w:rPr>
              <w:t xml:space="preserve"> </w:t>
            </w:r>
            <w:r w:rsidRPr="002B5F85">
              <w:rPr>
                <w:bCs/>
                <w:noProof/>
                <w:sz w:val="22"/>
                <w:szCs w:val="22"/>
                <w:lang w:eastAsia="ar-SA"/>
              </w:rPr>
              <w:t>сервісного пакету</w:t>
            </w:r>
            <w:r w:rsidRPr="002B5F85">
              <w:rPr>
                <w:noProof/>
                <w:sz w:val="22"/>
                <w:szCs w:val="22"/>
                <w:lang w:eastAsia="ar-SA"/>
              </w:rPr>
              <w:t xml:space="preserve"> на 12 місяців з наступними вимогами:</w:t>
            </w:r>
          </w:p>
          <w:p w14:paraId="14BC336F" w14:textId="77777777" w:rsidR="00985D22" w:rsidRPr="002B5F85" w:rsidRDefault="00985D22" w:rsidP="00985D22">
            <w:pPr>
              <w:numPr>
                <w:ilvl w:val="0"/>
                <w:numId w:val="34"/>
              </w:numPr>
              <w:spacing w:after="160" w:line="259" w:lineRule="auto"/>
              <w:ind w:left="657" w:hanging="284"/>
              <w:contextualSpacing/>
              <w:rPr>
                <w:noProof/>
                <w:sz w:val="22"/>
                <w:szCs w:val="22"/>
                <w:lang w:eastAsia="ar-SA"/>
              </w:rPr>
            </w:pPr>
            <w:r w:rsidRPr="002B5F85">
              <w:rPr>
                <w:noProof/>
                <w:sz w:val="22"/>
                <w:szCs w:val="22"/>
                <w:lang w:eastAsia="ar-SA"/>
              </w:rPr>
              <w:t>забезпечення постійного цілодобового (24x7х365) доступу до Центру Технічної Підтримки (Cisco TAC) за телефоном, e‑mail або через веб‑портал для консультацій та вирішення інцидентів, що стосуються роботи FMC, інтеграції з Firepower/FTD та функціональних можливостей системи;</w:t>
            </w:r>
          </w:p>
          <w:p w14:paraId="130DEEB6" w14:textId="77777777" w:rsidR="00985D22" w:rsidRPr="002B5F85" w:rsidRDefault="00985D22" w:rsidP="00985D22">
            <w:pPr>
              <w:numPr>
                <w:ilvl w:val="0"/>
                <w:numId w:val="34"/>
              </w:numPr>
              <w:spacing w:after="160" w:line="259" w:lineRule="auto"/>
              <w:ind w:left="657" w:hanging="284"/>
              <w:contextualSpacing/>
              <w:rPr>
                <w:noProof/>
                <w:sz w:val="22"/>
                <w:szCs w:val="22"/>
                <w:lang w:eastAsia="ar-SA"/>
              </w:rPr>
            </w:pPr>
            <w:r w:rsidRPr="002B5F85">
              <w:rPr>
                <w:noProof/>
                <w:sz w:val="22"/>
                <w:szCs w:val="22"/>
                <w:lang w:eastAsia="ar-SA"/>
              </w:rPr>
              <w:t>надання Замовнику права на отримання основних та проміжних релізів програмного забезпечення FMC через офіційний веб сайт Виробника.</w:t>
            </w:r>
          </w:p>
          <w:p w14:paraId="188B773D" w14:textId="77777777" w:rsidR="00985D22" w:rsidRPr="002B5F85" w:rsidRDefault="00985D22" w:rsidP="00985D22">
            <w:pPr>
              <w:numPr>
                <w:ilvl w:val="0"/>
                <w:numId w:val="34"/>
              </w:numPr>
              <w:spacing w:after="160" w:line="259" w:lineRule="auto"/>
              <w:ind w:left="657" w:hanging="284"/>
              <w:contextualSpacing/>
              <w:rPr>
                <w:noProof/>
                <w:sz w:val="22"/>
                <w:szCs w:val="22"/>
                <w:lang w:eastAsia="ar-SA"/>
              </w:rPr>
            </w:pPr>
            <w:r w:rsidRPr="002B5F85">
              <w:rPr>
                <w:noProof/>
                <w:sz w:val="22"/>
                <w:szCs w:val="22"/>
                <w:lang w:eastAsia="ar-SA"/>
              </w:rPr>
              <w:t>доступ до оновлень системних компонентів, сигнатур загроз (Snort, Vulnerability DB), системних патчів та оновлень безпеки.;</w:t>
            </w:r>
          </w:p>
          <w:p w14:paraId="396A1EB3" w14:textId="77777777" w:rsidR="00985D22" w:rsidRPr="002B5F85" w:rsidRDefault="00985D22" w:rsidP="00985D22">
            <w:pPr>
              <w:numPr>
                <w:ilvl w:val="0"/>
                <w:numId w:val="34"/>
              </w:numPr>
              <w:suppressAutoHyphens/>
              <w:spacing w:after="160" w:line="259" w:lineRule="auto"/>
              <w:ind w:left="657" w:right="119" w:hanging="284"/>
              <w:contextualSpacing/>
              <w:jc w:val="both"/>
              <w:rPr>
                <w:noProof/>
                <w:sz w:val="22"/>
                <w:szCs w:val="22"/>
                <w:lang w:eastAsia="ar-SA"/>
              </w:rPr>
            </w:pPr>
            <w:r w:rsidRPr="002B5F85">
              <w:rPr>
                <w:noProof/>
                <w:sz w:val="22"/>
                <w:szCs w:val="22"/>
                <w:lang w:eastAsia="ar-SA"/>
              </w:rPr>
              <w:t>надання Замовнику ц</w:t>
            </w:r>
            <w:r w:rsidRPr="002B5F85">
              <w:rPr>
                <w:bCs/>
                <w:noProof/>
                <w:sz w:val="22"/>
                <w:szCs w:val="22"/>
                <w:lang w:eastAsia="ar-SA"/>
              </w:rPr>
              <w:t>ілодобового (24x7) авторизованого доступу до онлайн</w:t>
            </w:r>
            <w:r w:rsidRPr="002B5F85">
              <w:rPr>
                <w:bCs/>
                <w:noProof/>
                <w:sz w:val="22"/>
                <w:szCs w:val="22"/>
                <w:lang w:eastAsia="ar-SA"/>
              </w:rPr>
              <w:noBreakHyphen/>
              <w:t>бази знань</w:t>
            </w:r>
            <w:r w:rsidRPr="002B5F85">
              <w:rPr>
                <w:noProof/>
                <w:sz w:val="22"/>
                <w:szCs w:val="22"/>
                <w:lang w:eastAsia="ar-SA"/>
              </w:rPr>
              <w:t>, технічної документації, інструментів підтримки та порталу виробника для керування сервісними запитами.</w:t>
            </w:r>
          </w:p>
          <w:p w14:paraId="37289411" w14:textId="77777777" w:rsidR="00985D22" w:rsidRPr="002B5F85" w:rsidRDefault="00985D22" w:rsidP="00444701">
            <w:pPr>
              <w:suppressAutoHyphens/>
              <w:ind w:right="119"/>
              <w:jc w:val="both"/>
              <w:rPr>
                <w:noProof/>
                <w:sz w:val="22"/>
                <w:szCs w:val="22"/>
                <w:lang w:eastAsia="ar-SA"/>
              </w:rPr>
            </w:pPr>
            <w:r w:rsidRPr="002B5F85">
              <w:rPr>
                <w:bCs/>
                <w:noProof/>
                <w:kern w:val="1"/>
                <w:sz w:val="22"/>
                <w:szCs w:val="22"/>
              </w:rPr>
              <w:lastRenderedPageBreak/>
              <w:t>Послуга з надання ліцензії та сервісного пакету Cisco Firepower Management Center (VMware)</w:t>
            </w:r>
            <w:r w:rsidRPr="002B5F85">
              <w:rPr>
                <w:noProof/>
                <w:sz w:val="22"/>
                <w:szCs w:val="22"/>
                <w:lang w:eastAsia="ar-SA"/>
              </w:rPr>
              <w:t xml:space="preserve"> передбачається для керування наявними в Замовника пристроями систем безпеки, а саме:</w:t>
            </w:r>
          </w:p>
          <w:p w14:paraId="2AC51E41"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w:t>
            </w:r>
            <w:r w:rsidRPr="002B5F85">
              <w:rPr>
                <w:noProof/>
                <w:sz w:val="22"/>
                <w:szCs w:val="22"/>
                <w:lang w:eastAsia="ar-SA"/>
              </w:rPr>
              <w:tab/>
              <w:t xml:space="preserve">міжмережевий екран Cisco Firepower 2110 NGFW,  Appliance FPR2110-NGFW-K9, S/N JMX2209Y05X; </w:t>
            </w:r>
          </w:p>
          <w:p w14:paraId="6726616D" w14:textId="77777777" w:rsidR="00985D22" w:rsidRPr="002B5F85" w:rsidRDefault="00985D22" w:rsidP="00444701">
            <w:pPr>
              <w:suppressAutoHyphens/>
              <w:ind w:right="119"/>
              <w:jc w:val="both"/>
              <w:rPr>
                <w:noProof/>
                <w:sz w:val="22"/>
                <w:szCs w:val="22"/>
                <w:lang w:eastAsia="ar-SA"/>
              </w:rPr>
            </w:pPr>
            <w:r w:rsidRPr="002B5F85">
              <w:rPr>
                <w:noProof/>
                <w:sz w:val="22"/>
                <w:szCs w:val="22"/>
                <w:lang w:eastAsia="ar-SA"/>
              </w:rPr>
              <w:t>•</w:t>
            </w:r>
            <w:r w:rsidRPr="002B5F85">
              <w:rPr>
                <w:noProof/>
                <w:sz w:val="22"/>
                <w:szCs w:val="22"/>
                <w:lang w:eastAsia="ar-SA"/>
              </w:rPr>
              <w:tab/>
              <w:t>міжмережевий екран Cisco Firepower 2110 NGFW,  Appliance FPR2110-NGFW-K9, S/N JMX2209Y06B.</w:t>
            </w:r>
          </w:p>
        </w:tc>
      </w:tr>
      <w:tr w:rsidR="00985D22" w:rsidRPr="002B5F85" w14:paraId="3FBE659D" w14:textId="77777777" w:rsidTr="00985D22">
        <w:tc>
          <w:tcPr>
            <w:tcW w:w="567" w:type="dxa"/>
            <w:tcMar>
              <w:top w:w="30" w:type="dxa"/>
              <w:left w:w="60" w:type="dxa"/>
              <w:bottom w:w="30" w:type="dxa"/>
              <w:right w:w="30" w:type="dxa"/>
            </w:tcMar>
          </w:tcPr>
          <w:p w14:paraId="0058FDD9" w14:textId="77777777" w:rsidR="00985D22" w:rsidRPr="002B5F85" w:rsidRDefault="00985D22" w:rsidP="00444701">
            <w:pPr>
              <w:suppressAutoHyphens/>
              <w:rPr>
                <w:noProof/>
                <w:sz w:val="22"/>
                <w:szCs w:val="22"/>
              </w:rPr>
            </w:pPr>
            <w:r w:rsidRPr="002B5F85">
              <w:rPr>
                <w:noProof/>
                <w:sz w:val="22"/>
                <w:szCs w:val="22"/>
              </w:rPr>
              <w:lastRenderedPageBreak/>
              <w:t>4</w:t>
            </w:r>
          </w:p>
        </w:tc>
        <w:tc>
          <w:tcPr>
            <w:tcW w:w="1779" w:type="dxa"/>
            <w:tcMar>
              <w:top w:w="30" w:type="dxa"/>
              <w:left w:w="60" w:type="dxa"/>
              <w:bottom w:w="30" w:type="dxa"/>
              <w:right w:w="30" w:type="dxa"/>
            </w:tcMar>
          </w:tcPr>
          <w:p w14:paraId="710F2307" w14:textId="77777777" w:rsidR="00985D22" w:rsidRPr="002B5F85" w:rsidRDefault="00985D22" w:rsidP="00444701">
            <w:pPr>
              <w:suppressAutoHyphens/>
              <w:rPr>
                <w:noProof/>
                <w:sz w:val="22"/>
                <w:szCs w:val="22"/>
              </w:rPr>
            </w:pPr>
            <w:r w:rsidRPr="002B5F85">
              <w:rPr>
                <w:noProof/>
                <w:sz w:val="22"/>
                <w:szCs w:val="22"/>
              </w:rPr>
              <w:t>Послуга з підтримки системи безпеки електронної пошти Cisco Email Security Virtual Appliance</w:t>
            </w:r>
          </w:p>
        </w:tc>
        <w:tc>
          <w:tcPr>
            <w:tcW w:w="992" w:type="dxa"/>
            <w:tcMar>
              <w:top w:w="30" w:type="dxa"/>
              <w:left w:w="60" w:type="dxa"/>
              <w:bottom w:w="30" w:type="dxa"/>
              <w:right w:w="30" w:type="dxa"/>
            </w:tcMar>
          </w:tcPr>
          <w:p w14:paraId="6CBFC265" w14:textId="77777777" w:rsidR="00985D22" w:rsidRPr="002B5F85" w:rsidRDefault="00985D22" w:rsidP="00444701">
            <w:pPr>
              <w:rPr>
                <w:noProof/>
                <w:sz w:val="22"/>
                <w:szCs w:val="22"/>
              </w:rPr>
            </w:pPr>
            <w:r w:rsidRPr="002B5F85">
              <w:rPr>
                <w:noProof/>
                <w:sz w:val="22"/>
                <w:szCs w:val="22"/>
              </w:rPr>
              <w:t>послуга</w:t>
            </w:r>
          </w:p>
        </w:tc>
        <w:tc>
          <w:tcPr>
            <w:tcW w:w="709" w:type="dxa"/>
            <w:tcMar>
              <w:top w:w="30" w:type="dxa"/>
              <w:left w:w="60" w:type="dxa"/>
              <w:bottom w:w="30" w:type="dxa"/>
              <w:right w:w="30" w:type="dxa"/>
            </w:tcMar>
          </w:tcPr>
          <w:p w14:paraId="139198DA" w14:textId="77777777" w:rsidR="00985D22" w:rsidRPr="002B5F85" w:rsidRDefault="00985D22" w:rsidP="00444701">
            <w:pPr>
              <w:suppressAutoHyphens/>
              <w:jc w:val="both"/>
              <w:rPr>
                <w:noProof/>
                <w:sz w:val="22"/>
                <w:szCs w:val="22"/>
              </w:rPr>
            </w:pPr>
            <w:r w:rsidRPr="002B5F85">
              <w:rPr>
                <w:noProof/>
                <w:sz w:val="22"/>
                <w:szCs w:val="22"/>
              </w:rPr>
              <w:t>1</w:t>
            </w:r>
          </w:p>
        </w:tc>
        <w:tc>
          <w:tcPr>
            <w:tcW w:w="6237" w:type="dxa"/>
            <w:tcMar>
              <w:top w:w="30" w:type="dxa"/>
              <w:left w:w="60" w:type="dxa"/>
              <w:bottom w:w="30" w:type="dxa"/>
              <w:right w:w="30" w:type="dxa"/>
            </w:tcMar>
          </w:tcPr>
          <w:p w14:paraId="53A195EC" w14:textId="77777777" w:rsidR="00985D22" w:rsidRPr="002B5F85" w:rsidRDefault="00985D22" w:rsidP="00444701">
            <w:pPr>
              <w:widowControl w:val="0"/>
              <w:ind w:right="117"/>
              <w:jc w:val="both"/>
              <w:rPr>
                <w:noProof/>
                <w:sz w:val="22"/>
                <w:szCs w:val="22"/>
              </w:rPr>
            </w:pPr>
            <w:r w:rsidRPr="002B5F85">
              <w:rPr>
                <w:noProof/>
                <w:sz w:val="22"/>
                <w:szCs w:val="22"/>
              </w:rPr>
              <w:t>Послуга передбачається для наявного у Замовника програмного продукту систем безпеки електронної пошти Cisco Email Security Virtual Appliance з наступними вимогами:</w:t>
            </w:r>
          </w:p>
          <w:p w14:paraId="79015772" w14:textId="77777777" w:rsidR="00985D22" w:rsidRPr="002B5F85" w:rsidRDefault="00985D22" w:rsidP="00985D22">
            <w:pPr>
              <w:widowControl w:val="0"/>
              <w:numPr>
                <w:ilvl w:val="0"/>
                <w:numId w:val="29"/>
              </w:numPr>
              <w:spacing w:after="160" w:line="259" w:lineRule="auto"/>
              <w:ind w:left="423" w:right="117" w:hanging="425"/>
              <w:contextualSpacing/>
              <w:jc w:val="both"/>
              <w:rPr>
                <w:noProof/>
                <w:sz w:val="22"/>
                <w:szCs w:val="22"/>
              </w:rPr>
            </w:pPr>
            <w:r w:rsidRPr="002B5F85">
              <w:rPr>
                <w:noProof/>
                <w:sz w:val="22"/>
                <w:szCs w:val="22"/>
              </w:rPr>
              <w:t xml:space="preserve">забезпечення обслуговування </w:t>
            </w:r>
            <w:r w:rsidRPr="007F1834">
              <w:rPr>
                <w:bCs/>
                <w:i/>
                <w:noProof/>
                <w:color w:val="0000FF"/>
                <w:sz w:val="22"/>
                <w:szCs w:val="22"/>
              </w:rPr>
              <w:t>не менше</w:t>
            </w:r>
            <w:r w:rsidRPr="007F1834">
              <w:rPr>
                <w:noProof/>
                <w:sz w:val="22"/>
                <w:szCs w:val="22"/>
              </w:rPr>
              <w:t xml:space="preserve"> </w:t>
            </w:r>
            <w:r w:rsidRPr="002B5F85">
              <w:rPr>
                <w:noProof/>
                <w:sz w:val="22"/>
                <w:szCs w:val="22"/>
              </w:rPr>
              <w:t>550 користувачів.</w:t>
            </w:r>
          </w:p>
          <w:p w14:paraId="4384B304" w14:textId="77777777" w:rsidR="00985D22" w:rsidRPr="002B5F85" w:rsidRDefault="00985D22" w:rsidP="00985D22">
            <w:pPr>
              <w:widowControl w:val="0"/>
              <w:numPr>
                <w:ilvl w:val="0"/>
                <w:numId w:val="29"/>
              </w:numPr>
              <w:spacing w:after="160" w:line="259" w:lineRule="auto"/>
              <w:ind w:left="423" w:right="117" w:hanging="425"/>
              <w:contextualSpacing/>
              <w:jc w:val="both"/>
              <w:rPr>
                <w:noProof/>
                <w:sz w:val="22"/>
                <w:szCs w:val="22"/>
              </w:rPr>
            </w:pPr>
            <w:r w:rsidRPr="002B5F85">
              <w:rPr>
                <w:noProof/>
                <w:sz w:val="22"/>
                <w:szCs w:val="22"/>
              </w:rPr>
              <w:t>забезпечення 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протягом 12 місяців.</w:t>
            </w:r>
          </w:p>
          <w:p w14:paraId="54D46B01" w14:textId="77777777" w:rsidR="00985D22" w:rsidRPr="002B5F85" w:rsidRDefault="00985D22" w:rsidP="00444701">
            <w:pPr>
              <w:suppressAutoHyphens/>
              <w:ind w:left="38"/>
              <w:contextualSpacing/>
              <w:jc w:val="both"/>
              <w:rPr>
                <w:noProof/>
                <w:sz w:val="22"/>
                <w:szCs w:val="22"/>
              </w:rPr>
            </w:pPr>
            <w:r w:rsidRPr="002B5F85">
              <w:rPr>
                <w:noProof/>
                <w:sz w:val="22"/>
                <w:szCs w:val="22"/>
              </w:rPr>
              <w:t>Послуга з підтримки системи безпеки електронної пошти Cisco Email Security Virtual Appliance включає в себе підписку Cisco Secure Email Inbound Essentials plus Malware Defense and Cisco Threat Grid на 12 місяців з наступними функціями:</w:t>
            </w:r>
          </w:p>
          <w:p w14:paraId="7419FB4C" w14:textId="77777777" w:rsidR="00985D22" w:rsidRPr="002B5F85" w:rsidRDefault="00985D22" w:rsidP="00444701">
            <w:pPr>
              <w:suppressAutoHyphens/>
              <w:ind w:left="38"/>
              <w:contextualSpacing/>
              <w:jc w:val="both"/>
              <w:rPr>
                <w:noProof/>
                <w:sz w:val="22"/>
                <w:szCs w:val="22"/>
              </w:rPr>
            </w:pPr>
            <w:r w:rsidRPr="002B5F85">
              <w:rPr>
                <w:noProof/>
                <w:sz w:val="22"/>
                <w:szCs w:val="22"/>
              </w:rPr>
              <w:t>-</w:t>
            </w:r>
            <w:r w:rsidRPr="002B5F85">
              <w:rPr>
                <w:noProof/>
                <w:sz w:val="22"/>
                <w:szCs w:val="22"/>
              </w:rPr>
              <w:tab/>
              <w:t xml:space="preserve">антиспам, репутація домену відправника та фільтрування URL-адрес. </w:t>
            </w:r>
          </w:p>
          <w:p w14:paraId="23CA8F11" w14:textId="77777777" w:rsidR="00985D22" w:rsidRPr="002B5F85" w:rsidRDefault="00985D22" w:rsidP="00444701">
            <w:pPr>
              <w:suppressAutoHyphens/>
              <w:ind w:left="38"/>
              <w:contextualSpacing/>
              <w:jc w:val="both"/>
              <w:rPr>
                <w:noProof/>
                <w:sz w:val="22"/>
                <w:szCs w:val="22"/>
              </w:rPr>
            </w:pPr>
            <w:r w:rsidRPr="002B5F85">
              <w:rPr>
                <w:noProof/>
                <w:sz w:val="22"/>
                <w:szCs w:val="22"/>
              </w:rPr>
              <w:t>-</w:t>
            </w:r>
            <w:r w:rsidRPr="002B5F85">
              <w:rPr>
                <w:noProof/>
                <w:sz w:val="22"/>
                <w:szCs w:val="22"/>
              </w:rPr>
              <w:tab/>
              <w:t xml:space="preserve">Outbrake фільтри - розпізнавання та ізоляція підозрюваних загроз, поки не буде визначено, що вони безпечні; </w:t>
            </w:r>
          </w:p>
          <w:p w14:paraId="2CDF4DC7" w14:textId="77777777" w:rsidR="00985D22" w:rsidRPr="002B5F85" w:rsidRDefault="00985D22" w:rsidP="00444701">
            <w:pPr>
              <w:suppressAutoHyphens/>
              <w:ind w:left="38"/>
              <w:contextualSpacing/>
              <w:jc w:val="both"/>
              <w:rPr>
                <w:noProof/>
                <w:sz w:val="22"/>
                <w:szCs w:val="22"/>
              </w:rPr>
            </w:pPr>
            <w:r w:rsidRPr="002B5F85">
              <w:rPr>
                <w:noProof/>
                <w:sz w:val="22"/>
                <w:szCs w:val="22"/>
              </w:rPr>
              <w:t>-</w:t>
            </w:r>
            <w:r w:rsidRPr="002B5F85">
              <w:rPr>
                <w:noProof/>
                <w:sz w:val="22"/>
                <w:szCs w:val="22"/>
              </w:rPr>
              <w:tab/>
              <w:t>захист від спуфінга за допомогою функції Forged Email Detection (FED);</w:t>
            </w:r>
          </w:p>
          <w:p w14:paraId="0DB79387" w14:textId="77777777" w:rsidR="00985D22" w:rsidRPr="002B5F85" w:rsidRDefault="00985D22" w:rsidP="00444701">
            <w:pPr>
              <w:suppressAutoHyphens/>
              <w:ind w:left="38"/>
              <w:contextualSpacing/>
              <w:jc w:val="both"/>
              <w:rPr>
                <w:noProof/>
                <w:sz w:val="22"/>
                <w:szCs w:val="22"/>
              </w:rPr>
            </w:pPr>
            <w:r w:rsidRPr="002B5F85">
              <w:rPr>
                <w:noProof/>
                <w:sz w:val="22"/>
                <w:szCs w:val="22"/>
              </w:rPr>
              <w:t>-</w:t>
            </w:r>
            <w:r w:rsidRPr="002B5F85">
              <w:rPr>
                <w:noProof/>
                <w:sz w:val="22"/>
                <w:szCs w:val="22"/>
              </w:rPr>
              <w:tab/>
              <w:t xml:space="preserve">вбудований антивірусний захист - для сканування електронної пошти; </w:t>
            </w:r>
          </w:p>
          <w:p w14:paraId="56A3596A" w14:textId="77777777" w:rsidR="00985D22" w:rsidRPr="002B5F85" w:rsidRDefault="00985D22" w:rsidP="00444701">
            <w:pPr>
              <w:suppressAutoHyphens/>
              <w:ind w:left="38"/>
              <w:contextualSpacing/>
              <w:jc w:val="both"/>
              <w:rPr>
                <w:noProof/>
                <w:sz w:val="22"/>
                <w:szCs w:val="22"/>
              </w:rPr>
            </w:pPr>
            <w:r w:rsidRPr="002B5F85">
              <w:rPr>
                <w:noProof/>
                <w:sz w:val="22"/>
                <w:szCs w:val="22"/>
              </w:rPr>
              <w:t>-</w:t>
            </w:r>
            <w:r w:rsidRPr="002B5F85">
              <w:rPr>
                <w:noProof/>
                <w:sz w:val="22"/>
                <w:szCs w:val="22"/>
              </w:rPr>
              <w:tab/>
              <w:t xml:space="preserve">виявлення загроз і реагування за допомогою функцій автоматизації; </w:t>
            </w:r>
          </w:p>
          <w:p w14:paraId="53AA1A43" w14:textId="77777777" w:rsidR="00985D22" w:rsidRPr="002B5F85" w:rsidRDefault="00985D22" w:rsidP="00444701">
            <w:pPr>
              <w:widowControl w:val="0"/>
              <w:rPr>
                <w:b/>
                <w:i/>
                <w:noProof/>
                <w:sz w:val="22"/>
                <w:szCs w:val="22"/>
              </w:rPr>
            </w:pPr>
            <w:r w:rsidRPr="002B5F85">
              <w:rPr>
                <w:noProof/>
                <w:sz w:val="22"/>
                <w:szCs w:val="22"/>
              </w:rPr>
              <w:t>-</w:t>
            </w:r>
            <w:r w:rsidRPr="002B5F85">
              <w:rPr>
                <w:noProof/>
                <w:sz w:val="22"/>
                <w:szCs w:val="22"/>
              </w:rPr>
              <w:tab/>
              <w:t>динамічний аналіз розширених загроз.</w:t>
            </w:r>
          </w:p>
        </w:tc>
      </w:tr>
      <w:tr w:rsidR="00985D22" w:rsidRPr="002B5F85" w14:paraId="64476C39" w14:textId="77777777" w:rsidTr="00985D22">
        <w:tc>
          <w:tcPr>
            <w:tcW w:w="567" w:type="dxa"/>
            <w:tcMar>
              <w:top w:w="30" w:type="dxa"/>
              <w:left w:w="60" w:type="dxa"/>
              <w:bottom w:w="30" w:type="dxa"/>
              <w:right w:w="30" w:type="dxa"/>
            </w:tcMar>
          </w:tcPr>
          <w:p w14:paraId="064D19BF" w14:textId="77777777" w:rsidR="00985D22" w:rsidRPr="002B5F85" w:rsidRDefault="00985D22" w:rsidP="00444701">
            <w:pPr>
              <w:suppressAutoHyphens/>
              <w:rPr>
                <w:noProof/>
                <w:sz w:val="22"/>
                <w:szCs w:val="22"/>
              </w:rPr>
            </w:pPr>
            <w:r w:rsidRPr="002B5F85">
              <w:rPr>
                <w:noProof/>
                <w:sz w:val="22"/>
                <w:szCs w:val="22"/>
              </w:rPr>
              <w:t>5</w:t>
            </w:r>
          </w:p>
        </w:tc>
        <w:tc>
          <w:tcPr>
            <w:tcW w:w="1779" w:type="dxa"/>
            <w:tcMar>
              <w:top w:w="30" w:type="dxa"/>
              <w:left w:w="60" w:type="dxa"/>
              <w:bottom w:w="30" w:type="dxa"/>
              <w:right w:w="30" w:type="dxa"/>
            </w:tcMar>
          </w:tcPr>
          <w:p w14:paraId="56E16277" w14:textId="77777777" w:rsidR="00985D22" w:rsidRPr="002B5F85" w:rsidRDefault="00985D22" w:rsidP="00444701">
            <w:pPr>
              <w:suppressAutoHyphens/>
              <w:rPr>
                <w:noProof/>
                <w:sz w:val="22"/>
                <w:szCs w:val="22"/>
              </w:rPr>
            </w:pPr>
            <w:r w:rsidRPr="002B5F85">
              <w:rPr>
                <w:noProof/>
                <w:sz w:val="22"/>
                <w:szCs w:val="22"/>
              </w:rPr>
              <w:t>Послуга з</w:t>
            </w:r>
          </w:p>
          <w:p w14:paraId="1F8B6445" w14:textId="77777777" w:rsidR="00985D22" w:rsidRPr="002B5F85" w:rsidRDefault="00985D22" w:rsidP="00444701">
            <w:pPr>
              <w:suppressAutoHyphens/>
              <w:rPr>
                <w:noProof/>
                <w:sz w:val="22"/>
                <w:szCs w:val="22"/>
              </w:rPr>
            </w:pPr>
            <w:r w:rsidRPr="002B5F85">
              <w:rPr>
                <w:noProof/>
                <w:sz w:val="22"/>
                <w:szCs w:val="22"/>
              </w:rPr>
              <w:t>підтримки</w:t>
            </w:r>
          </w:p>
          <w:p w14:paraId="41927A44" w14:textId="77777777" w:rsidR="00985D22" w:rsidRPr="002B5F85" w:rsidRDefault="00985D22" w:rsidP="00444701">
            <w:pPr>
              <w:suppressAutoHyphens/>
              <w:rPr>
                <w:noProof/>
                <w:sz w:val="22"/>
                <w:szCs w:val="22"/>
              </w:rPr>
            </w:pPr>
            <w:r w:rsidRPr="002B5F85">
              <w:rPr>
                <w:noProof/>
                <w:sz w:val="22"/>
                <w:szCs w:val="22"/>
              </w:rPr>
              <w:t>системи безпеки</w:t>
            </w:r>
          </w:p>
          <w:p w14:paraId="2B695C52" w14:textId="77777777" w:rsidR="00985D22" w:rsidRPr="002B5F85" w:rsidRDefault="00985D22" w:rsidP="00444701">
            <w:pPr>
              <w:suppressAutoHyphens/>
              <w:rPr>
                <w:noProof/>
                <w:sz w:val="22"/>
                <w:szCs w:val="22"/>
              </w:rPr>
            </w:pPr>
            <w:r w:rsidRPr="002B5F85">
              <w:rPr>
                <w:noProof/>
                <w:sz w:val="22"/>
                <w:szCs w:val="22"/>
              </w:rPr>
              <w:t>доступу до</w:t>
            </w:r>
          </w:p>
          <w:p w14:paraId="0407728F" w14:textId="77777777" w:rsidR="00985D22" w:rsidRPr="002B5F85" w:rsidRDefault="00985D22" w:rsidP="00444701">
            <w:pPr>
              <w:suppressAutoHyphens/>
              <w:rPr>
                <w:noProof/>
                <w:sz w:val="22"/>
                <w:szCs w:val="22"/>
              </w:rPr>
            </w:pPr>
            <w:r w:rsidRPr="002B5F85">
              <w:rPr>
                <w:noProof/>
                <w:sz w:val="22"/>
                <w:szCs w:val="22"/>
              </w:rPr>
              <w:t>мережі Cisco</w:t>
            </w:r>
          </w:p>
          <w:p w14:paraId="2CC29757" w14:textId="77777777" w:rsidR="00985D22" w:rsidRPr="002B5F85" w:rsidRDefault="00985D22" w:rsidP="00444701">
            <w:pPr>
              <w:suppressAutoHyphens/>
              <w:rPr>
                <w:noProof/>
                <w:sz w:val="22"/>
                <w:szCs w:val="22"/>
              </w:rPr>
            </w:pPr>
            <w:r w:rsidRPr="002B5F85">
              <w:rPr>
                <w:noProof/>
                <w:sz w:val="22"/>
                <w:szCs w:val="22"/>
              </w:rPr>
              <w:t>Web Security</w:t>
            </w:r>
          </w:p>
          <w:p w14:paraId="4034B1B5" w14:textId="77777777" w:rsidR="00985D22" w:rsidRPr="002B5F85" w:rsidRDefault="00985D22" w:rsidP="00444701">
            <w:pPr>
              <w:suppressAutoHyphens/>
              <w:rPr>
                <w:noProof/>
                <w:sz w:val="22"/>
                <w:szCs w:val="22"/>
              </w:rPr>
            </w:pPr>
            <w:r w:rsidRPr="002B5F85">
              <w:rPr>
                <w:noProof/>
                <w:sz w:val="22"/>
                <w:szCs w:val="22"/>
              </w:rPr>
              <w:t>Virtual</w:t>
            </w:r>
          </w:p>
          <w:p w14:paraId="40924312" w14:textId="77777777" w:rsidR="00985D22" w:rsidRPr="002B5F85" w:rsidRDefault="00985D22" w:rsidP="00444701">
            <w:pPr>
              <w:suppressAutoHyphens/>
              <w:rPr>
                <w:noProof/>
                <w:sz w:val="22"/>
                <w:szCs w:val="22"/>
              </w:rPr>
            </w:pPr>
            <w:r w:rsidRPr="002B5F85">
              <w:rPr>
                <w:noProof/>
                <w:sz w:val="22"/>
                <w:szCs w:val="22"/>
              </w:rPr>
              <w:t>Appliance</w:t>
            </w:r>
          </w:p>
        </w:tc>
        <w:tc>
          <w:tcPr>
            <w:tcW w:w="992" w:type="dxa"/>
            <w:tcMar>
              <w:top w:w="30" w:type="dxa"/>
              <w:left w:w="60" w:type="dxa"/>
              <w:bottom w:w="30" w:type="dxa"/>
              <w:right w:w="30" w:type="dxa"/>
            </w:tcMar>
          </w:tcPr>
          <w:p w14:paraId="4623ECF8" w14:textId="77777777" w:rsidR="00985D22" w:rsidRPr="002B5F85" w:rsidRDefault="00985D22" w:rsidP="00444701">
            <w:pPr>
              <w:rPr>
                <w:noProof/>
                <w:sz w:val="22"/>
                <w:szCs w:val="22"/>
              </w:rPr>
            </w:pPr>
            <w:r w:rsidRPr="002B5F85">
              <w:rPr>
                <w:noProof/>
                <w:sz w:val="22"/>
                <w:szCs w:val="22"/>
              </w:rPr>
              <w:t>послуга</w:t>
            </w:r>
          </w:p>
        </w:tc>
        <w:tc>
          <w:tcPr>
            <w:tcW w:w="709" w:type="dxa"/>
            <w:tcMar>
              <w:top w:w="30" w:type="dxa"/>
              <w:left w:w="60" w:type="dxa"/>
              <w:bottom w:w="30" w:type="dxa"/>
              <w:right w:w="30" w:type="dxa"/>
            </w:tcMar>
          </w:tcPr>
          <w:p w14:paraId="6B46C15B" w14:textId="77777777" w:rsidR="00985D22" w:rsidRPr="002B5F85" w:rsidRDefault="00985D22" w:rsidP="00444701">
            <w:pPr>
              <w:suppressAutoHyphens/>
              <w:jc w:val="both"/>
              <w:rPr>
                <w:noProof/>
                <w:sz w:val="22"/>
                <w:szCs w:val="22"/>
              </w:rPr>
            </w:pPr>
            <w:r w:rsidRPr="002B5F85">
              <w:rPr>
                <w:noProof/>
                <w:sz w:val="22"/>
                <w:szCs w:val="22"/>
              </w:rPr>
              <w:t>1</w:t>
            </w:r>
          </w:p>
        </w:tc>
        <w:tc>
          <w:tcPr>
            <w:tcW w:w="6237" w:type="dxa"/>
            <w:tcMar>
              <w:top w:w="30" w:type="dxa"/>
              <w:left w:w="60" w:type="dxa"/>
              <w:bottom w:w="30" w:type="dxa"/>
              <w:right w:w="30" w:type="dxa"/>
            </w:tcMar>
          </w:tcPr>
          <w:p w14:paraId="1474A30B" w14:textId="77777777" w:rsidR="00985D22" w:rsidRPr="002B5F85" w:rsidRDefault="00985D22" w:rsidP="00444701">
            <w:pPr>
              <w:suppressAutoHyphens/>
              <w:ind w:left="38"/>
              <w:contextualSpacing/>
              <w:jc w:val="both"/>
              <w:rPr>
                <w:noProof/>
                <w:sz w:val="22"/>
                <w:szCs w:val="22"/>
              </w:rPr>
            </w:pPr>
            <w:r w:rsidRPr="002B5F85">
              <w:rPr>
                <w:noProof/>
                <w:sz w:val="22"/>
                <w:szCs w:val="22"/>
              </w:rPr>
              <w:t>Послуга передбачається для наявного у Замовника програмного продукту системи безпеки доступу до мережі Інтернет Cisco Web Security Virtual Appliance (Cisco WSVA) з наступними вимогами:</w:t>
            </w:r>
          </w:p>
          <w:p w14:paraId="599F8E86" w14:textId="77777777" w:rsidR="00985D22" w:rsidRPr="002B5F85" w:rsidRDefault="00985D22" w:rsidP="00444701">
            <w:pPr>
              <w:suppressAutoHyphens/>
              <w:ind w:left="38"/>
              <w:contextualSpacing/>
              <w:jc w:val="both"/>
              <w:rPr>
                <w:noProof/>
                <w:sz w:val="22"/>
                <w:szCs w:val="22"/>
              </w:rPr>
            </w:pPr>
            <w:r w:rsidRPr="002B5F85">
              <w:rPr>
                <w:noProof/>
                <w:sz w:val="22"/>
                <w:szCs w:val="22"/>
              </w:rPr>
              <w:t>­</w:t>
            </w:r>
            <w:r w:rsidRPr="002B5F85">
              <w:rPr>
                <w:noProof/>
                <w:sz w:val="22"/>
                <w:szCs w:val="22"/>
              </w:rPr>
              <w:tab/>
              <w:t xml:space="preserve">забезпечення обслуговування </w:t>
            </w:r>
            <w:r w:rsidRPr="007F1834">
              <w:rPr>
                <w:bCs/>
                <w:i/>
                <w:noProof/>
                <w:color w:val="0000FF"/>
                <w:sz w:val="22"/>
                <w:szCs w:val="22"/>
              </w:rPr>
              <w:t>не менше</w:t>
            </w:r>
            <w:r w:rsidRPr="00421F5A">
              <w:rPr>
                <w:noProof/>
                <w:color w:val="0000FF"/>
                <w:sz w:val="22"/>
                <w:szCs w:val="22"/>
              </w:rPr>
              <w:t xml:space="preserve"> </w:t>
            </w:r>
            <w:r w:rsidRPr="002B5F85">
              <w:rPr>
                <w:noProof/>
                <w:sz w:val="22"/>
                <w:szCs w:val="22"/>
              </w:rPr>
              <w:t>550 користувачів.</w:t>
            </w:r>
          </w:p>
          <w:p w14:paraId="592B86FD" w14:textId="77777777" w:rsidR="00985D22" w:rsidRPr="002B5F85" w:rsidRDefault="00985D22" w:rsidP="00444701">
            <w:pPr>
              <w:suppressAutoHyphens/>
              <w:ind w:left="38"/>
              <w:contextualSpacing/>
              <w:jc w:val="both"/>
              <w:rPr>
                <w:noProof/>
                <w:sz w:val="22"/>
                <w:szCs w:val="22"/>
              </w:rPr>
            </w:pPr>
            <w:r w:rsidRPr="002B5F85">
              <w:rPr>
                <w:noProof/>
                <w:sz w:val="22"/>
                <w:szCs w:val="22"/>
              </w:rPr>
              <w:t>­</w:t>
            </w:r>
            <w:r w:rsidRPr="002B5F85">
              <w:rPr>
                <w:noProof/>
                <w:sz w:val="22"/>
                <w:szCs w:val="22"/>
              </w:rPr>
              <w:tab/>
              <w:t>забезпечення 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протягом 12 місяців.</w:t>
            </w:r>
          </w:p>
          <w:p w14:paraId="75E68FB8" w14:textId="77777777" w:rsidR="00985D22" w:rsidRPr="002B5F85" w:rsidRDefault="00985D22" w:rsidP="00444701">
            <w:pPr>
              <w:widowControl w:val="0"/>
              <w:ind w:right="117"/>
              <w:jc w:val="both"/>
              <w:rPr>
                <w:noProof/>
                <w:sz w:val="22"/>
                <w:szCs w:val="22"/>
              </w:rPr>
            </w:pPr>
            <w:r w:rsidRPr="002B5F85">
              <w:rPr>
                <w:noProof/>
                <w:sz w:val="22"/>
                <w:szCs w:val="22"/>
              </w:rPr>
              <w:t>Послуга з підтримки системи безпеки доступу до мережі Cisco Web Security Virtual Appliance включає в себе підписку рівня</w:t>
            </w:r>
            <w:r w:rsidRPr="002B5F85">
              <w:rPr>
                <w:bCs/>
                <w:noProof/>
                <w:sz w:val="22"/>
                <w:szCs w:val="22"/>
                <w:bdr w:val="none" w:sz="0" w:space="0" w:color="auto" w:frame="1"/>
                <w:shd w:val="clear" w:color="auto" w:fill="FFFFFF"/>
              </w:rPr>
              <w:t xml:space="preserve"> </w:t>
            </w:r>
            <w:r w:rsidRPr="002B5F85">
              <w:rPr>
                <w:noProof/>
                <w:sz w:val="22"/>
                <w:szCs w:val="22"/>
              </w:rPr>
              <w:t>Secure Web Appliance Essentials</w:t>
            </w:r>
            <w:r w:rsidRPr="002B5F85">
              <w:rPr>
                <w:b/>
                <w:noProof/>
                <w:sz w:val="22"/>
                <w:szCs w:val="22"/>
                <w:lang w:eastAsia="ar-SA"/>
              </w:rPr>
              <w:t xml:space="preserve"> на 12 місяців</w:t>
            </w:r>
            <w:r w:rsidRPr="002B5F85">
              <w:rPr>
                <w:noProof/>
                <w:sz w:val="22"/>
                <w:szCs w:val="22"/>
                <w:lang w:eastAsia="ar-SA"/>
              </w:rPr>
              <w:t xml:space="preserve"> з наступними функціями:</w:t>
            </w:r>
          </w:p>
          <w:p w14:paraId="292470B1" w14:textId="77777777" w:rsidR="00985D22" w:rsidRPr="002B5F85" w:rsidRDefault="00985D22" w:rsidP="00985D22">
            <w:pPr>
              <w:widowControl w:val="0"/>
              <w:numPr>
                <w:ilvl w:val="0"/>
                <w:numId w:val="28"/>
              </w:numPr>
              <w:suppressAutoHyphens/>
              <w:ind w:left="516" w:right="119" w:hanging="425"/>
              <w:contextualSpacing/>
              <w:jc w:val="both"/>
              <w:rPr>
                <w:noProof/>
                <w:sz w:val="22"/>
                <w:szCs w:val="22"/>
              </w:rPr>
            </w:pPr>
            <w:r w:rsidRPr="002B5F85">
              <w:rPr>
                <w:noProof/>
                <w:sz w:val="22"/>
                <w:szCs w:val="22"/>
              </w:rPr>
              <w:t>комплексний веб-захист за допомогою мережі виявлення загроз Cisco Talos;</w:t>
            </w:r>
          </w:p>
          <w:p w14:paraId="76041109" w14:textId="77777777" w:rsidR="00985D22" w:rsidRPr="002B5F85" w:rsidRDefault="00985D22" w:rsidP="00985D22">
            <w:pPr>
              <w:widowControl w:val="0"/>
              <w:numPr>
                <w:ilvl w:val="0"/>
                <w:numId w:val="28"/>
              </w:numPr>
              <w:suppressAutoHyphens/>
              <w:ind w:left="516" w:right="119" w:hanging="425"/>
              <w:contextualSpacing/>
              <w:jc w:val="both"/>
              <w:rPr>
                <w:noProof/>
                <w:sz w:val="22"/>
                <w:szCs w:val="22"/>
              </w:rPr>
            </w:pPr>
            <w:r w:rsidRPr="002B5F85">
              <w:rPr>
                <w:noProof/>
                <w:sz w:val="22"/>
                <w:szCs w:val="22"/>
              </w:rPr>
              <w:t>наявність функції L4 моніторингу трафіку;</w:t>
            </w:r>
          </w:p>
          <w:p w14:paraId="150E8533" w14:textId="77777777" w:rsidR="00985D22" w:rsidRPr="002B5F85" w:rsidRDefault="00985D22" w:rsidP="00985D22">
            <w:pPr>
              <w:widowControl w:val="0"/>
              <w:numPr>
                <w:ilvl w:val="0"/>
                <w:numId w:val="28"/>
              </w:numPr>
              <w:suppressAutoHyphens/>
              <w:ind w:left="516" w:right="119" w:hanging="425"/>
              <w:contextualSpacing/>
              <w:jc w:val="both"/>
              <w:rPr>
                <w:noProof/>
                <w:sz w:val="22"/>
                <w:szCs w:val="22"/>
              </w:rPr>
            </w:pPr>
            <w:r w:rsidRPr="002B5F85">
              <w:rPr>
                <w:noProof/>
                <w:color w:val="000000"/>
                <w:sz w:val="22"/>
                <w:szCs w:val="22"/>
                <w:bdr w:val="none" w:sz="0" w:space="0" w:color="auto" w:frame="1"/>
              </w:rPr>
              <w:t>видимість і контроль додатків;</w:t>
            </w:r>
          </w:p>
          <w:p w14:paraId="6918C3FA" w14:textId="77777777" w:rsidR="00985D22" w:rsidRPr="002B5F85" w:rsidRDefault="00985D22" w:rsidP="00985D22">
            <w:pPr>
              <w:widowControl w:val="0"/>
              <w:numPr>
                <w:ilvl w:val="0"/>
                <w:numId w:val="28"/>
              </w:numPr>
              <w:suppressAutoHyphens/>
              <w:ind w:left="516" w:right="119" w:hanging="425"/>
              <w:contextualSpacing/>
              <w:jc w:val="both"/>
              <w:rPr>
                <w:noProof/>
                <w:sz w:val="22"/>
                <w:szCs w:val="22"/>
              </w:rPr>
            </w:pPr>
            <w:r w:rsidRPr="002B5F85">
              <w:rPr>
                <w:noProof/>
                <w:color w:val="000000"/>
                <w:sz w:val="22"/>
                <w:szCs w:val="22"/>
                <w:bdr w:val="none" w:sz="0" w:space="0" w:color="auto" w:frame="1"/>
              </w:rPr>
              <w:t>управління політиками;</w:t>
            </w:r>
          </w:p>
          <w:p w14:paraId="76232E7A" w14:textId="77777777" w:rsidR="00985D22" w:rsidRPr="002B5F85" w:rsidRDefault="00985D22" w:rsidP="00985D22">
            <w:pPr>
              <w:widowControl w:val="0"/>
              <w:numPr>
                <w:ilvl w:val="0"/>
                <w:numId w:val="28"/>
              </w:numPr>
              <w:suppressAutoHyphens/>
              <w:ind w:left="516" w:right="119" w:hanging="425"/>
              <w:contextualSpacing/>
              <w:jc w:val="both"/>
              <w:rPr>
                <w:noProof/>
                <w:sz w:val="22"/>
                <w:szCs w:val="22"/>
              </w:rPr>
            </w:pPr>
            <w:r w:rsidRPr="002B5F85">
              <w:rPr>
                <w:noProof/>
                <w:color w:val="000000"/>
                <w:sz w:val="22"/>
                <w:szCs w:val="22"/>
                <w:shd w:val="clear" w:color="auto" w:fill="FFFFFF"/>
              </w:rPr>
              <w:t>можливість створення звітів;</w:t>
            </w:r>
          </w:p>
          <w:p w14:paraId="3EBAE44C" w14:textId="77777777" w:rsidR="00985D22" w:rsidRPr="002B5F85" w:rsidRDefault="00985D22" w:rsidP="00985D22">
            <w:pPr>
              <w:widowControl w:val="0"/>
              <w:numPr>
                <w:ilvl w:val="0"/>
                <w:numId w:val="28"/>
              </w:numPr>
              <w:suppressAutoHyphens/>
              <w:ind w:left="516" w:right="119" w:hanging="425"/>
              <w:contextualSpacing/>
              <w:jc w:val="both"/>
              <w:rPr>
                <w:noProof/>
                <w:sz w:val="22"/>
                <w:szCs w:val="22"/>
              </w:rPr>
            </w:pPr>
            <w:r w:rsidRPr="002B5F85">
              <w:rPr>
                <w:noProof/>
                <w:sz w:val="22"/>
                <w:szCs w:val="22"/>
              </w:rPr>
              <w:t xml:space="preserve">наявність URL-фільтрації. </w:t>
            </w:r>
          </w:p>
          <w:p w14:paraId="22D519B1" w14:textId="77777777" w:rsidR="00985D22" w:rsidRPr="002B5F85" w:rsidRDefault="00985D22" w:rsidP="00985D22">
            <w:pPr>
              <w:widowControl w:val="0"/>
              <w:numPr>
                <w:ilvl w:val="0"/>
                <w:numId w:val="28"/>
              </w:numPr>
              <w:suppressAutoHyphens/>
              <w:ind w:left="516" w:right="119" w:hanging="425"/>
              <w:contextualSpacing/>
              <w:jc w:val="both"/>
              <w:rPr>
                <w:b/>
                <w:i/>
                <w:noProof/>
                <w:sz w:val="22"/>
                <w:szCs w:val="22"/>
              </w:rPr>
            </w:pPr>
            <w:r w:rsidRPr="002B5F85">
              <w:rPr>
                <w:noProof/>
                <w:sz w:val="22"/>
                <w:szCs w:val="22"/>
              </w:rPr>
              <w:t xml:space="preserve">можливість інтеграції з іншими зовнішніми DLP системами для більш глибокої перевірки. </w:t>
            </w:r>
          </w:p>
        </w:tc>
      </w:tr>
    </w:tbl>
    <w:p w14:paraId="0A7298CC" w14:textId="77777777" w:rsidR="006F428D" w:rsidRPr="000C37C2" w:rsidRDefault="006F428D" w:rsidP="00A12478">
      <w:pPr>
        <w:rPr>
          <w:b/>
        </w:rPr>
      </w:pPr>
    </w:p>
    <w:p w14:paraId="4584C0BF" w14:textId="77777777" w:rsidR="00A256E7" w:rsidRPr="000C37C2" w:rsidRDefault="00A256E7" w:rsidP="00985D22">
      <w:pPr>
        <w:widowControl w:val="0"/>
        <w:autoSpaceDE w:val="0"/>
        <w:autoSpaceDN w:val="0"/>
        <w:adjustRightInd w:val="0"/>
        <w:contextualSpacing/>
        <w:jc w:val="both"/>
        <w:rPr>
          <w:color w:val="000000"/>
          <w:sz w:val="26"/>
          <w:szCs w:val="26"/>
        </w:rPr>
      </w:pPr>
    </w:p>
    <w:sectPr w:rsidR="00A256E7" w:rsidRPr="000C37C2"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FFF4" w14:textId="77777777" w:rsidR="00640070" w:rsidRPr="000C37C2" w:rsidRDefault="00640070">
      <w:r w:rsidRPr="000C37C2">
        <w:separator/>
      </w:r>
    </w:p>
  </w:endnote>
  <w:endnote w:type="continuationSeparator" w:id="0">
    <w:p w14:paraId="570907C9" w14:textId="77777777" w:rsidR="00640070" w:rsidRPr="000C37C2" w:rsidRDefault="00640070">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Arial">
    <w:altName w:val="Helvetica"/>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B3CC" w14:textId="77777777" w:rsidR="004B084B" w:rsidRDefault="004B08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491C" w14:textId="20041963" w:rsidR="00A256E7" w:rsidRPr="000C37C2" w:rsidRDefault="00B61221"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41E6000D" wp14:editId="5FFDA086">
              <wp:simplePos x="0" y="0"/>
              <wp:positionH relativeFrom="column">
                <wp:posOffset>-180340</wp:posOffset>
              </wp:positionH>
              <wp:positionV relativeFrom="paragraph">
                <wp:posOffset>7620</wp:posOffset>
              </wp:positionV>
              <wp:extent cx="6357620" cy="14605"/>
              <wp:effectExtent l="10160" t="7620" r="13970" b="6350"/>
              <wp:wrapNone/>
              <wp:docPr id="157524692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ADF64"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4B084B">
      <w:rPr>
        <w:sz w:val="20"/>
        <w:szCs w:val="20"/>
      </w:rPr>
      <w:t xml:space="preserve">Послуги для систем безпеки, код ДК 021:2015 - 72260000-5 - Послуги, пов’язані з програмним забезпеченням </w:t>
    </w:r>
  </w:p>
  <w:p w14:paraId="352C7450"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4997" w14:textId="77777777" w:rsidR="004B084B" w:rsidRDefault="004B08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5F05" w14:textId="77777777" w:rsidR="00640070" w:rsidRPr="000C37C2" w:rsidRDefault="00640070">
      <w:r w:rsidRPr="000C37C2">
        <w:separator/>
      </w:r>
    </w:p>
  </w:footnote>
  <w:footnote w:type="continuationSeparator" w:id="0">
    <w:p w14:paraId="42531A3C" w14:textId="77777777" w:rsidR="00640070" w:rsidRPr="000C37C2" w:rsidRDefault="00640070">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EFE6"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721FFCD4"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4B0E" w14:textId="2118F792" w:rsidR="002D6492" w:rsidRPr="000C37C2" w:rsidRDefault="00B61221"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3AE1F7B6" wp14:editId="31B5A8C9">
              <wp:simplePos x="0" y="0"/>
              <wp:positionH relativeFrom="column">
                <wp:posOffset>-17145</wp:posOffset>
              </wp:positionH>
              <wp:positionV relativeFrom="paragraph">
                <wp:posOffset>476885</wp:posOffset>
              </wp:positionV>
              <wp:extent cx="6329045" cy="13970"/>
              <wp:effectExtent l="11430" t="10160" r="12700" b="13970"/>
              <wp:wrapNone/>
              <wp:docPr id="18503312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0DF94"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9E8C54E" wp14:editId="0962FB71">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331B" w14:textId="686C8FB7" w:rsidR="00472235" w:rsidRPr="000C37C2" w:rsidRDefault="00B61221" w:rsidP="00472235">
    <w:r>
      <w:rPr>
        <w:noProof/>
      </w:rPr>
      <w:drawing>
        <wp:anchor distT="0" distB="0" distL="114300" distR="114300" simplePos="0" relativeHeight="251659264" behindDoc="1" locked="0" layoutInCell="1" allowOverlap="1" wp14:anchorId="2F9CCDD6" wp14:editId="154DE590">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54284F9D" w14:textId="77777777" w:rsidTr="00AF66AC">
      <w:trPr>
        <w:gridAfter w:val="1"/>
        <w:wAfter w:w="135" w:type="dxa"/>
      </w:trPr>
      <w:tc>
        <w:tcPr>
          <w:tcW w:w="3402" w:type="dxa"/>
          <w:tcBorders>
            <w:right w:val="single" w:sz="8" w:space="0" w:color="0F4761"/>
          </w:tcBorders>
        </w:tcPr>
        <w:p w14:paraId="6BA36AFF"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774CB0D2" w14:textId="77777777" w:rsidR="00472235" w:rsidRPr="000C37C2" w:rsidRDefault="00472235" w:rsidP="00472235">
          <w:r w:rsidRPr="00AF66AC">
            <w:rPr>
              <w:color w:val="2136A4"/>
              <w:sz w:val="14"/>
            </w:rPr>
            <w:t>MINISTRY FOR DEVELOPMENT OF COMMUNITIES</w:t>
          </w:r>
        </w:p>
      </w:tc>
    </w:tr>
    <w:tr w:rsidR="00472235" w:rsidRPr="000C37C2" w14:paraId="3BC21CA2" w14:textId="77777777" w:rsidTr="00AF66AC">
      <w:trPr>
        <w:gridAfter w:val="1"/>
        <w:wAfter w:w="135" w:type="dxa"/>
        <w:trHeight w:val="224"/>
      </w:trPr>
      <w:tc>
        <w:tcPr>
          <w:tcW w:w="3402" w:type="dxa"/>
          <w:tcBorders>
            <w:right w:val="single" w:sz="8" w:space="0" w:color="0F4761"/>
          </w:tcBorders>
        </w:tcPr>
        <w:p w14:paraId="29832675"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276729FA"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139EAC2E" w14:textId="77777777" w:rsidTr="00AF66AC">
      <w:trPr>
        <w:gridAfter w:val="1"/>
        <w:wAfter w:w="135" w:type="dxa"/>
      </w:trPr>
      <w:tc>
        <w:tcPr>
          <w:tcW w:w="3402" w:type="dxa"/>
          <w:tcBorders>
            <w:right w:val="single" w:sz="8" w:space="0" w:color="0F4761"/>
          </w:tcBorders>
        </w:tcPr>
        <w:p w14:paraId="20D15143"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19274C16"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451DE229" w14:textId="77777777" w:rsidTr="00AF66AC">
      <w:trPr>
        <w:gridAfter w:val="1"/>
        <w:wAfter w:w="135" w:type="dxa"/>
        <w:trHeight w:val="216"/>
      </w:trPr>
      <w:tc>
        <w:tcPr>
          <w:tcW w:w="3402" w:type="dxa"/>
          <w:tcBorders>
            <w:right w:val="single" w:sz="8" w:space="0" w:color="0F4761"/>
          </w:tcBorders>
        </w:tcPr>
        <w:p w14:paraId="49401F6D"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3C0273B6"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110D1969" w14:textId="77777777" w:rsidTr="00AF66AC">
      <w:trPr>
        <w:gridAfter w:val="1"/>
        <w:wAfter w:w="135" w:type="dxa"/>
      </w:trPr>
      <w:tc>
        <w:tcPr>
          <w:tcW w:w="3402" w:type="dxa"/>
          <w:tcBorders>
            <w:right w:val="single" w:sz="8" w:space="0" w:color="0F4761"/>
          </w:tcBorders>
        </w:tcPr>
        <w:p w14:paraId="267A1EF4"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6024B3C"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2B7E9C4A" w14:textId="77777777" w:rsidTr="00AF66AC">
      <w:trPr>
        <w:gridAfter w:val="1"/>
        <w:wAfter w:w="135" w:type="dxa"/>
        <w:trHeight w:val="207"/>
      </w:trPr>
      <w:tc>
        <w:tcPr>
          <w:tcW w:w="3402" w:type="dxa"/>
          <w:tcBorders>
            <w:right w:val="single" w:sz="8" w:space="0" w:color="0F4761"/>
          </w:tcBorders>
        </w:tcPr>
        <w:p w14:paraId="3E94981A"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659BF7CF"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7FAB4971" w14:textId="77777777" w:rsidTr="00AF66AC">
      <w:tc>
        <w:tcPr>
          <w:tcW w:w="6378" w:type="dxa"/>
          <w:gridSpan w:val="3"/>
        </w:tcPr>
        <w:p w14:paraId="333E7F6D"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537D7F32" w14:textId="77777777" w:rsidTr="00AF66AC">
      <w:tc>
        <w:tcPr>
          <w:tcW w:w="6378" w:type="dxa"/>
          <w:gridSpan w:val="3"/>
        </w:tcPr>
        <w:p w14:paraId="692D73E0"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0FC35416"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10858BA4" w14:textId="178E2A79" w:rsidR="000F2F0F" w:rsidRPr="000C37C2" w:rsidRDefault="00B61221">
    <w:pPr>
      <w:pStyle w:val="aa"/>
    </w:pPr>
    <w:r>
      <w:rPr>
        <w:noProof/>
      </w:rPr>
      <mc:AlternateContent>
        <mc:Choice Requires="wps">
          <w:drawing>
            <wp:anchor distT="4294967295" distB="4294967295" distL="114300" distR="114300" simplePos="0" relativeHeight="251658240" behindDoc="0" locked="0" layoutInCell="1" allowOverlap="1" wp14:anchorId="2D915FCA" wp14:editId="54FD6164">
              <wp:simplePos x="0" y="0"/>
              <wp:positionH relativeFrom="page">
                <wp:align>center</wp:align>
              </wp:positionH>
              <wp:positionV relativeFrom="paragraph">
                <wp:posOffset>25399</wp:posOffset>
              </wp:positionV>
              <wp:extent cx="7315200" cy="0"/>
              <wp:effectExtent l="0" t="0" r="0" b="0"/>
              <wp:wrapNone/>
              <wp:docPr id="537842610"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4B9784"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7CD3D80"/>
    <w:multiLevelType w:val="hybridMultilevel"/>
    <w:tmpl w:val="FFFFFFFF"/>
    <w:lvl w:ilvl="0" w:tplc="2F1829F2">
      <w:start w:val="1"/>
      <w:numFmt w:val="bullet"/>
      <w:lvlText w:val=""/>
      <w:lvlJc w:val="left"/>
      <w:pPr>
        <w:ind w:left="720" w:hanging="360"/>
      </w:pPr>
      <w:rPr>
        <w:rFonts w:ascii="Symbol" w:hAnsi="Symbol" w:hint="default"/>
        <w:sz w:val="16"/>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BF3650"/>
    <w:multiLevelType w:val="hybridMultilevel"/>
    <w:tmpl w:val="FFFFFFFF"/>
    <w:lvl w:ilvl="0" w:tplc="F614FC34">
      <w:numFmt w:val="bullet"/>
      <w:lvlText w:val="-"/>
      <w:lvlJc w:val="left"/>
      <w:pPr>
        <w:ind w:left="720" w:hanging="360"/>
      </w:pPr>
      <w:rPr>
        <w:rFonts w:ascii="Times New Roman" w:eastAsia="Times New Roman" w:hAnsi="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BAF75A1"/>
    <w:multiLevelType w:val="hybridMultilevel"/>
    <w:tmpl w:val="FFFFFFFF"/>
    <w:lvl w:ilvl="0" w:tplc="0B0631A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FA5DE2"/>
    <w:multiLevelType w:val="hybridMultilevel"/>
    <w:tmpl w:val="FFFFFFFF"/>
    <w:lvl w:ilvl="0" w:tplc="E626C09E">
      <w:numFmt w:val="bullet"/>
      <w:lvlText w:val="•"/>
      <w:lvlJc w:val="left"/>
      <w:pPr>
        <w:ind w:left="860" w:hanging="360"/>
      </w:pPr>
      <w:rPr>
        <w:rFonts w:ascii="Times New Roman" w:eastAsia="Times New Roman" w:hAnsi="Times New Roman" w:hint="default"/>
      </w:rPr>
    </w:lvl>
    <w:lvl w:ilvl="1" w:tplc="04220003" w:tentative="1">
      <w:start w:val="1"/>
      <w:numFmt w:val="bullet"/>
      <w:lvlText w:val="o"/>
      <w:lvlJc w:val="left"/>
      <w:pPr>
        <w:ind w:left="1580" w:hanging="360"/>
      </w:pPr>
      <w:rPr>
        <w:rFonts w:ascii="Courier New" w:hAnsi="Courier New" w:hint="default"/>
      </w:rPr>
    </w:lvl>
    <w:lvl w:ilvl="2" w:tplc="04220005" w:tentative="1">
      <w:start w:val="1"/>
      <w:numFmt w:val="bullet"/>
      <w:lvlText w:val=""/>
      <w:lvlJc w:val="left"/>
      <w:pPr>
        <w:ind w:left="2300" w:hanging="360"/>
      </w:pPr>
      <w:rPr>
        <w:rFonts w:ascii="Wingdings" w:hAnsi="Wingdings" w:hint="default"/>
      </w:rPr>
    </w:lvl>
    <w:lvl w:ilvl="3" w:tplc="04220001" w:tentative="1">
      <w:start w:val="1"/>
      <w:numFmt w:val="bullet"/>
      <w:lvlText w:val=""/>
      <w:lvlJc w:val="left"/>
      <w:pPr>
        <w:ind w:left="3020" w:hanging="360"/>
      </w:pPr>
      <w:rPr>
        <w:rFonts w:ascii="Symbol" w:hAnsi="Symbol" w:hint="default"/>
      </w:rPr>
    </w:lvl>
    <w:lvl w:ilvl="4" w:tplc="04220003" w:tentative="1">
      <w:start w:val="1"/>
      <w:numFmt w:val="bullet"/>
      <w:lvlText w:val="o"/>
      <w:lvlJc w:val="left"/>
      <w:pPr>
        <w:ind w:left="3740" w:hanging="360"/>
      </w:pPr>
      <w:rPr>
        <w:rFonts w:ascii="Courier New" w:hAnsi="Courier New" w:hint="default"/>
      </w:rPr>
    </w:lvl>
    <w:lvl w:ilvl="5" w:tplc="04220005" w:tentative="1">
      <w:start w:val="1"/>
      <w:numFmt w:val="bullet"/>
      <w:lvlText w:val=""/>
      <w:lvlJc w:val="left"/>
      <w:pPr>
        <w:ind w:left="4460" w:hanging="360"/>
      </w:pPr>
      <w:rPr>
        <w:rFonts w:ascii="Wingdings" w:hAnsi="Wingdings" w:hint="default"/>
      </w:rPr>
    </w:lvl>
    <w:lvl w:ilvl="6" w:tplc="04220001" w:tentative="1">
      <w:start w:val="1"/>
      <w:numFmt w:val="bullet"/>
      <w:lvlText w:val=""/>
      <w:lvlJc w:val="left"/>
      <w:pPr>
        <w:ind w:left="5180" w:hanging="360"/>
      </w:pPr>
      <w:rPr>
        <w:rFonts w:ascii="Symbol" w:hAnsi="Symbol" w:hint="default"/>
      </w:rPr>
    </w:lvl>
    <w:lvl w:ilvl="7" w:tplc="04220003" w:tentative="1">
      <w:start w:val="1"/>
      <w:numFmt w:val="bullet"/>
      <w:lvlText w:val="o"/>
      <w:lvlJc w:val="left"/>
      <w:pPr>
        <w:ind w:left="5900" w:hanging="360"/>
      </w:pPr>
      <w:rPr>
        <w:rFonts w:ascii="Courier New" w:hAnsi="Courier New" w:hint="default"/>
      </w:rPr>
    </w:lvl>
    <w:lvl w:ilvl="8" w:tplc="04220005" w:tentative="1">
      <w:start w:val="1"/>
      <w:numFmt w:val="bullet"/>
      <w:lvlText w:val=""/>
      <w:lvlJc w:val="left"/>
      <w:pPr>
        <w:ind w:left="6620" w:hanging="360"/>
      </w:pPr>
      <w:rPr>
        <w:rFonts w:ascii="Wingdings" w:hAnsi="Wingdings" w:hint="default"/>
      </w:rPr>
    </w:lvl>
  </w:abstractNum>
  <w:abstractNum w:abstractNumId="19"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EB039F"/>
    <w:multiLevelType w:val="hybridMultilevel"/>
    <w:tmpl w:val="FFFFFFFF"/>
    <w:lvl w:ilvl="0" w:tplc="0B0631A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B91BB4"/>
    <w:multiLevelType w:val="multilevel"/>
    <w:tmpl w:val="FFFFFFFF"/>
    <w:lvl w:ilvl="0">
      <w:numFmt w:val="bullet"/>
      <w:lvlText w:val="•"/>
      <w:lvlJc w:val="left"/>
      <w:pPr>
        <w:tabs>
          <w:tab w:val="num" w:pos="751"/>
        </w:tabs>
        <w:ind w:left="751" w:hanging="360"/>
      </w:pPr>
      <w:rPr>
        <w:rFonts w:ascii="Times New Roman" w:eastAsia="Times New Roman" w:hAnsi="Times New Roman" w:hint="default"/>
        <w:b/>
        <w:sz w:val="16"/>
      </w:rPr>
    </w:lvl>
    <w:lvl w:ilvl="1">
      <w:start w:val="1"/>
      <w:numFmt w:val="bullet"/>
      <w:lvlText w:val="◦"/>
      <w:lvlJc w:val="left"/>
      <w:pPr>
        <w:tabs>
          <w:tab w:val="num" w:pos="1111"/>
        </w:tabs>
        <w:ind w:left="1111" w:hanging="360"/>
      </w:pPr>
      <w:rPr>
        <w:rFonts w:ascii="OpenSymbol" w:hAnsi="OpenSymbol" w:hint="default"/>
      </w:rPr>
    </w:lvl>
    <w:lvl w:ilvl="2">
      <w:start w:val="1"/>
      <w:numFmt w:val="bullet"/>
      <w:lvlText w:val="▪"/>
      <w:lvlJc w:val="left"/>
      <w:pPr>
        <w:tabs>
          <w:tab w:val="num" w:pos="1471"/>
        </w:tabs>
        <w:ind w:left="1471" w:hanging="360"/>
      </w:pPr>
      <w:rPr>
        <w:rFonts w:ascii="OpenSymbol" w:hAnsi="OpenSymbol" w:hint="default"/>
      </w:rPr>
    </w:lvl>
    <w:lvl w:ilvl="3">
      <w:start w:val="1"/>
      <w:numFmt w:val="bullet"/>
      <w:lvlText w:val=""/>
      <w:lvlJc w:val="left"/>
      <w:pPr>
        <w:tabs>
          <w:tab w:val="num" w:pos="1831"/>
        </w:tabs>
        <w:ind w:left="1831" w:hanging="360"/>
      </w:pPr>
      <w:rPr>
        <w:rFonts w:ascii="Symbol" w:hAnsi="Symbol" w:hint="default"/>
      </w:rPr>
    </w:lvl>
    <w:lvl w:ilvl="4">
      <w:start w:val="1"/>
      <w:numFmt w:val="bullet"/>
      <w:lvlText w:val="◦"/>
      <w:lvlJc w:val="left"/>
      <w:pPr>
        <w:tabs>
          <w:tab w:val="num" w:pos="2191"/>
        </w:tabs>
        <w:ind w:left="2191" w:hanging="360"/>
      </w:pPr>
      <w:rPr>
        <w:rFonts w:ascii="OpenSymbol" w:hAnsi="OpenSymbol" w:hint="default"/>
      </w:rPr>
    </w:lvl>
    <w:lvl w:ilvl="5">
      <w:start w:val="1"/>
      <w:numFmt w:val="bullet"/>
      <w:lvlText w:val="▪"/>
      <w:lvlJc w:val="left"/>
      <w:pPr>
        <w:tabs>
          <w:tab w:val="num" w:pos="2551"/>
        </w:tabs>
        <w:ind w:left="2551" w:hanging="360"/>
      </w:pPr>
      <w:rPr>
        <w:rFonts w:ascii="OpenSymbol" w:hAnsi="OpenSymbol" w:hint="default"/>
      </w:rPr>
    </w:lvl>
    <w:lvl w:ilvl="6">
      <w:start w:val="1"/>
      <w:numFmt w:val="bullet"/>
      <w:lvlText w:val=""/>
      <w:lvlJc w:val="left"/>
      <w:pPr>
        <w:tabs>
          <w:tab w:val="num" w:pos="2911"/>
        </w:tabs>
        <w:ind w:left="2911" w:hanging="360"/>
      </w:pPr>
      <w:rPr>
        <w:rFonts w:ascii="Symbol" w:hAnsi="Symbol" w:hint="default"/>
      </w:rPr>
    </w:lvl>
    <w:lvl w:ilvl="7">
      <w:start w:val="1"/>
      <w:numFmt w:val="bullet"/>
      <w:lvlText w:val="◦"/>
      <w:lvlJc w:val="left"/>
      <w:pPr>
        <w:tabs>
          <w:tab w:val="num" w:pos="3271"/>
        </w:tabs>
        <w:ind w:left="3271" w:hanging="360"/>
      </w:pPr>
      <w:rPr>
        <w:rFonts w:ascii="OpenSymbol" w:hAnsi="OpenSymbol" w:hint="default"/>
      </w:rPr>
    </w:lvl>
    <w:lvl w:ilvl="8">
      <w:start w:val="1"/>
      <w:numFmt w:val="bullet"/>
      <w:lvlText w:val="▪"/>
      <w:lvlJc w:val="left"/>
      <w:pPr>
        <w:tabs>
          <w:tab w:val="num" w:pos="3631"/>
        </w:tabs>
        <w:ind w:left="3631" w:hanging="360"/>
      </w:pPr>
      <w:rPr>
        <w:rFonts w:ascii="OpenSymbol" w:hAnsi="OpenSymbol" w:hint="default"/>
      </w:rPr>
    </w:lvl>
  </w:abstractNum>
  <w:abstractNum w:abstractNumId="27"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FAF415B"/>
    <w:multiLevelType w:val="hybridMultilevel"/>
    <w:tmpl w:val="FFFFFFFF"/>
    <w:lvl w:ilvl="0" w:tplc="0B0631A4">
      <w:start w:val="1"/>
      <w:numFmt w:val="bullet"/>
      <w:lvlText w:val="­"/>
      <w:lvlJc w:val="left"/>
      <w:pPr>
        <w:ind w:left="1440" w:hanging="360"/>
      </w:pPr>
      <w:rPr>
        <w:rFonts w:ascii="Courier New" w:hAnsi="Courier New"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59893167">
    <w:abstractNumId w:val="28"/>
  </w:num>
  <w:num w:numId="2" w16cid:durableId="1895314081">
    <w:abstractNumId w:val="30"/>
  </w:num>
  <w:num w:numId="3" w16cid:durableId="2103799450">
    <w:abstractNumId w:val="0"/>
  </w:num>
  <w:num w:numId="4" w16cid:durableId="1731683483">
    <w:abstractNumId w:val="32"/>
  </w:num>
  <w:num w:numId="5" w16cid:durableId="1707438353">
    <w:abstractNumId w:val="8"/>
  </w:num>
  <w:num w:numId="6" w16cid:durableId="1716195669">
    <w:abstractNumId w:val="6"/>
  </w:num>
  <w:num w:numId="7" w16cid:durableId="706686564">
    <w:abstractNumId w:val="7"/>
  </w:num>
  <w:num w:numId="8" w16cid:durableId="1654286027">
    <w:abstractNumId w:val="27"/>
  </w:num>
  <w:num w:numId="9" w16cid:durableId="873158522">
    <w:abstractNumId w:val="1"/>
  </w:num>
  <w:num w:numId="10" w16cid:durableId="444036462">
    <w:abstractNumId w:val="23"/>
  </w:num>
  <w:num w:numId="11" w16cid:durableId="1540585469">
    <w:abstractNumId w:val="21"/>
  </w:num>
  <w:num w:numId="12" w16cid:durableId="1930458010">
    <w:abstractNumId w:val="17"/>
  </w:num>
  <w:num w:numId="13" w16cid:durableId="990405825">
    <w:abstractNumId w:val="19"/>
  </w:num>
  <w:num w:numId="14" w16cid:durableId="223371540">
    <w:abstractNumId w:val="3"/>
  </w:num>
  <w:num w:numId="15" w16cid:durableId="406076583">
    <w:abstractNumId w:val="22"/>
  </w:num>
  <w:num w:numId="16" w16cid:durableId="78066849">
    <w:abstractNumId w:val="2"/>
  </w:num>
  <w:num w:numId="17" w16cid:durableId="869338341">
    <w:abstractNumId w:val="16"/>
  </w:num>
  <w:num w:numId="18" w16cid:durableId="1356813171">
    <w:abstractNumId w:val="5"/>
  </w:num>
  <w:num w:numId="19" w16cid:durableId="769469599">
    <w:abstractNumId w:val="9"/>
  </w:num>
  <w:num w:numId="20" w16cid:durableId="121307590">
    <w:abstractNumId w:val="25"/>
  </w:num>
  <w:num w:numId="21" w16cid:durableId="879702982">
    <w:abstractNumId w:val="12"/>
  </w:num>
  <w:num w:numId="22" w16cid:durableId="2124109785">
    <w:abstractNumId w:val="24"/>
  </w:num>
  <w:num w:numId="23" w16cid:durableId="1922060492">
    <w:abstractNumId w:val="15"/>
  </w:num>
  <w:num w:numId="24" w16cid:durableId="1850824715">
    <w:abstractNumId w:val="29"/>
  </w:num>
  <w:num w:numId="25" w16cid:durableId="1656953582">
    <w:abstractNumId w:val="29"/>
  </w:num>
  <w:num w:numId="26" w16cid:durableId="1692293363">
    <w:abstractNumId w:val="10"/>
  </w:num>
  <w:num w:numId="27" w16cid:durableId="1020425228">
    <w:abstractNumId w:val="13"/>
  </w:num>
  <w:num w:numId="28" w16cid:durableId="1359819203">
    <w:abstractNumId w:val="11"/>
  </w:num>
  <w:num w:numId="29" w16cid:durableId="1072579963">
    <w:abstractNumId w:val="20"/>
  </w:num>
  <w:num w:numId="30" w16cid:durableId="1124691841">
    <w:abstractNumId w:val="26"/>
  </w:num>
  <w:num w:numId="31" w16cid:durableId="1856964842">
    <w:abstractNumId w:val="14"/>
  </w:num>
  <w:num w:numId="32" w16cid:durableId="1001390424">
    <w:abstractNumId w:val="18"/>
  </w:num>
  <w:num w:numId="33" w16cid:durableId="733817422">
    <w:abstractNumId w:val="4"/>
  </w:num>
  <w:num w:numId="34" w16cid:durableId="8652163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B5301"/>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084B"/>
    <w:rsid w:val="004B1D01"/>
    <w:rsid w:val="004B2B8A"/>
    <w:rsid w:val="004B3629"/>
    <w:rsid w:val="004C36A0"/>
    <w:rsid w:val="004C41CA"/>
    <w:rsid w:val="004C5D3E"/>
    <w:rsid w:val="004C645C"/>
    <w:rsid w:val="004C7340"/>
    <w:rsid w:val="004D180A"/>
    <w:rsid w:val="004D4BA8"/>
    <w:rsid w:val="004D56C0"/>
    <w:rsid w:val="004E0FE7"/>
    <w:rsid w:val="004E1170"/>
    <w:rsid w:val="004E20F8"/>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070"/>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85D22"/>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221"/>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26E0"/>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25F7"/>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F0DDC"/>
  <w15:chartTrackingRefBased/>
  <w15:docId w15:val="{4B326AE1-7F95-407B-BACD-90B4ED1F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6549</Words>
  <Characters>3733</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Гапонюк Наталія Володимирівна</cp:lastModifiedBy>
  <cp:revision>3</cp:revision>
  <cp:lastPrinted>2021-11-17T09:02:00Z</cp:lastPrinted>
  <dcterms:created xsi:type="dcterms:W3CDTF">2026-05-05T08:18:00Z</dcterms:created>
  <dcterms:modified xsi:type="dcterms:W3CDTF">2026-05-07T13:04:00Z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