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5D395233" w14:textId="77777777" w:rsidTr="00C62708">
        <w:tc>
          <w:tcPr>
            <w:tcW w:w="9854" w:type="dxa"/>
          </w:tcPr>
          <w:p w14:paraId="23DFD69F"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7B136775" w14:textId="77777777" w:rsidR="005F3529" w:rsidRPr="000C37C2" w:rsidRDefault="005F3529" w:rsidP="0063471D">
      <w:pPr>
        <w:pStyle w:val="a4"/>
        <w:widowControl w:val="0"/>
        <w:jc w:val="both"/>
        <w:rPr>
          <w:sz w:val="24"/>
          <w:szCs w:val="24"/>
          <w:lang w:val="uk-UA"/>
        </w:rPr>
      </w:pPr>
    </w:p>
    <w:p w14:paraId="3274FA27"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CAD6D61"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1E95DDCC" w14:textId="77777777" w:rsidTr="00C62708">
        <w:tc>
          <w:tcPr>
            <w:tcW w:w="487" w:type="pct"/>
            <w:shd w:val="clear" w:color="auto" w:fill="DEEAF6"/>
          </w:tcPr>
          <w:p w14:paraId="3449F975"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14F3C178"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6651C267"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699BD0E4"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9A9B51D"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576B41" w14:paraId="55E2B880" w14:textId="77777777" w:rsidTr="00212515">
        <w:tc>
          <w:tcPr>
            <w:tcW w:w="487" w:type="pct"/>
          </w:tcPr>
          <w:p w14:paraId="766AA0CA" w14:textId="0BB002C7" w:rsidR="00A76484" w:rsidRPr="00576B41" w:rsidRDefault="00843A29" w:rsidP="005469FD">
            <w:pPr>
              <w:widowControl w:val="0"/>
              <w:ind w:right="-11"/>
              <w:jc w:val="center"/>
              <w:rPr>
                <w:lang w:eastAsia="uk-UA"/>
              </w:rPr>
            </w:pPr>
            <w:r w:rsidRPr="00576B41">
              <w:t xml:space="preserve">34.06 </w:t>
            </w:r>
            <w:r w:rsidR="00BD6E95" w:rsidRPr="00576B41">
              <w:rPr>
                <w:lang w:eastAsia="uk-UA"/>
              </w:rPr>
              <w:t>(202</w:t>
            </w:r>
            <w:r w:rsidR="008D78F9" w:rsidRPr="00576B41">
              <w:rPr>
                <w:lang w:eastAsia="uk-UA"/>
              </w:rPr>
              <w:t>6</w:t>
            </w:r>
            <w:r w:rsidR="00A76484" w:rsidRPr="00576B41">
              <w:rPr>
                <w:lang w:eastAsia="uk-UA"/>
              </w:rPr>
              <w:t>)</w:t>
            </w:r>
          </w:p>
        </w:tc>
        <w:tc>
          <w:tcPr>
            <w:tcW w:w="1527" w:type="pct"/>
          </w:tcPr>
          <w:p w14:paraId="73A762BC" w14:textId="008D2628" w:rsidR="00A76484" w:rsidRPr="00576B41" w:rsidRDefault="00843A29" w:rsidP="00A12478">
            <w:pPr>
              <w:widowControl w:val="0"/>
              <w:rPr>
                <w:bCs/>
              </w:rPr>
            </w:pPr>
            <w:r w:rsidRPr="00576B41">
              <w:rPr>
                <w:b/>
              </w:rPr>
              <w:t xml:space="preserve">Послуга з відновлення фізико-хімічного стану рідини </w:t>
            </w:r>
            <w:proofErr w:type="spellStart"/>
            <w:r w:rsidRPr="00576B41">
              <w:rPr>
                <w:b/>
              </w:rPr>
              <w:t>антикригової</w:t>
            </w:r>
            <w:proofErr w:type="spellEnd"/>
            <w:r w:rsidRPr="00576B41">
              <w:rPr>
                <w:b/>
              </w:rPr>
              <w:t xml:space="preserve"> </w:t>
            </w:r>
            <w:proofErr w:type="spellStart"/>
            <w:r w:rsidRPr="00576B41">
              <w:rPr>
                <w:b/>
              </w:rPr>
              <w:t>Runway</w:t>
            </w:r>
            <w:proofErr w:type="spellEnd"/>
            <w:r w:rsidRPr="00576B41">
              <w:rPr>
                <w:b/>
              </w:rPr>
              <w:t xml:space="preserve"> </w:t>
            </w:r>
            <w:proofErr w:type="spellStart"/>
            <w:r w:rsidRPr="00576B41">
              <w:rPr>
                <w:b/>
              </w:rPr>
              <w:t>Guard</w:t>
            </w:r>
            <w:proofErr w:type="spellEnd"/>
            <w:r w:rsidRPr="00576B41">
              <w:rPr>
                <w:b/>
              </w:rPr>
              <w:t xml:space="preserve"> KF, </w:t>
            </w:r>
            <w:r w:rsidRPr="00576B41">
              <w:rPr>
                <w:bCs/>
              </w:rPr>
              <w:t>код ДК 021:2015 - 71610000-7 - Послуги з випробувань та аналізу складу і чистоти</w:t>
            </w:r>
            <w:r w:rsidRPr="00576B41">
              <w:rPr>
                <w:b/>
              </w:rPr>
              <w:t xml:space="preserve"> </w:t>
            </w:r>
          </w:p>
        </w:tc>
        <w:tc>
          <w:tcPr>
            <w:tcW w:w="947" w:type="pct"/>
          </w:tcPr>
          <w:p w14:paraId="7783C226" w14:textId="7C992DFB" w:rsidR="00A76484" w:rsidRPr="00576B41" w:rsidRDefault="00843A29" w:rsidP="002D4D30">
            <w:pPr>
              <w:widowControl w:val="0"/>
              <w:jc w:val="center"/>
            </w:pPr>
            <w:r w:rsidRPr="00576B41">
              <w:t>4 962 000,00</w:t>
            </w:r>
            <w:r w:rsidR="00A76484" w:rsidRPr="00576B41">
              <w:t xml:space="preserve"> </w:t>
            </w:r>
          </w:p>
          <w:p w14:paraId="14BC35C0" w14:textId="77777777" w:rsidR="00A76484" w:rsidRPr="00576B41" w:rsidRDefault="00A76484" w:rsidP="002D4D30">
            <w:pPr>
              <w:widowControl w:val="0"/>
              <w:jc w:val="center"/>
            </w:pPr>
            <w:r w:rsidRPr="00576B41">
              <w:t>грн. з ПДВ</w:t>
            </w:r>
          </w:p>
        </w:tc>
        <w:tc>
          <w:tcPr>
            <w:tcW w:w="1102" w:type="pct"/>
          </w:tcPr>
          <w:p w14:paraId="1366C9AA" w14:textId="23D189EE" w:rsidR="00A76484" w:rsidRPr="00576B41" w:rsidRDefault="00576B41" w:rsidP="002D4D30">
            <w:pPr>
              <w:widowControl w:val="0"/>
              <w:jc w:val="center"/>
            </w:pPr>
            <w:r w:rsidRPr="00576B41">
              <w:t>4 135 000</w:t>
            </w:r>
            <w:r w:rsidR="00843A29" w:rsidRPr="00576B41">
              <w:t>,00</w:t>
            </w:r>
          </w:p>
          <w:p w14:paraId="69533A19" w14:textId="77777777" w:rsidR="00A76484" w:rsidRPr="00576B41" w:rsidRDefault="00A76484" w:rsidP="002D4D30">
            <w:pPr>
              <w:widowControl w:val="0"/>
              <w:jc w:val="center"/>
            </w:pPr>
            <w:r w:rsidRPr="00576B41">
              <w:t xml:space="preserve">грн. без ПДВ </w:t>
            </w:r>
          </w:p>
        </w:tc>
        <w:tc>
          <w:tcPr>
            <w:tcW w:w="936" w:type="pct"/>
          </w:tcPr>
          <w:p w14:paraId="38E8CBE4" w14:textId="5067CA23" w:rsidR="00A76484" w:rsidRPr="00576B41" w:rsidRDefault="00843A29" w:rsidP="002D4D30">
            <w:pPr>
              <w:widowControl w:val="0"/>
              <w:jc w:val="center"/>
              <w:rPr>
                <w:color w:val="0000FF"/>
              </w:rPr>
            </w:pPr>
            <w:r w:rsidRPr="00576B41">
              <w:rPr>
                <w:b/>
              </w:rPr>
              <w:t>UA-2026-06-04-012672-a</w:t>
            </w:r>
          </w:p>
        </w:tc>
      </w:tr>
    </w:tbl>
    <w:p w14:paraId="75CCFC0F" w14:textId="77777777" w:rsidR="00A12478" w:rsidRPr="000C37C2" w:rsidRDefault="00A12478" w:rsidP="0063471D">
      <w:pPr>
        <w:pStyle w:val="a4"/>
        <w:widowControl w:val="0"/>
        <w:jc w:val="both"/>
        <w:rPr>
          <w:sz w:val="24"/>
          <w:szCs w:val="24"/>
          <w:lang w:val="uk-UA"/>
        </w:rPr>
      </w:pPr>
    </w:p>
    <w:p w14:paraId="53EECB6D" w14:textId="77777777" w:rsidR="00A355EA" w:rsidRPr="000C37C2" w:rsidRDefault="00A355EA" w:rsidP="00576B41">
      <w:pPr>
        <w:widowControl w:val="0"/>
        <w:shd w:val="clear" w:color="auto" w:fill="DEEAF6"/>
        <w:ind w:left="142" w:right="140"/>
        <w:jc w:val="center"/>
      </w:pPr>
      <w:r w:rsidRPr="000C37C2">
        <w:rPr>
          <w:b/>
        </w:rPr>
        <w:t>Обґрунтування на виконання вимог Постанови КМУ від 11.10.2016 № 710:</w:t>
      </w:r>
    </w:p>
    <w:p w14:paraId="0AFEF7BB" w14:textId="77777777" w:rsidR="006F428D" w:rsidRPr="000C37C2" w:rsidRDefault="006F428D" w:rsidP="00A12478">
      <w:pPr>
        <w:rPr>
          <w:b/>
        </w:rPr>
      </w:pPr>
    </w:p>
    <w:tbl>
      <w:tblPr>
        <w:tblW w:w="9975"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6856"/>
      </w:tblGrid>
      <w:tr w:rsidR="008335E7" w:rsidRPr="000C37C2" w14:paraId="684F39C2" w14:textId="77777777" w:rsidTr="00576B4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2728052"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DB1BD41" w14:textId="77777777" w:rsidR="008335E7" w:rsidRPr="000C37C2" w:rsidRDefault="008335E7" w:rsidP="00C62708">
            <w:r w:rsidRPr="000C37C2">
              <w:t>Обґрунтування очікуваної вартості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4F4E4751" w14:textId="77777777" w:rsidR="00576B41" w:rsidRPr="00CF5536" w:rsidRDefault="00576B41" w:rsidP="00576B41">
            <w:pPr>
              <w:widowControl w:val="0"/>
              <w:ind w:right="109"/>
              <w:jc w:val="both"/>
            </w:pPr>
            <w:r w:rsidRPr="00CF5536">
              <w:t>Очікувана вартість предмета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із застосуванням методу порівняння ринкових цін.</w:t>
            </w:r>
          </w:p>
          <w:p w14:paraId="0912C83B" w14:textId="77777777" w:rsidR="00576B41" w:rsidRPr="00CF5536" w:rsidRDefault="00576B41" w:rsidP="00576B41">
            <w:pPr>
              <w:widowControl w:val="0"/>
              <w:ind w:right="109"/>
              <w:jc w:val="both"/>
            </w:pPr>
          </w:p>
          <w:p w14:paraId="30983A7A" w14:textId="77777777" w:rsidR="00576B41" w:rsidRPr="00CF5536" w:rsidRDefault="00576B41" w:rsidP="00576B41">
            <w:pPr>
              <w:widowControl w:val="0"/>
              <w:ind w:right="109"/>
              <w:jc w:val="both"/>
            </w:pPr>
            <w:r w:rsidRPr="00CF5536">
              <w:t xml:space="preserve">З метою визначення очікуваної вартості було здійснено аналіз ринку шляхом направлення запитів цінових пропозицій потенційним виконавцям, які мають досвід виконання робіт (надання послуг), пов’язаних із виробництвом, переробкою та відновленням </w:t>
            </w:r>
            <w:proofErr w:type="spellStart"/>
            <w:r w:rsidRPr="00CF5536">
              <w:t>протильодотворних</w:t>
            </w:r>
            <w:proofErr w:type="spellEnd"/>
            <w:r w:rsidRPr="00CF5536">
              <w:t xml:space="preserve"> (</w:t>
            </w:r>
            <w:proofErr w:type="spellStart"/>
            <w:r w:rsidRPr="00CF5536">
              <w:t>антикригових</w:t>
            </w:r>
            <w:proofErr w:type="spellEnd"/>
            <w:r w:rsidRPr="00CF5536">
              <w:t>) рідин авіаційного призначення.</w:t>
            </w:r>
          </w:p>
          <w:p w14:paraId="16B63D02" w14:textId="5B083941" w:rsidR="008335E7" w:rsidRPr="000C37C2" w:rsidRDefault="00576B41" w:rsidP="00576B41">
            <w:pPr>
              <w:ind w:right="109"/>
              <w:jc w:val="both"/>
              <w:rPr>
                <w:i/>
              </w:rPr>
            </w:pPr>
            <w:r w:rsidRPr="00CF5536">
              <w:t xml:space="preserve">У зв’язку з обмеженою кількістю суб’єктів господарювання, які мають технологічну можливість виконання зазначених послуг, отримано дві цінові пропозиції. </w:t>
            </w:r>
            <w:r>
              <w:t>За о</w:t>
            </w:r>
            <w:r w:rsidRPr="00CF5536">
              <w:t xml:space="preserve">чікувану вартість </w:t>
            </w:r>
            <w:r>
              <w:t>взято найменшу</w:t>
            </w:r>
            <w:r w:rsidRPr="00CF5536">
              <w:t xml:space="preserve"> з урахуванням умов транспортування, лабораторних випробувань, гарантійних зобов’язань та податкового навантаження (ПДВ 20 %).</w:t>
            </w:r>
          </w:p>
        </w:tc>
      </w:tr>
      <w:tr w:rsidR="006F428D" w:rsidRPr="000C37C2" w14:paraId="7BE2CAB2" w14:textId="77777777" w:rsidTr="00576B4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267C4FB"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1FCB48A" w14:textId="77777777" w:rsidR="006F428D" w:rsidRPr="000C37C2" w:rsidRDefault="006F428D" w:rsidP="00C62708">
            <w:r w:rsidRPr="000C37C2">
              <w:t xml:space="preserve">Обґрунтування технічних та якісних </w:t>
            </w:r>
            <w:r w:rsidRPr="000C37C2">
              <w:lastRenderedPageBreak/>
              <w:t>характеристик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569FA59B" w14:textId="77777777" w:rsidR="00576B41" w:rsidRPr="00CF5536" w:rsidRDefault="00576B41" w:rsidP="00576B41">
            <w:pPr>
              <w:widowControl w:val="0"/>
              <w:ind w:right="117"/>
              <w:jc w:val="both"/>
            </w:pPr>
            <w:r w:rsidRPr="00CF5536">
              <w:lastRenderedPageBreak/>
              <w:t>Технічні та якісні характеристики предмета закупівлі визначені з урахуванням:</w:t>
            </w:r>
          </w:p>
          <w:p w14:paraId="45A11D20" w14:textId="77777777" w:rsidR="00576B41" w:rsidRPr="00CF5536" w:rsidRDefault="00576B41" w:rsidP="00576B41">
            <w:pPr>
              <w:widowControl w:val="0"/>
              <w:numPr>
                <w:ilvl w:val="0"/>
                <w:numId w:val="28"/>
              </w:numPr>
              <w:ind w:right="117"/>
              <w:jc w:val="both"/>
            </w:pPr>
            <w:r w:rsidRPr="00CF5536">
              <w:t xml:space="preserve">фактичного </w:t>
            </w:r>
            <w:r w:rsidRPr="00CF5536">
              <w:rPr>
                <w:b/>
                <w:bCs/>
              </w:rPr>
              <w:t>фізико-хімічного стану рідини</w:t>
            </w:r>
            <w:r w:rsidRPr="00CF5536">
              <w:t xml:space="preserve">, що підлягає </w:t>
            </w:r>
            <w:r w:rsidRPr="00CF5536">
              <w:lastRenderedPageBreak/>
              <w:t>відновленню;</w:t>
            </w:r>
          </w:p>
          <w:p w14:paraId="50E72B17" w14:textId="77777777" w:rsidR="00576B41" w:rsidRPr="00CF5536" w:rsidRDefault="00576B41" w:rsidP="00576B41">
            <w:pPr>
              <w:widowControl w:val="0"/>
              <w:numPr>
                <w:ilvl w:val="0"/>
                <w:numId w:val="28"/>
              </w:numPr>
              <w:ind w:right="117"/>
              <w:jc w:val="both"/>
            </w:pPr>
            <w:r w:rsidRPr="00CF5536">
              <w:rPr>
                <w:b/>
                <w:bCs/>
              </w:rPr>
              <w:t>вимог технічних умов виробника</w:t>
            </w:r>
            <w:r w:rsidRPr="00CF5536">
              <w:t xml:space="preserve"> ТУ У 20.5-37258505-002:2016 «Рідина </w:t>
            </w:r>
            <w:proofErr w:type="spellStart"/>
            <w:r w:rsidRPr="00CF5536">
              <w:t>антикригова</w:t>
            </w:r>
            <w:proofErr w:type="spellEnd"/>
            <w:r w:rsidRPr="00CF5536">
              <w:t xml:space="preserve"> “</w:t>
            </w:r>
            <w:proofErr w:type="spellStart"/>
            <w:r w:rsidRPr="00CF5536">
              <w:t>Runway</w:t>
            </w:r>
            <w:proofErr w:type="spellEnd"/>
            <w:r w:rsidRPr="00CF5536">
              <w:t xml:space="preserve"> </w:t>
            </w:r>
            <w:proofErr w:type="spellStart"/>
            <w:r w:rsidRPr="00CF5536">
              <w:t>Guard</w:t>
            </w:r>
            <w:proofErr w:type="spellEnd"/>
            <w:r w:rsidRPr="00CF5536">
              <w:t xml:space="preserve"> KF”»;</w:t>
            </w:r>
          </w:p>
          <w:p w14:paraId="4F6D02B9" w14:textId="77777777" w:rsidR="00576B41" w:rsidRPr="00CF5536" w:rsidRDefault="00576B41" w:rsidP="00576B41">
            <w:pPr>
              <w:widowControl w:val="0"/>
              <w:numPr>
                <w:ilvl w:val="0"/>
                <w:numId w:val="28"/>
              </w:numPr>
              <w:ind w:right="117"/>
              <w:jc w:val="both"/>
            </w:pPr>
            <w:r w:rsidRPr="00CF5536">
              <w:t xml:space="preserve">положень міжнародного стандарту </w:t>
            </w:r>
            <w:r w:rsidRPr="00452EAB">
              <w:rPr>
                <w:b/>
                <w:bCs/>
              </w:rPr>
              <w:t>AMS 1435 Е (AMS 1435 D)</w:t>
            </w:r>
            <w:r w:rsidRPr="00CF5536">
              <w:t>;</w:t>
            </w:r>
          </w:p>
          <w:p w14:paraId="240E463B" w14:textId="77777777" w:rsidR="00576B41" w:rsidRPr="00CF5536" w:rsidRDefault="00576B41" w:rsidP="00576B41">
            <w:pPr>
              <w:widowControl w:val="0"/>
              <w:numPr>
                <w:ilvl w:val="0"/>
                <w:numId w:val="28"/>
              </w:numPr>
              <w:tabs>
                <w:tab w:val="left" w:pos="4894"/>
              </w:tabs>
              <w:ind w:right="117"/>
              <w:jc w:val="both"/>
            </w:pPr>
            <w:r w:rsidRPr="00CF5536">
              <w:t>виробничих потреб підприємства щодо забезпечення експлуатаційної готовності злітно-посадкових смуг в осінньо-зимовий період.</w:t>
            </w:r>
          </w:p>
          <w:p w14:paraId="76A6E66D" w14:textId="52A902CD" w:rsidR="006F428D" w:rsidRPr="000C37C2" w:rsidRDefault="00576B41" w:rsidP="00576B41">
            <w:pPr>
              <w:ind w:right="109"/>
              <w:jc w:val="both"/>
              <w:rPr>
                <w:i/>
              </w:rPr>
            </w:pPr>
            <w:r w:rsidRPr="00CF5536">
              <w:t>Встановлені характеристики не містять надмірних або дискримінаційних вимог, є об’єктивно необхідними для досягнення результату послуги та спрямовані на забезпечення належної якості, безпеки та ефективного використання державних коштів.</w:t>
            </w:r>
          </w:p>
        </w:tc>
      </w:tr>
      <w:tr w:rsidR="006F428D" w:rsidRPr="000C37C2" w14:paraId="68245956" w14:textId="77777777" w:rsidTr="00576B4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6870C78"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5F63089" w14:textId="77777777" w:rsidR="006F428D" w:rsidRPr="000C37C2" w:rsidRDefault="006F428D" w:rsidP="00C62708">
            <w:r w:rsidRPr="000C37C2">
              <w:t>Інша інформація</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0F7DBDC8" w14:textId="77777777" w:rsidR="00576B41" w:rsidRPr="00F20147" w:rsidRDefault="00576B41" w:rsidP="00576B41">
            <w:pPr>
              <w:widowControl w:val="0"/>
              <w:ind w:right="109"/>
              <w:jc w:val="both"/>
            </w:pPr>
            <w:r w:rsidRPr="00F20147">
              <w:t>Для визначення очікуваної вартості предмета закупівлі застосовувався  метод порівняння ринкових цін на підставі отриманих цінових пропозицій (п.4.1.2 «Положення про порядок визначення очікуваної вартості предмета закупівлі»).</w:t>
            </w:r>
          </w:p>
          <w:p w14:paraId="65E65D13" w14:textId="77777777" w:rsidR="00576B41" w:rsidRPr="00F20147" w:rsidRDefault="00576B41" w:rsidP="00576B41">
            <w:pPr>
              <w:widowControl w:val="0"/>
              <w:ind w:right="109"/>
              <w:jc w:val="both"/>
            </w:pPr>
            <w:r w:rsidRPr="00F20147">
              <w:t>Перелік потенційних постачальників, яким направлялись запити цінових пропозицій:</w:t>
            </w:r>
          </w:p>
          <w:p w14:paraId="518D7D50" w14:textId="77777777" w:rsidR="00576B41" w:rsidRPr="00F20147" w:rsidRDefault="00576B41" w:rsidP="00576B41">
            <w:pPr>
              <w:widowControl w:val="0"/>
              <w:ind w:right="109"/>
              <w:jc w:val="both"/>
              <w:rPr>
                <w:color w:val="000000" w:themeColor="text1"/>
              </w:rPr>
            </w:pPr>
            <w:r w:rsidRPr="00F20147">
              <w:rPr>
                <w:color w:val="000000" w:themeColor="text1"/>
              </w:rPr>
              <w:t xml:space="preserve">1 </w:t>
            </w:r>
            <w:r w:rsidRPr="00F20147">
              <w:rPr>
                <w:bCs/>
              </w:rPr>
              <w:t xml:space="preserve">ТОВ «МАХ ТРЕЙД» </w:t>
            </w:r>
            <w:r w:rsidRPr="00F20147">
              <w:rPr>
                <w:bCs/>
                <w:color w:val="000000" w:themeColor="text1"/>
              </w:rPr>
              <w:t>-</w:t>
            </w:r>
            <w:r w:rsidRPr="00F20147">
              <w:rPr>
                <w:color w:val="000000" w:themeColor="text1"/>
              </w:rPr>
              <w:t xml:space="preserve"> </w:t>
            </w:r>
            <w:r w:rsidRPr="00F20147">
              <w:rPr>
                <w:color w:val="0070C0"/>
                <w:u w:val="single"/>
                <w:shd w:val="clear" w:color="auto" w:fill="FFFFFF"/>
              </w:rPr>
              <w:t>maxtradeukr@gmail.com</w:t>
            </w:r>
          </w:p>
          <w:p w14:paraId="3C0D56FB" w14:textId="77777777" w:rsidR="00576B41" w:rsidRPr="00F20147" w:rsidRDefault="00576B41" w:rsidP="00576B41">
            <w:pPr>
              <w:widowControl w:val="0"/>
              <w:ind w:right="109"/>
              <w:jc w:val="both"/>
              <w:rPr>
                <w:bCs/>
                <w:color w:val="000000" w:themeColor="text1"/>
              </w:rPr>
            </w:pPr>
            <w:r w:rsidRPr="00F20147">
              <w:rPr>
                <w:color w:val="000000" w:themeColor="text1"/>
              </w:rPr>
              <w:t xml:space="preserve">2 </w:t>
            </w:r>
            <w:r w:rsidRPr="00F20147">
              <w:rPr>
                <w:bCs/>
              </w:rPr>
              <w:t xml:space="preserve">ТОВ «ДІ АР ЕНЕРЖИ ГРУП» </w:t>
            </w:r>
            <w:r w:rsidRPr="00F20147">
              <w:rPr>
                <w:bCs/>
                <w:color w:val="000000" w:themeColor="text1"/>
              </w:rPr>
              <w:t xml:space="preserve">- </w:t>
            </w:r>
            <w:r w:rsidRPr="00F20147">
              <w:rPr>
                <w:bCs/>
                <w:color w:val="0070C0"/>
                <w:u w:val="single"/>
                <w:shd w:val="clear" w:color="auto" w:fill="FFFFFF"/>
              </w:rPr>
              <w:t>sergii.ezhov@gmail.com</w:t>
            </w:r>
          </w:p>
          <w:p w14:paraId="66CEAAC1" w14:textId="77777777" w:rsidR="00576B41" w:rsidRPr="00F20147" w:rsidRDefault="00576B41" w:rsidP="00576B41">
            <w:pPr>
              <w:widowControl w:val="0"/>
              <w:ind w:right="109"/>
              <w:jc w:val="both"/>
              <w:rPr>
                <w:color w:val="000000" w:themeColor="text1"/>
              </w:rPr>
            </w:pPr>
            <w:r w:rsidRPr="00F20147">
              <w:rPr>
                <w:bCs/>
                <w:color w:val="000000" w:themeColor="text1"/>
              </w:rPr>
              <w:t xml:space="preserve">3 ПП НВФ «ВЕМА-К» -  </w:t>
            </w:r>
            <w:r w:rsidRPr="00F20147">
              <w:rPr>
                <w:bCs/>
                <w:color w:val="156082" w:themeColor="accent1"/>
              </w:rPr>
              <w:t>rpf.vema</w:t>
            </w:r>
            <w:r w:rsidRPr="00F20147">
              <w:rPr>
                <w:color w:val="156082" w:themeColor="accent1"/>
              </w:rPr>
              <w:t>@gmail.com</w:t>
            </w:r>
          </w:p>
          <w:p w14:paraId="2179AA92" w14:textId="77777777" w:rsidR="00576B41" w:rsidRPr="00576B41" w:rsidRDefault="00576B41" w:rsidP="00576B41">
            <w:pPr>
              <w:widowControl w:val="0"/>
              <w:ind w:right="109"/>
              <w:jc w:val="both"/>
              <w:rPr>
                <w:color w:val="000000" w:themeColor="text1"/>
              </w:rPr>
            </w:pPr>
            <w:r w:rsidRPr="00F20147">
              <w:rPr>
                <w:color w:val="000000" w:themeColor="text1"/>
              </w:rPr>
              <w:t xml:space="preserve">4 ВТК «АКВІЛОН» - </w:t>
            </w:r>
            <w:hyperlink r:id="rId8" w:history="1">
              <w:r w:rsidRPr="00576B41">
                <w:rPr>
                  <w:rStyle w:val="af"/>
                  <w:u w:val="none"/>
                </w:rPr>
                <w:t>office@akvilon.com</w:t>
              </w:r>
            </w:hyperlink>
            <w:r w:rsidRPr="00576B41">
              <w:rPr>
                <w:color w:val="0A2F41" w:themeColor="accent1" w:themeShade="80"/>
              </w:rPr>
              <w:t>pany</w:t>
            </w:r>
          </w:p>
          <w:p w14:paraId="53917190" w14:textId="77777777" w:rsidR="00576B41" w:rsidRPr="00576B41" w:rsidRDefault="00576B41" w:rsidP="00576B41">
            <w:pPr>
              <w:widowControl w:val="0"/>
              <w:ind w:right="109"/>
              <w:jc w:val="both"/>
              <w:rPr>
                <w:color w:val="000000" w:themeColor="text1"/>
              </w:rPr>
            </w:pPr>
            <w:r w:rsidRPr="00F20147">
              <w:rPr>
                <w:color w:val="000000" w:themeColor="text1"/>
              </w:rPr>
              <w:t xml:space="preserve">5 VIRA GPL  - </w:t>
            </w:r>
            <w:hyperlink r:id="rId9" w:history="1">
              <w:r w:rsidRPr="00576B41">
                <w:rPr>
                  <w:rStyle w:val="af"/>
                  <w:u w:val="none"/>
                </w:rPr>
                <w:t>vira@gpl.ua</w:t>
              </w:r>
            </w:hyperlink>
          </w:p>
          <w:p w14:paraId="0DBE88F1" w14:textId="77777777" w:rsidR="00576B41" w:rsidRPr="00F20147" w:rsidRDefault="00576B41" w:rsidP="00576B41">
            <w:pPr>
              <w:widowControl w:val="0"/>
              <w:ind w:right="109"/>
              <w:jc w:val="both"/>
              <w:rPr>
                <w:rStyle w:val="af"/>
                <w:color w:val="000000" w:themeColor="text1"/>
              </w:rPr>
            </w:pPr>
            <w:r w:rsidRPr="00F20147">
              <w:rPr>
                <w:color w:val="000000" w:themeColor="text1"/>
              </w:rPr>
              <w:t xml:space="preserve">6 ТОВ «Черкаський завод </w:t>
            </w:r>
            <w:proofErr w:type="spellStart"/>
            <w:r w:rsidRPr="00F20147">
              <w:rPr>
                <w:color w:val="000000" w:themeColor="text1"/>
              </w:rPr>
              <w:t>автохімії</w:t>
            </w:r>
            <w:proofErr w:type="spellEnd"/>
            <w:r w:rsidRPr="00F20147">
              <w:rPr>
                <w:color w:val="000000" w:themeColor="text1"/>
              </w:rPr>
              <w:t xml:space="preserve">» - </w:t>
            </w:r>
            <w:hyperlink r:id="rId10" w:history="1">
              <w:r w:rsidRPr="00576B41">
                <w:rPr>
                  <w:rStyle w:val="af"/>
                  <w:u w:val="none"/>
                </w:rPr>
                <w:t>office@vamp.ua</w:t>
              </w:r>
            </w:hyperlink>
          </w:p>
          <w:p w14:paraId="10B0C28D" w14:textId="6198410B" w:rsidR="006F428D" w:rsidRPr="000C37C2" w:rsidRDefault="00576B41" w:rsidP="00576B41">
            <w:pPr>
              <w:ind w:right="109"/>
              <w:jc w:val="both"/>
              <w:rPr>
                <w:i/>
              </w:rPr>
            </w:pPr>
            <w:r w:rsidRPr="00F20147">
              <w:t xml:space="preserve">У зв’язку з обмеженим ринком надання послуги, що є предметом закупівлі, цінові пропозиції отримано лише від двох компаній: </w:t>
            </w:r>
            <w:r w:rsidRPr="00F20147">
              <w:rPr>
                <w:color w:val="000000" w:themeColor="text1"/>
              </w:rPr>
              <w:t>ПП НВФ «ВЕМА-К»</w:t>
            </w:r>
            <w:r w:rsidRPr="00F20147">
              <w:t xml:space="preserve"> та </w:t>
            </w:r>
            <w:r w:rsidRPr="00F20147">
              <w:rPr>
                <w:bCs/>
              </w:rPr>
              <w:t>ТОВ «МАХ ТРЕЙД»</w:t>
            </w:r>
            <w:r w:rsidRPr="00F20147">
              <w:rPr>
                <w:b/>
              </w:rPr>
              <w:t xml:space="preserve"> </w:t>
            </w:r>
            <w:r w:rsidRPr="00F20147">
              <w:rPr>
                <w:lang w:eastAsia="en-US"/>
              </w:rPr>
              <w:t>тому для розрахунку очікуваної вартості взято середню ціну двох цінових пропозицій.</w:t>
            </w:r>
          </w:p>
        </w:tc>
      </w:tr>
    </w:tbl>
    <w:p w14:paraId="55842855" w14:textId="77777777" w:rsidR="006F428D" w:rsidRPr="000C37C2" w:rsidRDefault="006F428D" w:rsidP="00A12478">
      <w:pPr>
        <w:rPr>
          <w:b/>
        </w:rPr>
      </w:pPr>
    </w:p>
    <w:p w14:paraId="4A0C3AE4" w14:textId="77777777" w:rsidR="006926A0" w:rsidRPr="000C37C2" w:rsidRDefault="006926A0" w:rsidP="00576B41">
      <w:pPr>
        <w:ind w:right="140"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490"/>
        <w:gridCol w:w="2462"/>
        <w:gridCol w:w="992"/>
        <w:gridCol w:w="992"/>
        <w:gridCol w:w="5271"/>
      </w:tblGrid>
      <w:tr w:rsidR="00576B41" w:rsidRPr="00DC72EE" w14:paraId="6BFE6E97" w14:textId="77777777" w:rsidTr="00576B41">
        <w:tc>
          <w:tcPr>
            <w:tcW w:w="490" w:type="dxa"/>
            <w:shd w:val="clear" w:color="auto" w:fill="C1E4F5"/>
          </w:tcPr>
          <w:p w14:paraId="444CB5C4" w14:textId="77777777" w:rsidR="00576B41" w:rsidRPr="00DC72EE" w:rsidRDefault="00576B41" w:rsidP="00564079">
            <w:pPr>
              <w:widowControl w:val="0"/>
              <w:rPr>
                <w:sz w:val="22"/>
                <w:szCs w:val="22"/>
              </w:rPr>
            </w:pPr>
            <w:r w:rsidRPr="00DC72EE">
              <w:rPr>
                <w:sz w:val="22"/>
                <w:szCs w:val="22"/>
              </w:rPr>
              <w:t>№ п/п</w:t>
            </w:r>
          </w:p>
        </w:tc>
        <w:tc>
          <w:tcPr>
            <w:tcW w:w="2462" w:type="dxa"/>
            <w:shd w:val="clear" w:color="auto" w:fill="C1E4F5"/>
          </w:tcPr>
          <w:p w14:paraId="4DE5FF70" w14:textId="77777777" w:rsidR="00576B41" w:rsidRPr="00DC72EE" w:rsidRDefault="00576B41" w:rsidP="00564079">
            <w:pPr>
              <w:widowControl w:val="0"/>
              <w:jc w:val="center"/>
              <w:rPr>
                <w:bCs/>
                <w:sz w:val="22"/>
                <w:szCs w:val="22"/>
              </w:rPr>
            </w:pPr>
            <w:r w:rsidRPr="00DC72EE">
              <w:rPr>
                <w:bCs/>
                <w:sz w:val="22"/>
                <w:szCs w:val="22"/>
              </w:rPr>
              <w:t xml:space="preserve">Найменування </w:t>
            </w:r>
          </w:p>
          <w:p w14:paraId="0B85405C" w14:textId="77777777" w:rsidR="00576B41" w:rsidRPr="00DC72EE" w:rsidRDefault="00576B41" w:rsidP="00564079">
            <w:pPr>
              <w:widowControl w:val="0"/>
              <w:jc w:val="center"/>
              <w:rPr>
                <w:bCs/>
                <w:sz w:val="22"/>
                <w:szCs w:val="22"/>
              </w:rPr>
            </w:pPr>
            <w:r w:rsidRPr="00DC72EE">
              <w:rPr>
                <w:bCs/>
                <w:sz w:val="22"/>
                <w:szCs w:val="22"/>
              </w:rPr>
              <w:t>послуги</w:t>
            </w:r>
          </w:p>
        </w:tc>
        <w:tc>
          <w:tcPr>
            <w:tcW w:w="992" w:type="dxa"/>
            <w:shd w:val="clear" w:color="auto" w:fill="C1E4F5"/>
          </w:tcPr>
          <w:p w14:paraId="1202C6A4" w14:textId="77777777" w:rsidR="00576B41" w:rsidRPr="00DC72EE" w:rsidRDefault="00576B41" w:rsidP="00564079">
            <w:pPr>
              <w:widowControl w:val="0"/>
              <w:jc w:val="center"/>
              <w:rPr>
                <w:bCs/>
                <w:sz w:val="22"/>
                <w:szCs w:val="22"/>
              </w:rPr>
            </w:pPr>
            <w:r w:rsidRPr="00DC72EE">
              <w:rPr>
                <w:bCs/>
                <w:sz w:val="22"/>
                <w:szCs w:val="22"/>
              </w:rPr>
              <w:t>Од.</w:t>
            </w:r>
          </w:p>
          <w:p w14:paraId="0F8B446B" w14:textId="77777777" w:rsidR="00576B41" w:rsidRPr="00DC72EE" w:rsidRDefault="00576B41" w:rsidP="00564079">
            <w:pPr>
              <w:widowControl w:val="0"/>
              <w:jc w:val="center"/>
              <w:rPr>
                <w:bCs/>
                <w:sz w:val="22"/>
                <w:szCs w:val="22"/>
              </w:rPr>
            </w:pPr>
            <w:r w:rsidRPr="00DC72EE">
              <w:rPr>
                <w:bCs/>
                <w:sz w:val="22"/>
                <w:szCs w:val="22"/>
              </w:rPr>
              <w:t>виміру</w:t>
            </w:r>
          </w:p>
        </w:tc>
        <w:tc>
          <w:tcPr>
            <w:tcW w:w="992" w:type="dxa"/>
            <w:shd w:val="clear" w:color="auto" w:fill="C1E4F5"/>
          </w:tcPr>
          <w:p w14:paraId="6CCC713E" w14:textId="77777777" w:rsidR="00576B41" w:rsidRPr="00DC72EE" w:rsidRDefault="00576B41" w:rsidP="00564079">
            <w:pPr>
              <w:widowControl w:val="0"/>
              <w:jc w:val="center"/>
              <w:rPr>
                <w:bCs/>
                <w:sz w:val="22"/>
                <w:szCs w:val="22"/>
              </w:rPr>
            </w:pPr>
            <w:r w:rsidRPr="00DC72EE">
              <w:rPr>
                <w:bCs/>
                <w:sz w:val="22"/>
                <w:szCs w:val="22"/>
              </w:rPr>
              <w:t>Кількість</w:t>
            </w:r>
          </w:p>
        </w:tc>
        <w:tc>
          <w:tcPr>
            <w:tcW w:w="5271" w:type="dxa"/>
            <w:shd w:val="clear" w:color="auto" w:fill="C1E4F5"/>
          </w:tcPr>
          <w:p w14:paraId="7A215673" w14:textId="77777777" w:rsidR="00576B41" w:rsidRPr="00DC72EE" w:rsidRDefault="00576B41" w:rsidP="00564079">
            <w:pPr>
              <w:widowControl w:val="0"/>
              <w:jc w:val="center"/>
              <w:rPr>
                <w:b/>
                <w:sz w:val="22"/>
                <w:szCs w:val="22"/>
              </w:rPr>
            </w:pPr>
            <w:r w:rsidRPr="00DC72EE">
              <w:rPr>
                <w:sz w:val="22"/>
                <w:szCs w:val="22"/>
              </w:rPr>
              <w:t>Технічні та якісні характеристики предмета закупівлі</w:t>
            </w:r>
          </w:p>
        </w:tc>
      </w:tr>
      <w:tr w:rsidR="00576B41" w:rsidRPr="00DC72EE" w14:paraId="0393C80D" w14:textId="77777777" w:rsidTr="00576B41">
        <w:tc>
          <w:tcPr>
            <w:tcW w:w="490" w:type="dxa"/>
          </w:tcPr>
          <w:p w14:paraId="1AE57797" w14:textId="77777777" w:rsidR="00576B41" w:rsidRPr="00DC72EE" w:rsidRDefault="00576B41" w:rsidP="00564079">
            <w:pPr>
              <w:suppressAutoHyphens/>
              <w:jc w:val="center"/>
              <w:rPr>
                <w:b/>
                <w:bCs/>
                <w:sz w:val="22"/>
                <w:szCs w:val="22"/>
              </w:rPr>
            </w:pPr>
            <w:r w:rsidRPr="00DC72EE">
              <w:rPr>
                <w:sz w:val="22"/>
                <w:szCs w:val="22"/>
              </w:rPr>
              <w:t>1</w:t>
            </w:r>
          </w:p>
        </w:tc>
        <w:tc>
          <w:tcPr>
            <w:tcW w:w="2462" w:type="dxa"/>
          </w:tcPr>
          <w:p w14:paraId="7029A283" w14:textId="77777777" w:rsidR="00576B41" w:rsidRPr="00DC72EE" w:rsidRDefault="00576B41" w:rsidP="00564079">
            <w:pPr>
              <w:suppressAutoHyphens/>
              <w:rPr>
                <w:noProof/>
                <w:sz w:val="22"/>
                <w:szCs w:val="22"/>
              </w:rPr>
            </w:pPr>
            <w:r w:rsidRPr="00DC72EE">
              <w:rPr>
                <w:noProof/>
                <w:sz w:val="22"/>
                <w:szCs w:val="22"/>
              </w:rPr>
              <w:t>Послуга з відновлення фізико-хімічного стану рідини антикригової «Runway Guard KF»</w:t>
            </w:r>
          </w:p>
        </w:tc>
        <w:tc>
          <w:tcPr>
            <w:tcW w:w="992" w:type="dxa"/>
          </w:tcPr>
          <w:p w14:paraId="084C6072" w14:textId="77777777" w:rsidR="00576B41" w:rsidRPr="00DC72EE" w:rsidRDefault="00576B41" w:rsidP="00564079">
            <w:pPr>
              <w:suppressAutoHyphens/>
              <w:jc w:val="center"/>
              <w:rPr>
                <w:noProof/>
                <w:sz w:val="22"/>
                <w:szCs w:val="22"/>
              </w:rPr>
            </w:pPr>
            <w:r w:rsidRPr="00DC72EE">
              <w:rPr>
                <w:noProof/>
                <w:sz w:val="22"/>
                <w:szCs w:val="22"/>
              </w:rPr>
              <w:t>послуга</w:t>
            </w:r>
          </w:p>
        </w:tc>
        <w:tc>
          <w:tcPr>
            <w:tcW w:w="992" w:type="dxa"/>
          </w:tcPr>
          <w:p w14:paraId="751CBBC5" w14:textId="77777777" w:rsidR="00576B41" w:rsidRPr="00DC72EE" w:rsidRDefault="00576B41" w:rsidP="00564079">
            <w:pPr>
              <w:suppressAutoHyphens/>
              <w:jc w:val="center"/>
              <w:rPr>
                <w:noProof/>
                <w:sz w:val="22"/>
                <w:szCs w:val="22"/>
              </w:rPr>
            </w:pPr>
            <w:r w:rsidRPr="00DC72EE">
              <w:rPr>
                <w:noProof/>
                <w:color w:val="000000"/>
                <w:sz w:val="22"/>
                <w:szCs w:val="22"/>
              </w:rPr>
              <w:t>1</w:t>
            </w:r>
          </w:p>
        </w:tc>
        <w:tc>
          <w:tcPr>
            <w:tcW w:w="5271" w:type="dxa"/>
          </w:tcPr>
          <w:p w14:paraId="6A5C63E8" w14:textId="77777777" w:rsidR="00576B41" w:rsidRPr="00DC72EE" w:rsidRDefault="00576B41" w:rsidP="00564079">
            <w:pPr>
              <w:ind w:right="111"/>
              <w:jc w:val="both"/>
              <w:rPr>
                <w:noProof/>
                <w:sz w:val="22"/>
                <w:szCs w:val="22"/>
              </w:rPr>
            </w:pPr>
            <w:r w:rsidRPr="00DC72EE">
              <w:rPr>
                <w:noProof/>
                <w:sz w:val="22"/>
                <w:szCs w:val="22"/>
              </w:rPr>
              <w:t>1.Об’єм рідини антикригової «Runway Guard KF», що підлягає відновленню - 218 681 кг.</w:t>
            </w:r>
          </w:p>
          <w:p w14:paraId="7571B87C" w14:textId="77777777" w:rsidR="00576B41" w:rsidRPr="00DC72EE" w:rsidRDefault="00576B41" w:rsidP="00564079">
            <w:pPr>
              <w:ind w:right="111"/>
              <w:jc w:val="both"/>
              <w:rPr>
                <w:bCs/>
                <w:noProof/>
                <w:spacing w:val="-2"/>
                <w:sz w:val="22"/>
                <w:szCs w:val="22"/>
                <w:lang w:bidi="uk-UA"/>
              </w:rPr>
            </w:pPr>
            <w:r w:rsidRPr="00DC72EE">
              <w:rPr>
                <w:noProof/>
                <w:sz w:val="22"/>
                <w:szCs w:val="22"/>
              </w:rPr>
              <w:t xml:space="preserve">2. Проведення відновлення фізико-хімічного стану рідини антикригової «Runway Guard KF» до технічних умов виробника рідини </w:t>
            </w:r>
            <w:r w:rsidRPr="00DC72EE">
              <w:rPr>
                <w:bCs/>
                <w:noProof/>
                <w:spacing w:val="-2"/>
                <w:sz w:val="22"/>
                <w:szCs w:val="22"/>
                <w:lang w:bidi="uk-UA"/>
              </w:rPr>
              <w:t>ТУ У 20.5-37258505-002:2016 «Рідина антикригова "Runway Guard KF". Технічні умови», з урахуванням умов діючого AMS 1435 Е (AMS 1435 D), а саме: забезпечення відповідності відновленої рідини таким технічним та якісним показникам*:</w:t>
            </w:r>
          </w:p>
          <w:p w14:paraId="26BF5AE5" w14:textId="77777777" w:rsidR="00576B41" w:rsidRPr="00DC72EE" w:rsidRDefault="00576B41" w:rsidP="00576B41">
            <w:pPr>
              <w:pStyle w:val="af6"/>
              <w:numPr>
                <w:ilvl w:val="0"/>
                <w:numId w:val="29"/>
              </w:numPr>
              <w:spacing w:after="0" w:line="240" w:lineRule="auto"/>
              <w:ind w:right="159"/>
              <w:jc w:val="both"/>
              <w:rPr>
                <w:rFonts w:ascii="Times New Roman" w:hAnsi="Times New Roman"/>
                <w:bCs/>
                <w:noProof/>
                <w:spacing w:val="-2"/>
                <w:lang w:bidi="uk-UA"/>
              </w:rPr>
            </w:pPr>
            <w:r w:rsidRPr="00DC72EE">
              <w:rPr>
                <w:rFonts w:ascii="Times New Roman" w:hAnsi="Times New Roman"/>
                <w:bCs/>
                <w:noProof/>
                <w:spacing w:val="-2"/>
                <w:lang w:bidi="uk-UA"/>
              </w:rPr>
              <w:t xml:space="preserve">рН не більше 10,5 (допустима похибка +-0,5), </w:t>
            </w:r>
          </w:p>
          <w:p w14:paraId="160EC1C2" w14:textId="77777777" w:rsidR="00576B41" w:rsidRPr="00265257" w:rsidRDefault="00576B41" w:rsidP="00576B41">
            <w:pPr>
              <w:pStyle w:val="af6"/>
              <w:numPr>
                <w:ilvl w:val="0"/>
                <w:numId w:val="29"/>
              </w:numPr>
              <w:spacing w:after="0" w:line="240" w:lineRule="auto"/>
              <w:ind w:right="111"/>
              <w:jc w:val="both"/>
              <w:rPr>
                <w:rFonts w:ascii="Times New Roman" w:hAnsi="Times New Roman"/>
                <w:bCs/>
                <w:noProof/>
                <w:spacing w:val="-2"/>
                <w:lang w:bidi="uk-UA"/>
              </w:rPr>
            </w:pPr>
            <w:r w:rsidRPr="00DC72EE">
              <w:rPr>
                <w:rFonts w:ascii="Times New Roman" w:hAnsi="Times New Roman"/>
                <w:bCs/>
                <w:noProof/>
                <w:spacing w:val="-2"/>
                <w:lang w:bidi="uk-UA"/>
              </w:rPr>
              <w:t xml:space="preserve">густина 1.355 (допустима похибка </w:t>
            </w:r>
            <w:r w:rsidRPr="00265257">
              <w:rPr>
                <w:rFonts w:ascii="Times New Roman" w:hAnsi="Times New Roman"/>
                <w:bCs/>
                <w:noProof/>
                <w:spacing w:val="-2"/>
                <w:lang w:bidi="uk-UA"/>
              </w:rPr>
              <w:t xml:space="preserve">+-0,015), </w:t>
            </w:r>
          </w:p>
          <w:p w14:paraId="4F2BFCA7" w14:textId="77777777" w:rsidR="00576B41" w:rsidRPr="00DC72EE" w:rsidRDefault="00576B41" w:rsidP="00576B41">
            <w:pPr>
              <w:pStyle w:val="af6"/>
              <w:numPr>
                <w:ilvl w:val="0"/>
                <w:numId w:val="29"/>
              </w:numPr>
              <w:spacing w:after="0" w:line="240" w:lineRule="auto"/>
              <w:ind w:right="111"/>
              <w:jc w:val="both"/>
              <w:rPr>
                <w:rFonts w:ascii="Times New Roman" w:hAnsi="Times New Roman"/>
                <w:bCs/>
                <w:noProof/>
                <w:spacing w:val="-2"/>
                <w:lang w:bidi="uk-UA"/>
              </w:rPr>
            </w:pPr>
            <w:r w:rsidRPr="00DC72EE">
              <w:rPr>
                <w:rFonts w:ascii="Times New Roman" w:hAnsi="Times New Roman"/>
                <w:bCs/>
                <w:noProof/>
                <w:spacing w:val="-2"/>
                <w:lang w:bidi="uk-UA"/>
              </w:rPr>
              <w:t xml:space="preserve">температура спалаху не ниже за 100 </w:t>
            </w:r>
            <w:r w:rsidRPr="00DC72EE">
              <w:rPr>
                <w:rFonts w:ascii="Times New Roman" w:hAnsi="Times New Roman"/>
                <w:noProof/>
              </w:rPr>
              <w:t>˚С</w:t>
            </w:r>
            <w:r w:rsidRPr="00DC72EE">
              <w:rPr>
                <w:rFonts w:ascii="Times New Roman" w:hAnsi="Times New Roman"/>
                <w:bCs/>
                <w:noProof/>
                <w:spacing w:val="-2"/>
                <w:lang w:bidi="uk-UA"/>
              </w:rPr>
              <w:t xml:space="preserve">, </w:t>
            </w:r>
          </w:p>
          <w:p w14:paraId="65886FF4" w14:textId="77777777" w:rsidR="00576B41" w:rsidRPr="00265257" w:rsidRDefault="00576B41" w:rsidP="00576B41">
            <w:pPr>
              <w:pStyle w:val="af6"/>
              <w:numPr>
                <w:ilvl w:val="0"/>
                <w:numId w:val="29"/>
              </w:numPr>
              <w:spacing w:after="0" w:line="240" w:lineRule="auto"/>
              <w:ind w:right="111"/>
              <w:jc w:val="both"/>
              <w:rPr>
                <w:rFonts w:ascii="Times New Roman" w:hAnsi="Times New Roman"/>
                <w:bCs/>
                <w:noProof/>
                <w:spacing w:val="-2"/>
                <w:lang w:bidi="uk-UA"/>
              </w:rPr>
            </w:pPr>
            <w:r w:rsidRPr="00DC72EE">
              <w:rPr>
                <w:rFonts w:ascii="Times New Roman" w:hAnsi="Times New Roman"/>
                <w:bCs/>
                <w:noProof/>
                <w:spacing w:val="-2"/>
                <w:lang w:bidi="uk-UA"/>
              </w:rPr>
              <w:t xml:space="preserve">температура кристалізації нижча за </w:t>
            </w:r>
            <w:r w:rsidRPr="00265257">
              <w:rPr>
                <w:rFonts w:ascii="Times New Roman" w:hAnsi="Times New Roman"/>
                <w:bCs/>
                <w:noProof/>
                <w:spacing w:val="-2"/>
                <w:lang w:bidi="uk-UA"/>
              </w:rPr>
              <w:t>-14,5</w:t>
            </w:r>
            <w:r w:rsidRPr="00265257">
              <w:rPr>
                <w:rFonts w:ascii="Times New Roman" w:hAnsi="Times New Roman"/>
                <w:noProof/>
              </w:rPr>
              <w:t xml:space="preserve"> ˚С</w:t>
            </w:r>
            <w:r w:rsidRPr="00265257">
              <w:rPr>
                <w:rFonts w:ascii="Times New Roman" w:hAnsi="Times New Roman"/>
                <w:bCs/>
                <w:noProof/>
                <w:spacing w:val="-2"/>
                <w:lang w:bidi="uk-UA"/>
              </w:rPr>
              <w:t>.</w:t>
            </w:r>
          </w:p>
          <w:p w14:paraId="3E3BC2F3" w14:textId="77777777" w:rsidR="00576B41" w:rsidRPr="00DC72EE" w:rsidRDefault="00576B41" w:rsidP="00564079">
            <w:pPr>
              <w:widowControl w:val="0"/>
              <w:ind w:right="111"/>
              <w:jc w:val="both"/>
              <w:rPr>
                <w:noProof/>
                <w:sz w:val="22"/>
                <w:szCs w:val="22"/>
              </w:rPr>
            </w:pPr>
            <w:r w:rsidRPr="00DC72EE">
              <w:rPr>
                <w:b/>
                <w:noProof/>
                <w:sz w:val="22"/>
                <w:szCs w:val="22"/>
              </w:rPr>
              <w:lastRenderedPageBreak/>
              <w:t>*</w:t>
            </w:r>
            <w:r w:rsidRPr="00DC72EE">
              <w:rPr>
                <w:noProof/>
                <w:sz w:val="22"/>
                <w:szCs w:val="22"/>
              </w:rPr>
              <w:t xml:space="preserve">зазначені показники вимірюються Виконавцем за наступних умов: реакція водневого середовища (вимірювання рН розчину за температури 20 ±1 ˚С), </w:t>
            </w:r>
          </w:p>
          <w:p w14:paraId="15B2BFEB" w14:textId="77777777" w:rsidR="00576B41" w:rsidRPr="00DC72EE" w:rsidRDefault="00576B41" w:rsidP="00564079">
            <w:pPr>
              <w:widowControl w:val="0"/>
              <w:ind w:right="111"/>
              <w:jc w:val="both"/>
              <w:rPr>
                <w:b/>
                <w:noProof/>
                <w:sz w:val="22"/>
                <w:szCs w:val="22"/>
              </w:rPr>
            </w:pPr>
            <w:r w:rsidRPr="00DC72EE">
              <w:rPr>
                <w:noProof/>
                <w:sz w:val="22"/>
                <w:szCs w:val="22"/>
              </w:rPr>
              <w:t>визначення густини розчину за температури 20 ±1 ˚С, температура спалаху, та температура кристалізації розчину, розведеного 1:1 з демінералізованою водою (ASTM D1193, TYPE IV water).</w:t>
            </w:r>
          </w:p>
          <w:p w14:paraId="05795378" w14:textId="77777777" w:rsidR="00576B41" w:rsidRPr="00DC72EE" w:rsidRDefault="00576B41" w:rsidP="00564079">
            <w:pPr>
              <w:jc w:val="both"/>
              <w:rPr>
                <w:bCs/>
                <w:noProof/>
                <w:spacing w:val="-2"/>
                <w:sz w:val="22"/>
                <w:szCs w:val="22"/>
                <w:lang w:bidi="uk-UA"/>
              </w:rPr>
            </w:pPr>
          </w:p>
          <w:p w14:paraId="1A83E5CF" w14:textId="77777777" w:rsidR="00576B41" w:rsidRPr="00DC72EE" w:rsidRDefault="00576B41" w:rsidP="00564079">
            <w:pPr>
              <w:ind w:right="111"/>
              <w:jc w:val="both"/>
              <w:rPr>
                <w:noProof/>
                <w:color w:val="242424"/>
                <w:sz w:val="22"/>
                <w:szCs w:val="22"/>
              </w:rPr>
            </w:pPr>
            <w:r w:rsidRPr="00DC72EE">
              <w:rPr>
                <w:noProof/>
                <w:sz w:val="22"/>
                <w:szCs w:val="22"/>
                <w:lang w:bidi="uk-UA"/>
              </w:rPr>
              <w:t>3. Випробування та аналіз складу відновленої рідини, н</w:t>
            </w:r>
            <w:r w:rsidRPr="00DC72EE">
              <w:rPr>
                <w:noProof/>
                <w:sz w:val="22"/>
                <w:szCs w:val="22"/>
              </w:rPr>
              <w:t xml:space="preserve">адання зразків відновленої рідини Виробнику для проведення оцінки параметрів та отримання висновку від виробника, що підтверджує відповідність технічних та якісних характеристик відновленої Рідини відповідністю </w:t>
            </w:r>
            <w:r w:rsidRPr="00DC72EE">
              <w:rPr>
                <w:bCs/>
                <w:noProof/>
                <w:spacing w:val="-2"/>
                <w:sz w:val="22"/>
                <w:szCs w:val="22"/>
                <w:lang w:bidi="uk-UA"/>
              </w:rPr>
              <w:t>ТУ У 20.5-37258505-002:2016 «Рідина антикригова «Runway Guard KF». Технічні умови», з урахуванням умов діючого стандарту AMS 1435 Е (AMS 1435 D).</w:t>
            </w:r>
          </w:p>
          <w:p w14:paraId="5113E70D" w14:textId="77777777" w:rsidR="00576B41" w:rsidRPr="00DC72EE" w:rsidRDefault="00576B41" w:rsidP="00564079">
            <w:pPr>
              <w:ind w:right="111"/>
              <w:jc w:val="both"/>
              <w:rPr>
                <w:noProof/>
                <w:sz w:val="22"/>
                <w:szCs w:val="22"/>
              </w:rPr>
            </w:pPr>
            <w:r w:rsidRPr="00DC72EE">
              <w:rPr>
                <w:noProof/>
                <w:sz w:val="22"/>
                <w:szCs w:val="22"/>
              </w:rPr>
              <w:t xml:space="preserve">4.Відновлення фізико-хімічного стану рідини антикригової «Runway Guard KF» здійснюється на підставі результатів попередніх та проміжних лабораторних випробувань і аналізу складу рідини, за результатами яких Виконавцем визначаються необхідні технологічні операції для приведення Рідини у відповідність до вимог ТУ У 20.5-37258505-002:2016 та стандарту </w:t>
            </w:r>
            <w:r w:rsidRPr="00DC72EE">
              <w:rPr>
                <w:bCs/>
                <w:noProof/>
                <w:spacing w:val="-2"/>
                <w:sz w:val="22"/>
                <w:szCs w:val="22"/>
                <w:lang w:bidi="uk-UA"/>
              </w:rPr>
              <w:t>AMS 1435 Е (AMS 1435 D)</w:t>
            </w:r>
            <w:r w:rsidRPr="00DC72EE">
              <w:rPr>
                <w:noProof/>
                <w:sz w:val="22"/>
                <w:szCs w:val="22"/>
              </w:rPr>
              <w:t>. Результат надання Послуг вважається досягнутим виключно за умови отримання позитивних результатів лабораторних випробувань та аналізу складу Рідини, що підтверджують її відповідність встановленим технічним та якісним характеристикам.</w:t>
            </w:r>
          </w:p>
        </w:tc>
      </w:tr>
    </w:tbl>
    <w:p w14:paraId="523C19E3" w14:textId="77777777" w:rsidR="006F428D" w:rsidRPr="000C37C2" w:rsidRDefault="006F428D" w:rsidP="00A12478">
      <w:pPr>
        <w:rPr>
          <w:b/>
        </w:rPr>
      </w:pPr>
    </w:p>
    <w:p w14:paraId="0A276170" w14:textId="77777777" w:rsidR="006F428D" w:rsidRPr="000C37C2" w:rsidRDefault="006F428D" w:rsidP="00A12478">
      <w:pPr>
        <w:rPr>
          <w:b/>
        </w:rPr>
      </w:pPr>
    </w:p>
    <w:p w14:paraId="23D1BDA9" w14:textId="77777777" w:rsidR="006F428D" w:rsidRPr="000C37C2" w:rsidRDefault="006F428D" w:rsidP="00A12478">
      <w:pPr>
        <w:rPr>
          <w:b/>
        </w:rPr>
      </w:pPr>
    </w:p>
    <w:p w14:paraId="4065CA2C" w14:textId="77777777" w:rsidR="006F428D" w:rsidRPr="000C37C2" w:rsidRDefault="006F428D" w:rsidP="00A12478">
      <w:pPr>
        <w:rPr>
          <w:b/>
        </w:rPr>
      </w:pPr>
    </w:p>
    <w:p w14:paraId="1C09C24B"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p w14:paraId="3D6F7596" w14:textId="77777777" w:rsidR="00A256E7" w:rsidRPr="000C37C2" w:rsidRDefault="00A256E7" w:rsidP="00D04854">
      <w:pPr>
        <w:widowControl w:val="0"/>
        <w:autoSpaceDE w:val="0"/>
        <w:autoSpaceDN w:val="0"/>
        <w:adjustRightInd w:val="0"/>
        <w:ind w:firstLine="709"/>
        <w:contextualSpacing/>
        <w:jc w:val="both"/>
        <w:rPr>
          <w:color w:val="000000"/>
          <w:sz w:val="26"/>
          <w:szCs w:val="26"/>
        </w:rPr>
      </w:pPr>
    </w:p>
    <w:sectPr w:rsidR="00A256E7" w:rsidRPr="000C37C2" w:rsidSect="00F318C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C10E" w14:textId="77777777" w:rsidR="00C17D3B" w:rsidRPr="000C37C2" w:rsidRDefault="00C17D3B">
      <w:r w:rsidRPr="000C37C2">
        <w:separator/>
      </w:r>
    </w:p>
  </w:endnote>
  <w:endnote w:type="continuationSeparator" w:id="0">
    <w:p w14:paraId="31EF35B5" w14:textId="77777777" w:rsidR="00C17D3B" w:rsidRPr="000C37C2" w:rsidRDefault="00C17D3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DDF4" w14:textId="77777777" w:rsidR="00843A29" w:rsidRDefault="00843A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F4C3" w14:textId="76A9AAF2" w:rsidR="00A256E7" w:rsidRPr="000C37C2" w:rsidRDefault="002C2F68"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78D21CF8" wp14:editId="4822B5EA">
              <wp:simplePos x="0" y="0"/>
              <wp:positionH relativeFrom="column">
                <wp:posOffset>-180340</wp:posOffset>
              </wp:positionH>
              <wp:positionV relativeFrom="paragraph">
                <wp:posOffset>7620</wp:posOffset>
              </wp:positionV>
              <wp:extent cx="6357620" cy="14605"/>
              <wp:effectExtent l="10160" t="7620" r="13970" b="6350"/>
              <wp:wrapNone/>
              <wp:docPr id="158787182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313FB"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843A29">
      <w:rPr>
        <w:sz w:val="20"/>
        <w:szCs w:val="20"/>
      </w:rPr>
      <w:t xml:space="preserve">Послуга з відновлення фізико-хімічного стану рідини </w:t>
    </w:r>
    <w:proofErr w:type="spellStart"/>
    <w:r w:rsidR="00843A29">
      <w:rPr>
        <w:sz w:val="20"/>
        <w:szCs w:val="20"/>
      </w:rPr>
      <w:t>антикригової</w:t>
    </w:r>
    <w:proofErr w:type="spellEnd"/>
    <w:r w:rsidR="00843A29">
      <w:rPr>
        <w:sz w:val="20"/>
        <w:szCs w:val="20"/>
      </w:rPr>
      <w:t xml:space="preserve"> </w:t>
    </w:r>
    <w:proofErr w:type="spellStart"/>
    <w:r w:rsidR="00843A29">
      <w:rPr>
        <w:sz w:val="20"/>
        <w:szCs w:val="20"/>
      </w:rPr>
      <w:t>Runway</w:t>
    </w:r>
    <w:proofErr w:type="spellEnd"/>
    <w:r w:rsidR="00843A29">
      <w:rPr>
        <w:sz w:val="20"/>
        <w:szCs w:val="20"/>
      </w:rPr>
      <w:t xml:space="preserve"> </w:t>
    </w:r>
    <w:proofErr w:type="spellStart"/>
    <w:r w:rsidR="00843A29">
      <w:rPr>
        <w:sz w:val="20"/>
        <w:szCs w:val="20"/>
      </w:rPr>
      <w:t>Guard</w:t>
    </w:r>
    <w:proofErr w:type="spellEnd"/>
    <w:r w:rsidR="00843A29">
      <w:rPr>
        <w:sz w:val="20"/>
        <w:szCs w:val="20"/>
      </w:rPr>
      <w:t xml:space="preserve"> KF, код ДК 021:2015 - 71610000-7 - Послуги з випробувань та аналізу складу і чистоти </w:t>
    </w:r>
  </w:p>
  <w:p w14:paraId="6817B9F9"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9511" w14:textId="77777777" w:rsidR="00843A29" w:rsidRDefault="00843A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3047" w14:textId="77777777" w:rsidR="00C17D3B" w:rsidRPr="000C37C2" w:rsidRDefault="00C17D3B">
      <w:r w:rsidRPr="000C37C2">
        <w:separator/>
      </w:r>
    </w:p>
  </w:footnote>
  <w:footnote w:type="continuationSeparator" w:id="0">
    <w:p w14:paraId="5412F339" w14:textId="77777777" w:rsidR="00C17D3B" w:rsidRPr="000C37C2" w:rsidRDefault="00C17D3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7B74"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1CEBD4E1"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5533" w14:textId="5AEEE66D" w:rsidR="002D6492" w:rsidRPr="000C37C2" w:rsidRDefault="002C2F68"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9B9615D" wp14:editId="11A0A537">
              <wp:simplePos x="0" y="0"/>
              <wp:positionH relativeFrom="column">
                <wp:posOffset>-17145</wp:posOffset>
              </wp:positionH>
              <wp:positionV relativeFrom="paragraph">
                <wp:posOffset>476885</wp:posOffset>
              </wp:positionV>
              <wp:extent cx="6329045" cy="13970"/>
              <wp:effectExtent l="11430" t="10160" r="12700" b="13970"/>
              <wp:wrapNone/>
              <wp:docPr id="18078868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85FCB"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17D8F23F" wp14:editId="5C6EDBF2">
          <wp:extent cx="1449705" cy="288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28829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A4AE" w14:textId="14433A00" w:rsidR="00472235" w:rsidRPr="000C37C2" w:rsidRDefault="002C2F68" w:rsidP="00472235">
    <w:r>
      <w:rPr>
        <w:noProof/>
      </w:rPr>
      <w:drawing>
        <wp:anchor distT="0" distB="0" distL="114300" distR="114300" simplePos="0" relativeHeight="251659264" behindDoc="1" locked="0" layoutInCell="1" allowOverlap="1" wp14:anchorId="2FAE5E3D" wp14:editId="1E03D65C">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5D95C5DD" w14:textId="77777777" w:rsidTr="00AF66AC">
      <w:trPr>
        <w:gridAfter w:val="1"/>
        <w:wAfter w:w="135" w:type="dxa"/>
      </w:trPr>
      <w:tc>
        <w:tcPr>
          <w:tcW w:w="3402" w:type="dxa"/>
          <w:tcBorders>
            <w:right w:val="single" w:sz="8" w:space="0" w:color="0F4761"/>
          </w:tcBorders>
        </w:tcPr>
        <w:p w14:paraId="2FE385FF"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469858DC" w14:textId="77777777" w:rsidR="00472235" w:rsidRPr="000C37C2" w:rsidRDefault="00472235" w:rsidP="00472235">
          <w:r w:rsidRPr="00AF66AC">
            <w:rPr>
              <w:color w:val="2136A4"/>
              <w:sz w:val="14"/>
            </w:rPr>
            <w:t>MINISTRY FOR DEVELOPMENT OF COMMUNITIES</w:t>
          </w:r>
        </w:p>
      </w:tc>
    </w:tr>
    <w:tr w:rsidR="00472235" w:rsidRPr="000C37C2" w14:paraId="73F339DD" w14:textId="77777777" w:rsidTr="00AF66AC">
      <w:trPr>
        <w:gridAfter w:val="1"/>
        <w:wAfter w:w="135" w:type="dxa"/>
        <w:trHeight w:val="224"/>
      </w:trPr>
      <w:tc>
        <w:tcPr>
          <w:tcW w:w="3402" w:type="dxa"/>
          <w:tcBorders>
            <w:right w:val="single" w:sz="8" w:space="0" w:color="0F4761"/>
          </w:tcBorders>
        </w:tcPr>
        <w:p w14:paraId="55D4963C"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7946BAA"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397D0421" w14:textId="77777777" w:rsidTr="00AF66AC">
      <w:trPr>
        <w:gridAfter w:val="1"/>
        <w:wAfter w:w="135" w:type="dxa"/>
      </w:trPr>
      <w:tc>
        <w:tcPr>
          <w:tcW w:w="3402" w:type="dxa"/>
          <w:tcBorders>
            <w:right w:val="single" w:sz="8" w:space="0" w:color="0F4761"/>
          </w:tcBorders>
        </w:tcPr>
        <w:p w14:paraId="54FFBCB5"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1F75B78"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5336C352" w14:textId="77777777" w:rsidTr="00AF66AC">
      <w:trPr>
        <w:gridAfter w:val="1"/>
        <w:wAfter w:w="135" w:type="dxa"/>
        <w:trHeight w:val="216"/>
      </w:trPr>
      <w:tc>
        <w:tcPr>
          <w:tcW w:w="3402" w:type="dxa"/>
          <w:tcBorders>
            <w:right w:val="single" w:sz="8" w:space="0" w:color="0F4761"/>
          </w:tcBorders>
        </w:tcPr>
        <w:p w14:paraId="0C143172"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7DB99284"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2A6F820" w14:textId="77777777" w:rsidTr="00AF66AC">
      <w:trPr>
        <w:gridAfter w:val="1"/>
        <w:wAfter w:w="135" w:type="dxa"/>
      </w:trPr>
      <w:tc>
        <w:tcPr>
          <w:tcW w:w="3402" w:type="dxa"/>
          <w:tcBorders>
            <w:right w:val="single" w:sz="8" w:space="0" w:color="0F4761"/>
          </w:tcBorders>
        </w:tcPr>
        <w:p w14:paraId="76EFF3E2"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6E6C0FCC"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6A561C5D" w14:textId="77777777" w:rsidTr="00AF66AC">
      <w:trPr>
        <w:gridAfter w:val="1"/>
        <w:wAfter w:w="135" w:type="dxa"/>
        <w:trHeight w:val="207"/>
      </w:trPr>
      <w:tc>
        <w:tcPr>
          <w:tcW w:w="3402" w:type="dxa"/>
          <w:tcBorders>
            <w:right w:val="single" w:sz="8" w:space="0" w:color="0F4761"/>
          </w:tcBorders>
        </w:tcPr>
        <w:p w14:paraId="1A89B693"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302DDBCD"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669577E7" w14:textId="77777777" w:rsidTr="00AF66AC">
      <w:tc>
        <w:tcPr>
          <w:tcW w:w="6378" w:type="dxa"/>
          <w:gridSpan w:val="3"/>
        </w:tcPr>
        <w:p w14:paraId="048B1446"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9924C3E" w14:textId="77777777" w:rsidTr="00AF66AC">
      <w:tc>
        <w:tcPr>
          <w:tcW w:w="6378" w:type="dxa"/>
          <w:gridSpan w:val="3"/>
        </w:tcPr>
        <w:p w14:paraId="0F25B4C9"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34952AA8"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5C83BEDD" w14:textId="11F130A1" w:rsidR="000F2F0F" w:rsidRPr="000C37C2" w:rsidRDefault="002C2F68">
    <w:pPr>
      <w:pStyle w:val="aa"/>
    </w:pPr>
    <w:r>
      <w:rPr>
        <w:noProof/>
      </w:rPr>
      <mc:AlternateContent>
        <mc:Choice Requires="wps">
          <w:drawing>
            <wp:anchor distT="4294967295" distB="4294967295" distL="114300" distR="114300" simplePos="0" relativeHeight="251658240" behindDoc="0" locked="0" layoutInCell="1" allowOverlap="1" wp14:anchorId="4F6225A6" wp14:editId="09EADB71">
              <wp:simplePos x="0" y="0"/>
              <wp:positionH relativeFrom="page">
                <wp:align>center</wp:align>
              </wp:positionH>
              <wp:positionV relativeFrom="paragraph">
                <wp:posOffset>25399</wp:posOffset>
              </wp:positionV>
              <wp:extent cx="7315200" cy="0"/>
              <wp:effectExtent l="0" t="0" r="0" b="0"/>
              <wp:wrapNone/>
              <wp:docPr id="145110139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F227AA"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1DE1049C"/>
    <w:multiLevelType w:val="hybridMultilevel"/>
    <w:tmpl w:val="8C58A7C8"/>
    <w:lvl w:ilvl="0" w:tplc="1BC0169A">
      <w:start w:val="4"/>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2B046FF"/>
    <w:multiLevelType w:val="multilevel"/>
    <w:tmpl w:val="CB8A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96558341">
    <w:abstractNumId w:val="24"/>
  </w:num>
  <w:num w:numId="2" w16cid:durableId="1666712181">
    <w:abstractNumId w:val="26"/>
  </w:num>
  <w:num w:numId="3" w16cid:durableId="1845584854">
    <w:abstractNumId w:val="0"/>
  </w:num>
  <w:num w:numId="4" w16cid:durableId="1371416351">
    <w:abstractNumId w:val="27"/>
  </w:num>
  <w:num w:numId="5" w16cid:durableId="308168238">
    <w:abstractNumId w:val="8"/>
  </w:num>
  <w:num w:numId="6" w16cid:durableId="574126639">
    <w:abstractNumId w:val="5"/>
  </w:num>
  <w:num w:numId="7" w16cid:durableId="670061456">
    <w:abstractNumId w:val="7"/>
  </w:num>
  <w:num w:numId="8" w16cid:durableId="1883976641">
    <w:abstractNumId w:val="23"/>
  </w:num>
  <w:num w:numId="9" w16cid:durableId="801193174">
    <w:abstractNumId w:val="1"/>
  </w:num>
  <w:num w:numId="10" w16cid:durableId="663632805">
    <w:abstractNumId w:val="20"/>
  </w:num>
  <w:num w:numId="11" w16cid:durableId="2043481431">
    <w:abstractNumId w:val="17"/>
  </w:num>
  <w:num w:numId="12" w16cid:durableId="1848785598">
    <w:abstractNumId w:val="15"/>
  </w:num>
  <w:num w:numId="13" w16cid:durableId="1147359115">
    <w:abstractNumId w:val="16"/>
  </w:num>
  <w:num w:numId="14" w16cid:durableId="1529295697">
    <w:abstractNumId w:val="3"/>
  </w:num>
  <w:num w:numId="15" w16cid:durableId="1973706994">
    <w:abstractNumId w:val="18"/>
  </w:num>
  <w:num w:numId="16" w16cid:durableId="1617367675">
    <w:abstractNumId w:val="2"/>
  </w:num>
  <w:num w:numId="17" w16cid:durableId="841240698">
    <w:abstractNumId w:val="14"/>
  </w:num>
  <w:num w:numId="18" w16cid:durableId="425228859">
    <w:abstractNumId w:val="4"/>
  </w:num>
  <w:num w:numId="19" w16cid:durableId="1813786776">
    <w:abstractNumId w:val="9"/>
  </w:num>
  <w:num w:numId="20" w16cid:durableId="2085030595">
    <w:abstractNumId w:val="22"/>
  </w:num>
  <w:num w:numId="21" w16cid:durableId="2063747199">
    <w:abstractNumId w:val="11"/>
  </w:num>
  <w:num w:numId="22" w16cid:durableId="1790464141">
    <w:abstractNumId w:val="21"/>
  </w:num>
  <w:num w:numId="23" w16cid:durableId="1864858089">
    <w:abstractNumId w:val="13"/>
  </w:num>
  <w:num w:numId="24" w16cid:durableId="956719090">
    <w:abstractNumId w:val="25"/>
  </w:num>
  <w:num w:numId="25" w16cid:durableId="303777199">
    <w:abstractNumId w:val="25"/>
  </w:num>
  <w:num w:numId="26" w16cid:durableId="287669912">
    <w:abstractNumId w:val="10"/>
  </w:num>
  <w:num w:numId="27" w16cid:durableId="1791974215">
    <w:abstractNumId w:val="12"/>
  </w:num>
  <w:num w:numId="28" w16cid:durableId="355741">
    <w:abstractNumId w:val="19"/>
  </w:num>
  <w:num w:numId="29" w16cid:durableId="1050881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3346"/>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0E5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2F68"/>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6B41"/>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166E4"/>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3A29"/>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49B"/>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D3B"/>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3EA77"/>
  <w15:chartTrackingRefBased/>
  <w15:docId w15:val="{DC1941F8-CF78-423F-A7B0-F812FF10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kvil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vamp.ua" TargetMode="External"/><Relationship Id="rId4" Type="http://schemas.openxmlformats.org/officeDocument/2006/relationships/settings" Target="settings.xml"/><Relationship Id="rId9" Type="http://schemas.openxmlformats.org/officeDocument/2006/relationships/hyperlink" Target="mailto:vira@gpl.u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3652</Words>
  <Characters>2082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3</cp:revision>
  <cp:lastPrinted>2021-11-17T09:02:00Z</cp:lastPrinted>
  <dcterms:created xsi:type="dcterms:W3CDTF">2026-06-05T07:52:00Z</dcterms:created>
  <dcterms:modified xsi:type="dcterms:W3CDTF">2026-06-05T08:08:00Z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