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70" w:rsidRPr="00A1580C" w:rsidRDefault="00B53370" w:rsidP="00C23984">
      <w:pPr>
        <w:spacing w:after="0" w:line="240" w:lineRule="auto"/>
        <w:jc w:val="center"/>
        <w:rPr>
          <w:rFonts w:ascii="Times New Roman" w:hAnsi="Times New Roman" w:cs="Times New Roman"/>
          <w:b/>
          <w:sz w:val="24"/>
          <w:szCs w:val="28"/>
          <w:lang w:val="uk-UA"/>
        </w:rPr>
      </w:pPr>
      <w:r w:rsidRPr="00A1580C">
        <w:rPr>
          <w:rFonts w:ascii="Times New Roman" w:hAnsi="Times New Roman" w:cs="Times New Roman"/>
          <w:b/>
          <w:sz w:val="24"/>
          <w:szCs w:val="28"/>
          <w:lang w:val="uk-UA"/>
        </w:rPr>
        <w:t xml:space="preserve">Повідомлення про намір ДП «Міжнародний аеропорт «Бориспіль» </w:t>
      </w:r>
    </w:p>
    <w:p w:rsidR="00B53370" w:rsidRPr="00A1580C" w:rsidRDefault="00B53370" w:rsidP="00C23984">
      <w:pPr>
        <w:spacing w:after="0" w:line="240" w:lineRule="auto"/>
        <w:jc w:val="center"/>
        <w:rPr>
          <w:rFonts w:ascii="Times New Roman" w:hAnsi="Times New Roman" w:cs="Times New Roman"/>
          <w:b/>
          <w:sz w:val="24"/>
          <w:szCs w:val="28"/>
          <w:lang w:val="uk-UA"/>
        </w:rPr>
      </w:pPr>
      <w:r w:rsidRPr="00A1580C">
        <w:rPr>
          <w:rFonts w:ascii="Times New Roman" w:hAnsi="Times New Roman" w:cs="Times New Roman"/>
          <w:b/>
          <w:sz w:val="24"/>
          <w:szCs w:val="28"/>
          <w:lang w:val="uk-UA"/>
        </w:rPr>
        <w:t>здійснити зміну діючих тарифів на послуги теплової енергії, її виробництва, транспортування та постачання та постачання гарячої води, послуги централізованого водопостачання та централізованого водовідведення.</w:t>
      </w:r>
    </w:p>
    <w:p w:rsidR="00C23984" w:rsidRPr="00A1580C" w:rsidRDefault="00C23984" w:rsidP="00C23984">
      <w:pPr>
        <w:spacing w:after="0" w:line="240" w:lineRule="auto"/>
        <w:ind w:firstLine="708"/>
        <w:jc w:val="both"/>
        <w:rPr>
          <w:rFonts w:ascii="Times New Roman" w:hAnsi="Times New Roman" w:cs="Times New Roman"/>
          <w:sz w:val="24"/>
          <w:szCs w:val="28"/>
          <w:lang w:val="uk-UA"/>
        </w:rPr>
      </w:pPr>
    </w:p>
    <w:p w:rsidR="004844F1" w:rsidRPr="00A1580C" w:rsidRDefault="001805B3" w:rsidP="00A1580C">
      <w:pPr>
        <w:spacing w:after="120" w:line="240" w:lineRule="auto"/>
        <w:ind w:firstLine="709"/>
        <w:jc w:val="both"/>
        <w:rPr>
          <w:rFonts w:ascii="Times New Roman" w:hAnsi="Times New Roman" w:cs="Times New Roman"/>
          <w:sz w:val="28"/>
          <w:lang w:val="uk-UA"/>
        </w:rPr>
      </w:pPr>
      <w:r w:rsidRPr="00A1580C">
        <w:rPr>
          <w:rFonts w:ascii="Times New Roman" w:hAnsi="Times New Roman" w:cs="Times New Roman"/>
          <w:sz w:val="24"/>
          <w:szCs w:val="28"/>
          <w:lang w:val="uk-UA"/>
        </w:rPr>
        <w:t>На виконання наказу Міністерства регіонального розвитку, будівництва та житлово-комунального господарства України від 05.06.2018 №130 «Про затвердження Порядку інформування споживачів про намір зміни цін/тарифів на комунальні послуги з обґрунтуванням такої необхідності» ДП «Міжнародний аеропорт «Бориспіль» даним повідомленням інформує споживачів про намір переглянути та встановити економічно обґрунтовані тарифи на теплову енергію, її виробництво, транспортування та постачання та постачання гарячої води, тарифи на централізоване водопостачання та централізоване водовідведення для сторонніх організацій (юридичних осіб), що знаходяться та/або здійснюють діяльність на території аеропорту, на період з 01 жовтня 2026 року по 30 вересня 2027 року в наступних розмірах:</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402"/>
        <w:gridCol w:w="1559"/>
        <w:gridCol w:w="1276"/>
        <w:gridCol w:w="1134"/>
        <w:gridCol w:w="1559"/>
        <w:gridCol w:w="1134"/>
      </w:tblGrid>
      <w:tr w:rsidR="00A1580C" w:rsidRPr="00A1580C" w:rsidTr="00A1580C">
        <w:trPr>
          <w:trHeight w:val="339"/>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tcPr>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w:t>
            </w:r>
          </w:p>
        </w:tc>
        <w:tc>
          <w:tcPr>
            <w:tcW w:w="3402" w:type="dxa"/>
            <w:vMerge w:val="restart"/>
            <w:tcBorders>
              <w:top w:val="single" w:sz="4" w:space="0" w:color="auto"/>
              <w:left w:val="single" w:sz="4" w:space="0" w:color="auto"/>
              <w:right w:val="single" w:sz="4" w:space="0" w:color="auto"/>
            </w:tcBorders>
            <w:shd w:val="clear" w:color="auto" w:fill="auto"/>
            <w:vAlign w:val="center"/>
          </w:tcPr>
          <w:p w:rsidR="00A1580C" w:rsidRPr="00A1580C" w:rsidRDefault="00A1580C" w:rsidP="00B96520">
            <w:pPr>
              <w:pStyle w:val="a3"/>
              <w:jc w:val="center"/>
              <w:rPr>
                <w:sz w:val="22"/>
                <w:szCs w:val="24"/>
                <w:lang w:val="uk-UA"/>
              </w:rPr>
            </w:pPr>
            <w:r w:rsidRPr="00A1580C">
              <w:rPr>
                <w:sz w:val="22"/>
                <w:szCs w:val="24"/>
                <w:lang w:val="uk-UA"/>
              </w:rPr>
              <w:t>Назва послуги</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1580C" w:rsidRPr="00A1580C" w:rsidRDefault="00A1580C" w:rsidP="00B96520">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Тарифи, що планується встановити</w:t>
            </w:r>
          </w:p>
        </w:tc>
        <w:tc>
          <w:tcPr>
            <w:tcW w:w="1559" w:type="dxa"/>
            <w:tcBorders>
              <w:top w:val="single" w:sz="4" w:space="0" w:color="auto"/>
              <w:left w:val="single" w:sz="4" w:space="0" w:color="auto"/>
              <w:bottom w:val="single" w:sz="4" w:space="0" w:color="auto"/>
              <w:right w:val="single" w:sz="4" w:space="0" w:color="auto"/>
            </w:tcBorders>
            <w:vAlign w:val="center"/>
          </w:tcPr>
          <w:p w:rsidR="00A1580C" w:rsidRPr="00A1580C" w:rsidRDefault="00A1580C" w:rsidP="00B96520">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Діючі тарифи</w:t>
            </w:r>
          </w:p>
        </w:tc>
        <w:tc>
          <w:tcPr>
            <w:tcW w:w="1134" w:type="dxa"/>
            <w:vMerge w:val="restart"/>
            <w:tcBorders>
              <w:top w:val="single" w:sz="4" w:space="0" w:color="auto"/>
              <w:left w:val="single" w:sz="4" w:space="0" w:color="auto"/>
              <w:right w:val="single" w:sz="4" w:space="0" w:color="auto"/>
            </w:tcBorders>
            <w:vAlign w:val="center"/>
          </w:tcPr>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Зміна тарифу, %</w:t>
            </w:r>
          </w:p>
        </w:tc>
      </w:tr>
      <w:tr w:rsidR="00A1580C" w:rsidRPr="00A1580C" w:rsidTr="00A1580C">
        <w:trPr>
          <w:trHeight w:val="698"/>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rsidR="00A1580C" w:rsidRPr="00A1580C" w:rsidRDefault="00A1580C" w:rsidP="00A1580C">
            <w:pPr>
              <w:spacing w:after="0"/>
              <w:jc w:val="center"/>
              <w:rPr>
                <w:rFonts w:ascii="Times New Roman" w:hAnsi="Times New Roman" w:cs="Times New Roman"/>
                <w:szCs w:val="24"/>
                <w:lang w:val="uk-UA"/>
              </w:rPr>
            </w:pPr>
          </w:p>
        </w:tc>
        <w:tc>
          <w:tcPr>
            <w:tcW w:w="3402" w:type="dxa"/>
            <w:vMerge/>
            <w:tcBorders>
              <w:left w:val="single" w:sz="4" w:space="0" w:color="auto"/>
              <w:bottom w:val="single" w:sz="4" w:space="0" w:color="auto"/>
              <w:right w:val="single" w:sz="4" w:space="0" w:color="auto"/>
            </w:tcBorders>
            <w:shd w:val="clear" w:color="auto" w:fill="auto"/>
            <w:vAlign w:val="center"/>
          </w:tcPr>
          <w:p w:rsidR="00A1580C" w:rsidRPr="00A1580C" w:rsidRDefault="00A1580C" w:rsidP="00A1580C">
            <w:pPr>
              <w:pStyle w:val="a3"/>
              <w:jc w:val="center"/>
              <w:rPr>
                <w:sz w:val="22"/>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 xml:space="preserve">Витрати на послугу, </w:t>
            </w:r>
          </w:p>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ГРН без ПДВ</w:t>
            </w:r>
          </w:p>
        </w:tc>
        <w:tc>
          <w:tcPr>
            <w:tcW w:w="1276" w:type="dxa"/>
            <w:tcBorders>
              <w:top w:val="single" w:sz="4" w:space="0" w:color="auto"/>
              <w:left w:val="single" w:sz="4" w:space="0" w:color="auto"/>
              <w:bottom w:val="single" w:sz="4" w:space="0" w:color="auto"/>
              <w:right w:val="single" w:sz="4" w:space="0" w:color="auto"/>
            </w:tcBorders>
            <w:vAlign w:val="center"/>
          </w:tcPr>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Прибуток, ГРН без ПДВ</w:t>
            </w:r>
          </w:p>
        </w:tc>
        <w:tc>
          <w:tcPr>
            <w:tcW w:w="1134" w:type="dxa"/>
            <w:tcBorders>
              <w:top w:val="single" w:sz="4" w:space="0" w:color="auto"/>
              <w:left w:val="single" w:sz="4" w:space="0" w:color="auto"/>
              <w:bottom w:val="single" w:sz="4" w:space="0" w:color="auto"/>
              <w:right w:val="single" w:sz="4" w:space="0" w:color="auto"/>
            </w:tcBorders>
            <w:vAlign w:val="center"/>
          </w:tcPr>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 xml:space="preserve">Вартість, </w:t>
            </w:r>
          </w:p>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ГРН без ПДВ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 xml:space="preserve">Вартість, </w:t>
            </w:r>
          </w:p>
          <w:p w:rsidR="00A1580C" w:rsidRPr="00A1580C" w:rsidRDefault="00A1580C" w:rsidP="00A1580C">
            <w:pPr>
              <w:spacing w:after="0"/>
              <w:jc w:val="center"/>
              <w:rPr>
                <w:rFonts w:ascii="Times New Roman" w:hAnsi="Times New Roman" w:cs="Times New Roman"/>
                <w:szCs w:val="24"/>
                <w:lang w:val="uk-UA"/>
              </w:rPr>
            </w:pPr>
            <w:r w:rsidRPr="00A1580C">
              <w:rPr>
                <w:rFonts w:ascii="Times New Roman" w:hAnsi="Times New Roman" w:cs="Times New Roman"/>
                <w:szCs w:val="24"/>
                <w:lang w:val="uk-UA"/>
              </w:rPr>
              <w:t>ГРН без ПДВ</w:t>
            </w:r>
          </w:p>
        </w:tc>
        <w:tc>
          <w:tcPr>
            <w:tcW w:w="1134" w:type="dxa"/>
            <w:vMerge/>
            <w:tcBorders>
              <w:left w:val="single" w:sz="4" w:space="0" w:color="auto"/>
              <w:bottom w:val="single" w:sz="4" w:space="0" w:color="auto"/>
              <w:right w:val="single" w:sz="4" w:space="0" w:color="auto"/>
            </w:tcBorders>
          </w:tcPr>
          <w:p w:rsidR="00A1580C" w:rsidRPr="00A1580C" w:rsidRDefault="00A1580C" w:rsidP="00A1580C">
            <w:pPr>
              <w:spacing w:after="0"/>
              <w:jc w:val="center"/>
              <w:rPr>
                <w:rFonts w:ascii="Times New Roman" w:hAnsi="Times New Roman" w:cs="Times New Roman"/>
                <w:szCs w:val="24"/>
                <w:lang w:val="uk-UA"/>
              </w:rPr>
            </w:pPr>
          </w:p>
        </w:tc>
      </w:tr>
      <w:tr w:rsidR="00A1580C" w:rsidRPr="00A1580C" w:rsidTr="00F508D3">
        <w:trPr>
          <w:trHeight w:val="427"/>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80C" w:rsidRPr="00A1580C" w:rsidRDefault="00A1580C" w:rsidP="00A1580C">
            <w:pPr>
              <w:spacing w:after="0"/>
              <w:jc w:val="center"/>
              <w:rPr>
                <w:rFonts w:ascii="Times New Roman" w:hAnsi="Times New Roman" w:cs="Times New Roman"/>
                <w:lang w:val="uk-UA"/>
              </w:rPr>
            </w:pPr>
            <w:r w:rsidRPr="00A1580C">
              <w:rPr>
                <w:rFonts w:ascii="Times New Roman" w:hAnsi="Times New Roman" w:cs="Times New Roman"/>
                <w:lang w:val="uk-UA"/>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1580C" w:rsidRPr="00A1580C" w:rsidRDefault="00A1580C" w:rsidP="00A1580C">
            <w:pPr>
              <w:pStyle w:val="a3"/>
              <w:rPr>
                <w:sz w:val="22"/>
                <w:szCs w:val="22"/>
                <w:lang w:val="uk-UA"/>
              </w:rPr>
            </w:pPr>
            <w:r w:rsidRPr="00A1580C">
              <w:rPr>
                <w:sz w:val="22"/>
                <w:szCs w:val="22"/>
                <w:lang w:val="uk-UA"/>
              </w:rPr>
              <w:t>Централізоване водопостачання</w:t>
            </w:r>
            <w:r w:rsidRPr="00A1580C">
              <w:rPr>
                <w:sz w:val="22"/>
                <w:szCs w:val="22"/>
                <w:lang w:val="uk-UA"/>
              </w:rPr>
              <w:br/>
              <w:t xml:space="preserve">     - за 1 куб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65,96</w:t>
            </w:r>
          </w:p>
        </w:tc>
        <w:tc>
          <w:tcPr>
            <w:tcW w:w="1276"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3,11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F508D3" w:rsidP="00A1580C">
            <w:pPr>
              <w:spacing w:after="0"/>
              <w:jc w:val="center"/>
              <w:rPr>
                <w:rFonts w:ascii="Times New Roman" w:hAnsi="Times New Roman" w:cs="Times New Roman"/>
                <w:b/>
                <w:lang w:val="uk-UA"/>
              </w:rPr>
            </w:pPr>
            <w:r w:rsidRPr="0046115F">
              <w:rPr>
                <w:rFonts w:ascii="Times New Roman" w:hAnsi="Times New Roman" w:cs="Times New Roman"/>
                <w:b/>
                <w:lang w:val="uk-UA"/>
              </w:rPr>
              <w:t>69,07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A1580C" w:rsidP="00A1580C">
            <w:pPr>
              <w:spacing w:after="0"/>
              <w:ind w:left="178"/>
              <w:jc w:val="center"/>
              <w:rPr>
                <w:rFonts w:ascii="Times New Roman" w:hAnsi="Times New Roman" w:cs="Times New Roman"/>
                <w:b/>
                <w:lang w:val="uk-UA"/>
              </w:rPr>
            </w:pPr>
            <w:r w:rsidRPr="0046115F">
              <w:rPr>
                <w:rFonts w:ascii="Times New Roman" w:hAnsi="Times New Roman" w:cs="Times New Roman"/>
                <w:b/>
                <w:lang w:val="uk-UA"/>
              </w:rPr>
              <w:t>67,79</w:t>
            </w:r>
          </w:p>
        </w:tc>
        <w:tc>
          <w:tcPr>
            <w:tcW w:w="1134"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F508D3">
            <w:pPr>
              <w:spacing w:after="0"/>
              <w:ind w:left="178"/>
              <w:jc w:val="center"/>
              <w:rPr>
                <w:rFonts w:ascii="Times New Roman" w:hAnsi="Times New Roman" w:cs="Times New Roman"/>
                <w:lang w:val="uk-UA"/>
              </w:rPr>
            </w:pPr>
            <w:r>
              <w:rPr>
                <w:rFonts w:ascii="Times New Roman" w:hAnsi="Times New Roman" w:cs="Times New Roman"/>
                <w:lang w:val="uk-UA"/>
              </w:rPr>
              <w:t>1,89%</w:t>
            </w:r>
          </w:p>
        </w:tc>
      </w:tr>
      <w:tr w:rsidR="00A1580C" w:rsidRPr="00A1580C" w:rsidTr="00F508D3">
        <w:trPr>
          <w:trHeight w:val="622"/>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80C" w:rsidRPr="00A1580C" w:rsidRDefault="00A1580C" w:rsidP="00A1580C">
            <w:pPr>
              <w:spacing w:after="0"/>
              <w:jc w:val="center"/>
              <w:rPr>
                <w:rFonts w:ascii="Times New Roman" w:hAnsi="Times New Roman" w:cs="Times New Roman"/>
                <w:lang w:val="uk-UA"/>
              </w:rPr>
            </w:pPr>
            <w:r w:rsidRPr="00A1580C">
              <w:rPr>
                <w:rFonts w:ascii="Times New Roman" w:hAnsi="Times New Roman" w:cs="Times New Roman"/>
                <w:lang w:val="uk-UA"/>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1580C" w:rsidRPr="00A1580C" w:rsidRDefault="00A1580C" w:rsidP="00A1580C">
            <w:pPr>
              <w:pStyle w:val="a3"/>
              <w:rPr>
                <w:sz w:val="22"/>
                <w:szCs w:val="22"/>
                <w:lang w:val="uk-UA"/>
              </w:rPr>
            </w:pPr>
            <w:r w:rsidRPr="00A1580C">
              <w:rPr>
                <w:sz w:val="22"/>
                <w:szCs w:val="22"/>
                <w:lang w:val="uk-UA"/>
              </w:rPr>
              <w:t>Централізоване водовідведення</w:t>
            </w:r>
            <w:r w:rsidRPr="00A1580C">
              <w:rPr>
                <w:sz w:val="22"/>
                <w:szCs w:val="22"/>
                <w:lang w:val="uk-UA"/>
              </w:rPr>
              <w:br/>
              <w:t xml:space="preserve">       - за 1 куб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86,02</w:t>
            </w:r>
          </w:p>
        </w:tc>
        <w:tc>
          <w:tcPr>
            <w:tcW w:w="1276"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F508D3" w:rsidP="00A1580C">
            <w:pPr>
              <w:spacing w:after="0"/>
              <w:jc w:val="center"/>
              <w:rPr>
                <w:rFonts w:ascii="Times New Roman" w:hAnsi="Times New Roman" w:cs="Times New Roman"/>
                <w:b/>
                <w:lang w:val="uk-UA"/>
              </w:rPr>
            </w:pPr>
            <w:r w:rsidRPr="0046115F">
              <w:rPr>
                <w:rFonts w:ascii="Times New Roman" w:hAnsi="Times New Roman" w:cs="Times New Roman"/>
                <w:b/>
                <w:lang w:val="uk-UA"/>
              </w:rPr>
              <w:t>90,08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A1580C" w:rsidP="00A1580C">
            <w:pPr>
              <w:spacing w:after="0"/>
              <w:ind w:left="178"/>
              <w:jc w:val="center"/>
              <w:rPr>
                <w:rFonts w:ascii="Times New Roman" w:hAnsi="Times New Roman" w:cs="Times New Roman"/>
                <w:b/>
                <w:lang w:val="uk-UA"/>
              </w:rPr>
            </w:pPr>
            <w:r w:rsidRPr="0046115F">
              <w:rPr>
                <w:rFonts w:ascii="Times New Roman" w:hAnsi="Times New Roman" w:cs="Times New Roman"/>
                <w:b/>
                <w:lang w:val="uk-UA"/>
              </w:rPr>
              <w:t>86,54</w:t>
            </w:r>
          </w:p>
        </w:tc>
        <w:tc>
          <w:tcPr>
            <w:tcW w:w="1134"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F508D3">
            <w:pPr>
              <w:spacing w:after="0"/>
              <w:ind w:left="178"/>
              <w:jc w:val="center"/>
              <w:rPr>
                <w:rFonts w:ascii="Times New Roman" w:hAnsi="Times New Roman" w:cs="Times New Roman"/>
                <w:lang w:val="uk-UA"/>
              </w:rPr>
            </w:pPr>
            <w:r>
              <w:rPr>
                <w:rFonts w:ascii="Times New Roman" w:hAnsi="Times New Roman" w:cs="Times New Roman"/>
                <w:lang w:val="uk-UA"/>
              </w:rPr>
              <w:t>4,09%</w:t>
            </w:r>
          </w:p>
        </w:tc>
        <w:bookmarkStart w:id="0" w:name="_GoBack"/>
        <w:bookmarkEnd w:id="0"/>
      </w:tr>
      <w:tr w:rsidR="00A1580C" w:rsidRPr="00A1580C" w:rsidTr="00F508D3">
        <w:trPr>
          <w:trHeight w:val="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80C" w:rsidRPr="00A1580C" w:rsidRDefault="00A1580C" w:rsidP="00A1580C">
            <w:pPr>
              <w:spacing w:after="0"/>
              <w:jc w:val="center"/>
              <w:rPr>
                <w:rFonts w:ascii="Times New Roman" w:hAnsi="Times New Roman" w:cs="Times New Roman"/>
                <w:lang w:val="uk-UA"/>
              </w:rPr>
            </w:pPr>
            <w:r w:rsidRPr="00A1580C">
              <w:rPr>
                <w:rFonts w:ascii="Times New Roman" w:hAnsi="Times New Roman" w:cs="Times New Roman"/>
                <w:lang w:val="uk-UA"/>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1580C" w:rsidRPr="00A1580C" w:rsidRDefault="00A1580C" w:rsidP="00A1580C">
            <w:pPr>
              <w:pStyle w:val="a3"/>
              <w:rPr>
                <w:sz w:val="22"/>
                <w:szCs w:val="22"/>
                <w:lang w:val="uk-UA"/>
              </w:rPr>
            </w:pPr>
            <w:r w:rsidRPr="00A1580C">
              <w:rPr>
                <w:sz w:val="22"/>
                <w:szCs w:val="22"/>
                <w:lang w:val="uk-UA"/>
              </w:rPr>
              <w:t>Теплова енергія, її виробництво, транспортування та постачання</w:t>
            </w:r>
            <w:r w:rsidRPr="00A1580C">
              <w:rPr>
                <w:sz w:val="22"/>
                <w:szCs w:val="22"/>
                <w:lang w:val="uk-UA"/>
              </w:rPr>
              <w:br/>
              <w:t xml:space="preserve">       - за 1 </w:t>
            </w:r>
            <w:proofErr w:type="spellStart"/>
            <w:r w:rsidRPr="00A1580C">
              <w:rPr>
                <w:sz w:val="22"/>
                <w:szCs w:val="22"/>
                <w:lang w:val="uk-UA"/>
              </w:rPr>
              <w:t>Гкал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5 475,32</w:t>
            </w:r>
          </w:p>
        </w:tc>
        <w:tc>
          <w:tcPr>
            <w:tcW w:w="1276"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258,43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F508D3" w:rsidP="00A1580C">
            <w:pPr>
              <w:spacing w:after="0"/>
              <w:jc w:val="center"/>
              <w:rPr>
                <w:rFonts w:ascii="Times New Roman" w:hAnsi="Times New Roman" w:cs="Times New Roman"/>
                <w:b/>
                <w:lang w:val="uk-UA"/>
              </w:rPr>
            </w:pPr>
            <w:r w:rsidRPr="0046115F">
              <w:rPr>
                <w:rFonts w:ascii="Times New Roman" w:hAnsi="Times New Roman" w:cs="Times New Roman"/>
                <w:b/>
                <w:lang w:val="uk-UA"/>
              </w:rPr>
              <w:t>5 733,75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A1580C" w:rsidP="00A1580C">
            <w:pPr>
              <w:spacing w:after="0"/>
              <w:ind w:left="178"/>
              <w:jc w:val="center"/>
              <w:rPr>
                <w:rFonts w:ascii="Times New Roman" w:hAnsi="Times New Roman" w:cs="Times New Roman"/>
                <w:b/>
                <w:lang w:val="uk-UA"/>
              </w:rPr>
            </w:pPr>
            <w:r w:rsidRPr="0046115F">
              <w:rPr>
                <w:rFonts w:ascii="Times New Roman" w:hAnsi="Times New Roman" w:cs="Times New Roman"/>
                <w:b/>
                <w:lang w:val="uk-UA"/>
              </w:rPr>
              <w:t>4 771,46</w:t>
            </w:r>
          </w:p>
        </w:tc>
        <w:tc>
          <w:tcPr>
            <w:tcW w:w="1134"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F508D3">
            <w:pPr>
              <w:spacing w:after="0"/>
              <w:ind w:left="178"/>
              <w:jc w:val="center"/>
              <w:rPr>
                <w:rFonts w:ascii="Times New Roman" w:hAnsi="Times New Roman" w:cs="Times New Roman"/>
                <w:lang w:val="uk-UA"/>
              </w:rPr>
            </w:pPr>
            <w:r>
              <w:rPr>
                <w:rFonts w:ascii="Times New Roman" w:hAnsi="Times New Roman" w:cs="Times New Roman"/>
                <w:lang w:val="uk-UA"/>
              </w:rPr>
              <w:t>20,17%</w:t>
            </w:r>
          </w:p>
        </w:tc>
      </w:tr>
      <w:tr w:rsidR="00A1580C" w:rsidRPr="00A1580C" w:rsidTr="00F508D3">
        <w:trPr>
          <w:trHeight w:val="46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80C" w:rsidRPr="00A1580C" w:rsidRDefault="00A1580C" w:rsidP="00A1580C">
            <w:pPr>
              <w:spacing w:after="0"/>
              <w:jc w:val="center"/>
              <w:rPr>
                <w:rFonts w:ascii="Times New Roman" w:hAnsi="Times New Roman" w:cs="Times New Roman"/>
                <w:lang w:val="uk-UA"/>
              </w:rPr>
            </w:pPr>
            <w:r w:rsidRPr="00A1580C">
              <w:rPr>
                <w:rFonts w:ascii="Times New Roman" w:hAnsi="Times New Roman" w:cs="Times New Roman"/>
                <w:lang w:val="uk-UA"/>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1580C" w:rsidRPr="00A1580C" w:rsidRDefault="00A1580C" w:rsidP="00A1580C">
            <w:pPr>
              <w:pStyle w:val="a3"/>
              <w:rPr>
                <w:sz w:val="22"/>
                <w:szCs w:val="22"/>
                <w:lang w:val="uk-UA"/>
              </w:rPr>
            </w:pPr>
            <w:r w:rsidRPr="00A1580C">
              <w:rPr>
                <w:sz w:val="22"/>
                <w:szCs w:val="22"/>
                <w:lang w:val="uk-UA"/>
              </w:rPr>
              <w:t xml:space="preserve">Постачання гарячої води </w:t>
            </w:r>
            <w:r w:rsidRPr="00A1580C">
              <w:rPr>
                <w:sz w:val="22"/>
                <w:szCs w:val="22"/>
                <w:lang w:val="uk-UA"/>
              </w:rPr>
              <w:br/>
              <w:t xml:space="preserve">      - за 1 куб 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543,89</w:t>
            </w:r>
          </w:p>
        </w:tc>
        <w:tc>
          <w:tcPr>
            <w:tcW w:w="1276"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A1580C">
            <w:pPr>
              <w:spacing w:after="0"/>
              <w:ind w:left="178"/>
              <w:jc w:val="center"/>
              <w:rPr>
                <w:rFonts w:ascii="Times New Roman" w:hAnsi="Times New Roman" w:cs="Times New Roman"/>
                <w:lang w:val="uk-UA"/>
              </w:rPr>
            </w:pPr>
            <w:r>
              <w:rPr>
                <w:rFonts w:ascii="Times New Roman" w:hAnsi="Times New Roman" w:cs="Times New Roman"/>
                <w:lang w:val="uk-UA"/>
              </w:rPr>
              <w:t>25,67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F508D3" w:rsidP="00A1580C">
            <w:pPr>
              <w:spacing w:after="0"/>
              <w:jc w:val="center"/>
              <w:rPr>
                <w:rFonts w:ascii="Times New Roman" w:hAnsi="Times New Roman" w:cs="Times New Roman"/>
                <w:b/>
                <w:lang w:val="uk-UA"/>
              </w:rPr>
            </w:pPr>
            <w:r w:rsidRPr="0046115F">
              <w:rPr>
                <w:rFonts w:ascii="Times New Roman" w:hAnsi="Times New Roman" w:cs="Times New Roman"/>
                <w:b/>
                <w:lang w:val="uk-UA"/>
              </w:rPr>
              <w:t>569,56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1580C" w:rsidRPr="0046115F" w:rsidRDefault="00A1580C" w:rsidP="00A1580C">
            <w:pPr>
              <w:spacing w:after="0"/>
              <w:ind w:left="178"/>
              <w:jc w:val="center"/>
              <w:rPr>
                <w:rFonts w:ascii="Times New Roman" w:hAnsi="Times New Roman" w:cs="Times New Roman"/>
                <w:b/>
                <w:lang w:val="uk-UA"/>
              </w:rPr>
            </w:pPr>
            <w:r w:rsidRPr="0046115F">
              <w:rPr>
                <w:rFonts w:ascii="Times New Roman" w:hAnsi="Times New Roman" w:cs="Times New Roman"/>
                <w:b/>
                <w:lang w:val="uk-UA"/>
              </w:rPr>
              <w:t>510,88</w:t>
            </w:r>
          </w:p>
        </w:tc>
        <w:tc>
          <w:tcPr>
            <w:tcW w:w="1134" w:type="dxa"/>
            <w:tcBorders>
              <w:top w:val="single" w:sz="4" w:space="0" w:color="auto"/>
              <w:left w:val="single" w:sz="4" w:space="0" w:color="auto"/>
              <w:bottom w:val="single" w:sz="4" w:space="0" w:color="auto"/>
              <w:right w:val="single" w:sz="4" w:space="0" w:color="auto"/>
            </w:tcBorders>
            <w:vAlign w:val="bottom"/>
          </w:tcPr>
          <w:p w:rsidR="00A1580C" w:rsidRPr="00A1580C" w:rsidRDefault="00F508D3" w:rsidP="00F508D3">
            <w:pPr>
              <w:spacing w:after="0"/>
              <w:ind w:left="178"/>
              <w:jc w:val="center"/>
              <w:rPr>
                <w:rFonts w:ascii="Times New Roman" w:hAnsi="Times New Roman" w:cs="Times New Roman"/>
                <w:lang w:val="uk-UA"/>
              </w:rPr>
            </w:pPr>
            <w:r>
              <w:rPr>
                <w:rFonts w:ascii="Times New Roman" w:hAnsi="Times New Roman" w:cs="Times New Roman"/>
                <w:lang w:val="uk-UA"/>
              </w:rPr>
              <w:t>11,49%</w:t>
            </w:r>
          </w:p>
        </w:tc>
      </w:tr>
    </w:tbl>
    <w:p w:rsidR="00C23984" w:rsidRPr="00A1580C" w:rsidRDefault="00C23984" w:rsidP="00C23984">
      <w:pPr>
        <w:spacing w:before="60" w:after="0" w:line="240" w:lineRule="auto"/>
        <w:ind w:firstLine="709"/>
        <w:contextualSpacing/>
        <w:jc w:val="both"/>
        <w:rPr>
          <w:rFonts w:ascii="Times New Roman" w:hAnsi="Times New Roman" w:cs="Times New Roman"/>
          <w:sz w:val="14"/>
          <w:szCs w:val="28"/>
          <w:lang w:val="uk-UA"/>
        </w:rPr>
      </w:pPr>
    </w:p>
    <w:p w:rsidR="00686C81" w:rsidRPr="00A1580C" w:rsidRDefault="00590165" w:rsidP="00C23984">
      <w:pPr>
        <w:spacing w:before="60" w:after="0" w:line="240" w:lineRule="auto"/>
        <w:ind w:firstLine="709"/>
        <w:contextualSpacing/>
        <w:jc w:val="both"/>
        <w:rPr>
          <w:rFonts w:ascii="Times New Roman" w:hAnsi="Times New Roman" w:cs="Times New Roman"/>
          <w:sz w:val="24"/>
          <w:szCs w:val="28"/>
          <w:lang w:val="uk-UA"/>
        </w:rPr>
      </w:pPr>
      <w:r w:rsidRPr="00A1580C">
        <w:rPr>
          <w:rFonts w:ascii="Times New Roman" w:hAnsi="Times New Roman" w:cs="Times New Roman"/>
          <w:sz w:val="24"/>
          <w:szCs w:val="28"/>
          <w:lang w:val="uk-UA"/>
        </w:rPr>
        <w:t>Діючі на цей час економічно обґрунтовані тарифи на теплову енергію, її виробництво, транспортування та постачання та постачання гарячої води, тарифи на централізоване водопостачання та централізоване водовідведення для сторонніх організацій (юридичних осіб), що знаходяться та/або здійснюють діяльність на території аеропорту встановлені Рішеннями Виконавчого комітету Гірської сільської ради від 07.04.2026 № 81 та №82.</w:t>
      </w:r>
    </w:p>
    <w:p w:rsidR="00590165" w:rsidRPr="00A1580C" w:rsidRDefault="00590165" w:rsidP="00590165">
      <w:pPr>
        <w:spacing w:line="240" w:lineRule="auto"/>
        <w:ind w:firstLine="709"/>
        <w:contextualSpacing/>
        <w:jc w:val="both"/>
        <w:rPr>
          <w:rFonts w:ascii="Times New Roman" w:hAnsi="Times New Roman" w:cs="Times New Roman"/>
          <w:sz w:val="24"/>
          <w:szCs w:val="28"/>
          <w:lang w:val="uk-UA"/>
        </w:rPr>
      </w:pPr>
      <w:r w:rsidRPr="00A1580C">
        <w:rPr>
          <w:rFonts w:ascii="Times New Roman" w:hAnsi="Times New Roman" w:cs="Times New Roman"/>
          <w:sz w:val="24"/>
          <w:szCs w:val="28"/>
          <w:lang w:val="uk-UA"/>
        </w:rPr>
        <w:t>Розрахунок тарифів здійснено відповідно до Постанови Кабінету Міністрів України від 01.06.2011 №869 «Про забезпечення єдиного підходу до формування тарифів на житлово-комунальні послуги» та подано на розгляд до Виконавчого комітету Гірської сільської ради згідно наказу Міністерства регіонального розвитку, будівництва та житлово-комунального господарства України від 12.09.2018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w:t>
      </w:r>
    </w:p>
    <w:p w:rsidR="00C23984" w:rsidRPr="00A1580C" w:rsidRDefault="00C23984" w:rsidP="00C23984">
      <w:pPr>
        <w:spacing w:line="240" w:lineRule="auto"/>
        <w:ind w:firstLine="709"/>
        <w:contextualSpacing/>
        <w:jc w:val="both"/>
        <w:rPr>
          <w:rFonts w:ascii="Times New Roman" w:hAnsi="Times New Roman" w:cs="Times New Roman"/>
          <w:sz w:val="24"/>
          <w:szCs w:val="28"/>
          <w:lang w:val="uk-UA"/>
        </w:rPr>
      </w:pPr>
      <w:r w:rsidRPr="00A1580C">
        <w:rPr>
          <w:rFonts w:ascii="Times New Roman" w:hAnsi="Times New Roman" w:cs="Times New Roman"/>
          <w:sz w:val="24"/>
          <w:szCs w:val="28"/>
          <w:lang w:val="uk-UA"/>
        </w:rPr>
        <w:t>Перегляд тарифів обумовлено зміною річн</w:t>
      </w:r>
      <w:r w:rsidR="00426E05">
        <w:rPr>
          <w:rFonts w:ascii="Times New Roman" w:hAnsi="Times New Roman" w:cs="Times New Roman"/>
          <w:sz w:val="24"/>
          <w:szCs w:val="28"/>
          <w:lang w:val="uk-UA"/>
        </w:rPr>
        <w:t>их планів</w:t>
      </w:r>
      <w:r w:rsidRPr="00A1580C">
        <w:rPr>
          <w:rFonts w:ascii="Times New Roman" w:hAnsi="Times New Roman" w:cs="Times New Roman"/>
          <w:sz w:val="24"/>
          <w:szCs w:val="28"/>
          <w:lang w:val="uk-UA"/>
        </w:rPr>
        <w:t xml:space="preserve"> </w:t>
      </w:r>
      <w:r w:rsidR="00426E05">
        <w:rPr>
          <w:rFonts w:ascii="Times New Roman" w:hAnsi="Times New Roman" w:cs="Times New Roman"/>
          <w:sz w:val="24"/>
          <w:szCs w:val="28"/>
          <w:lang w:val="uk-UA"/>
        </w:rPr>
        <w:t xml:space="preserve">обсягів </w:t>
      </w:r>
      <w:r w:rsidRPr="00A1580C">
        <w:rPr>
          <w:rFonts w:ascii="Times New Roman" w:hAnsi="Times New Roman" w:cs="Times New Roman"/>
          <w:sz w:val="24"/>
          <w:szCs w:val="28"/>
          <w:lang w:val="uk-UA"/>
        </w:rPr>
        <w:t>виробництва, транспортування та по</w:t>
      </w:r>
      <w:r w:rsidR="00800E08" w:rsidRPr="00A1580C">
        <w:rPr>
          <w:rFonts w:ascii="Times New Roman" w:hAnsi="Times New Roman" w:cs="Times New Roman"/>
          <w:sz w:val="24"/>
          <w:szCs w:val="28"/>
          <w:lang w:val="uk-UA"/>
        </w:rPr>
        <w:t>стачання теплової енергії</w:t>
      </w:r>
      <w:r w:rsidR="00426E05">
        <w:rPr>
          <w:rFonts w:ascii="Times New Roman" w:hAnsi="Times New Roman" w:cs="Times New Roman"/>
          <w:sz w:val="24"/>
          <w:szCs w:val="28"/>
          <w:lang w:val="uk-UA"/>
        </w:rPr>
        <w:t xml:space="preserve"> та гарячої води</w:t>
      </w:r>
      <w:r w:rsidR="00800E08" w:rsidRPr="00A1580C">
        <w:rPr>
          <w:rFonts w:ascii="Times New Roman" w:hAnsi="Times New Roman" w:cs="Times New Roman"/>
          <w:sz w:val="24"/>
          <w:szCs w:val="28"/>
          <w:lang w:val="uk-UA"/>
        </w:rPr>
        <w:t>,</w:t>
      </w:r>
      <w:r w:rsidR="00426E05">
        <w:rPr>
          <w:rFonts w:ascii="Times New Roman" w:hAnsi="Times New Roman" w:cs="Times New Roman"/>
          <w:sz w:val="24"/>
          <w:szCs w:val="28"/>
          <w:lang w:val="uk-UA"/>
        </w:rPr>
        <w:t xml:space="preserve"> обсягів централізованого водопостачання та водовідведення,</w:t>
      </w:r>
      <w:r w:rsidRPr="00A1580C">
        <w:rPr>
          <w:rFonts w:ascii="Times New Roman" w:hAnsi="Times New Roman" w:cs="Times New Roman"/>
          <w:sz w:val="24"/>
          <w:szCs w:val="28"/>
          <w:lang w:val="uk-UA"/>
        </w:rPr>
        <w:t xml:space="preserve"> зміною </w:t>
      </w:r>
      <w:r w:rsidR="00800E08" w:rsidRPr="00A1580C">
        <w:rPr>
          <w:rFonts w:ascii="Times New Roman" w:hAnsi="Times New Roman" w:cs="Times New Roman"/>
          <w:sz w:val="24"/>
          <w:szCs w:val="28"/>
          <w:lang w:val="uk-UA"/>
        </w:rPr>
        <w:t>вартості</w:t>
      </w:r>
      <w:r w:rsidRPr="00A1580C">
        <w:rPr>
          <w:rFonts w:ascii="Times New Roman" w:hAnsi="Times New Roman" w:cs="Times New Roman"/>
          <w:sz w:val="24"/>
          <w:szCs w:val="28"/>
          <w:lang w:val="uk-UA"/>
        </w:rPr>
        <w:t xml:space="preserve"> електроенергі</w:t>
      </w:r>
      <w:r w:rsidR="00800E08" w:rsidRPr="00A1580C">
        <w:rPr>
          <w:rFonts w:ascii="Times New Roman" w:hAnsi="Times New Roman" w:cs="Times New Roman"/>
          <w:sz w:val="24"/>
          <w:szCs w:val="28"/>
          <w:lang w:val="uk-UA"/>
        </w:rPr>
        <w:t>ї</w:t>
      </w:r>
      <w:r w:rsidRPr="00A1580C">
        <w:rPr>
          <w:rFonts w:ascii="Times New Roman" w:hAnsi="Times New Roman" w:cs="Times New Roman"/>
          <w:sz w:val="24"/>
          <w:szCs w:val="28"/>
          <w:lang w:val="uk-UA"/>
        </w:rPr>
        <w:t xml:space="preserve"> </w:t>
      </w:r>
      <w:r w:rsidR="00800E08" w:rsidRPr="00A1580C">
        <w:rPr>
          <w:rFonts w:ascii="Times New Roman" w:hAnsi="Times New Roman" w:cs="Times New Roman"/>
          <w:sz w:val="24"/>
          <w:szCs w:val="28"/>
          <w:lang w:val="uk-UA"/>
        </w:rPr>
        <w:t>(в порівнянні з чинними тарифами</w:t>
      </w:r>
      <w:r w:rsidR="00F508D3" w:rsidRPr="00F508D3">
        <w:rPr>
          <w:lang w:val="uk-UA"/>
        </w:rPr>
        <w:t xml:space="preserve"> </w:t>
      </w:r>
      <w:r w:rsidR="00F508D3" w:rsidRPr="00F508D3">
        <w:rPr>
          <w:rFonts w:ascii="Times New Roman" w:hAnsi="Times New Roman" w:cs="Times New Roman"/>
          <w:sz w:val="24"/>
          <w:szCs w:val="28"/>
          <w:lang w:val="uk-UA"/>
        </w:rPr>
        <w:t xml:space="preserve">на централізоване водопостачання </w:t>
      </w:r>
      <w:r w:rsidR="00F508D3">
        <w:rPr>
          <w:rFonts w:ascii="Times New Roman" w:hAnsi="Times New Roman" w:cs="Times New Roman"/>
          <w:sz w:val="24"/>
          <w:szCs w:val="28"/>
          <w:lang w:val="uk-UA"/>
        </w:rPr>
        <w:t>та</w:t>
      </w:r>
      <w:r w:rsidR="00F508D3" w:rsidRPr="00F508D3">
        <w:rPr>
          <w:rFonts w:ascii="Times New Roman" w:hAnsi="Times New Roman" w:cs="Times New Roman"/>
          <w:sz w:val="24"/>
          <w:szCs w:val="28"/>
          <w:lang w:val="uk-UA"/>
        </w:rPr>
        <w:t xml:space="preserve"> водовідведення</w:t>
      </w:r>
      <w:r w:rsidR="00800E08" w:rsidRPr="00A1580C">
        <w:rPr>
          <w:rFonts w:ascii="Times New Roman" w:hAnsi="Times New Roman" w:cs="Times New Roman"/>
          <w:sz w:val="24"/>
          <w:szCs w:val="28"/>
          <w:lang w:val="uk-UA"/>
        </w:rPr>
        <w:t xml:space="preserve"> </w:t>
      </w:r>
      <w:r w:rsidR="00E1070A">
        <w:rPr>
          <w:rFonts w:ascii="Times New Roman" w:hAnsi="Times New Roman" w:cs="Times New Roman"/>
          <w:sz w:val="24"/>
          <w:szCs w:val="28"/>
          <w:lang w:val="uk-UA"/>
        </w:rPr>
        <w:t xml:space="preserve">середньозважена </w:t>
      </w:r>
      <w:r w:rsidR="00800E08" w:rsidRPr="00A1580C">
        <w:rPr>
          <w:rFonts w:ascii="Times New Roman" w:hAnsi="Times New Roman" w:cs="Times New Roman"/>
          <w:sz w:val="24"/>
          <w:szCs w:val="28"/>
          <w:lang w:val="uk-UA"/>
        </w:rPr>
        <w:t xml:space="preserve">вартість електроенергії зменшилася на </w:t>
      </w:r>
      <w:r w:rsidR="00F508D3" w:rsidRPr="00F508D3">
        <w:rPr>
          <w:rFonts w:ascii="Times New Roman" w:hAnsi="Times New Roman" w:cs="Times New Roman"/>
          <w:sz w:val="24"/>
          <w:szCs w:val="28"/>
          <w:lang w:val="uk-UA"/>
        </w:rPr>
        <w:t>9,16</w:t>
      </w:r>
      <w:r w:rsidR="00800E08" w:rsidRPr="00F508D3">
        <w:rPr>
          <w:rFonts w:ascii="Times New Roman" w:hAnsi="Times New Roman" w:cs="Times New Roman"/>
          <w:sz w:val="24"/>
          <w:szCs w:val="28"/>
          <w:lang w:val="uk-UA"/>
        </w:rPr>
        <w:t>%</w:t>
      </w:r>
      <w:r w:rsidR="00F508D3">
        <w:rPr>
          <w:rFonts w:ascii="Times New Roman" w:hAnsi="Times New Roman" w:cs="Times New Roman"/>
          <w:sz w:val="24"/>
          <w:szCs w:val="28"/>
          <w:lang w:val="uk-UA"/>
        </w:rPr>
        <w:t>;</w:t>
      </w:r>
      <w:r w:rsidR="00F508D3" w:rsidRPr="00F508D3">
        <w:rPr>
          <w:rFonts w:ascii="Times New Roman" w:hAnsi="Times New Roman" w:cs="Times New Roman"/>
          <w:sz w:val="24"/>
          <w:szCs w:val="28"/>
          <w:lang w:val="uk-UA"/>
        </w:rPr>
        <w:t xml:space="preserve"> </w:t>
      </w:r>
      <w:r w:rsidR="00F508D3" w:rsidRPr="00F508D3">
        <w:rPr>
          <w:rFonts w:ascii="Times New Roman" w:hAnsi="Times New Roman" w:cs="Times New Roman"/>
          <w:sz w:val="24"/>
          <w:szCs w:val="28"/>
          <w:lang w:val="uk-UA"/>
        </w:rPr>
        <w:t>в порівнянні з чинними тарифами</w:t>
      </w:r>
      <w:r w:rsidR="00F508D3" w:rsidRPr="00F508D3">
        <w:rPr>
          <w:lang w:val="uk-UA"/>
        </w:rPr>
        <w:t xml:space="preserve"> </w:t>
      </w:r>
      <w:r w:rsidR="00F508D3" w:rsidRPr="00F508D3">
        <w:rPr>
          <w:rFonts w:ascii="Times New Roman" w:hAnsi="Times New Roman" w:cs="Times New Roman"/>
          <w:sz w:val="24"/>
          <w:szCs w:val="28"/>
          <w:lang w:val="uk-UA"/>
        </w:rPr>
        <w:t>на теплову енергію, її виробництво, транспортування та постачання та постачання гарячої води</w:t>
      </w:r>
      <w:r w:rsidR="00F508D3" w:rsidRPr="00F508D3">
        <w:rPr>
          <w:rFonts w:ascii="Times New Roman" w:hAnsi="Times New Roman" w:cs="Times New Roman"/>
          <w:sz w:val="24"/>
          <w:szCs w:val="28"/>
          <w:lang w:val="uk-UA"/>
        </w:rPr>
        <w:t xml:space="preserve"> </w:t>
      </w:r>
      <w:r w:rsidR="00F508D3" w:rsidRPr="00F508D3">
        <w:rPr>
          <w:rFonts w:ascii="Times New Roman" w:hAnsi="Times New Roman" w:cs="Times New Roman"/>
          <w:sz w:val="24"/>
          <w:szCs w:val="28"/>
          <w:lang w:val="uk-UA"/>
        </w:rPr>
        <w:t xml:space="preserve">середньозважена вартість електроенергії зменшилася на </w:t>
      </w:r>
      <w:r w:rsidR="00F508D3" w:rsidRPr="00F508D3">
        <w:rPr>
          <w:rFonts w:ascii="Times New Roman" w:hAnsi="Times New Roman" w:cs="Times New Roman"/>
          <w:sz w:val="24"/>
          <w:szCs w:val="28"/>
          <w:lang w:val="uk-UA"/>
        </w:rPr>
        <w:t>61</w:t>
      </w:r>
      <w:r w:rsidR="00F508D3" w:rsidRPr="00F508D3">
        <w:rPr>
          <w:rFonts w:ascii="Times New Roman" w:hAnsi="Times New Roman" w:cs="Times New Roman"/>
          <w:sz w:val="24"/>
          <w:szCs w:val="28"/>
          <w:lang w:val="uk-UA"/>
        </w:rPr>
        <w:t>,</w:t>
      </w:r>
      <w:r w:rsidR="00F508D3" w:rsidRPr="00F508D3">
        <w:rPr>
          <w:rFonts w:ascii="Times New Roman" w:hAnsi="Times New Roman" w:cs="Times New Roman"/>
          <w:sz w:val="24"/>
          <w:szCs w:val="28"/>
          <w:lang w:val="uk-UA"/>
        </w:rPr>
        <w:t>38</w:t>
      </w:r>
      <w:r w:rsidR="00F508D3" w:rsidRPr="00F508D3">
        <w:rPr>
          <w:rFonts w:ascii="Times New Roman" w:hAnsi="Times New Roman" w:cs="Times New Roman"/>
          <w:sz w:val="24"/>
          <w:szCs w:val="28"/>
          <w:lang w:val="uk-UA"/>
        </w:rPr>
        <w:t>%</w:t>
      </w:r>
      <w:r w:rsidR="00A1580C" w:rsidRPr="00F508D3">
        <w:rPr>
          <w:rFonts w:ascii="Times New Roman" w:hAnsi="Times New Roman" w:cs="Times New Roman"/>
          <w:sz w:val="24"/>
          <w:szCs w:val="28"/>
          <w:lang w:val="uk-UA"/>
        </w:rPr>
        <w:t>),</w:t>
      </w:r>
      <w:r w:rsidR="00A1580C" w:rsidRPr="00A1580C">
        <w:rPr>
          <w:rFonts w:ascii="Times New Roman" w:hAnsi="Times New Roman" w:cs="Times New Roman"/>
          <w:sz w:val="24"/>
          <w:szCs w:val="28"/>
          <w:lang w:val="uk-UA"/>
        </w:rPr>
        <w:t xml:space="preserve"> </w:t>
      </w:r>
      <w:r w:rsidR="00800E08" w:rsidRPr="00A1580C">
        <w:rPr>
          <w:rFonts w:ascii="Times New Roman" w:hAnsi="Times New Roman" w:cs="Times New Roman"/>
          <w:sz w:val="24"/>
          <w:szCs w:val="28"/>
          <w:lang w:val="uk-UA"/>
        </w:rPr>
        <w:t>зміною вартості теплової енергії (в порівнянні з чинними тарифами</w:t>
      </w:r>
      <w:r w:rsidR="00E1070A" w:rsidRPr="00E1070A">
        <w:rPr>
          <w:rFonts w:ascii="Times New Roman" w:hAnsi="Times New Roman" w:cs="Times New Roman"/>
          <w:sz w:val="24"/>
          <w:szCs w:val="28"/>
          <w:lang w:val="uk-UA"/>
        </w:rPr>
        <w:t xml:space="preserve"> </w:t>
      </w:r>
      <w:r w:rsidR="00E1070A">
        <w:rPr>
          <w:rFonts w:ascii="Times New Roman" w:hAnsi="Times New Roman" w:cs="Times New Roman"/>
          <w:sz w:val="24"/>
          <w:szCs w:val="28"/>
          <w:lang w:val="uk-UA"/>
        </w:rPr>
        <w:t>середньозважена</w:t>
      </w:r>
      <w:r w:rsidR="00800E08" w:rsidRPr="00A1580C">
        <w:rPr>
          <w:rFonts w:ascii="Times New Roman" w:hAnsi="Times New Roman" w:cs="Times New Roman"/>
          <w:sz w:val="24"/>
          <w:szCs w:val="28"/>
          <w:lang w:val="uk-UA"/>
        </w:rPr>
        <w:t xml:space="preserve"> вартість теплової енергії</w:t>
      </w:r>
      <w:r w:rsidR="00F508D3">
        <w:rPr>
          <w:rFonts w:ascii="Times New Roman" w:hAnsi="Times New Roman" w:cs="Times New Roman"/>
          <w:sz w:val="24"/>
          <w:szCs w:val="28"/>
          <w:lang w:val="uk-UA"/>
        </w:rPr>
        <w:t xml:space="preserve"> ТОВ «</w:t>
      </w:r>
      <w:proofErr w:type="spellStart"/>
      <w:r w:rsidR="00F508D3">
        <w:rPr>
          <w:rFonts w:ascii="Times New Roman" w:hAnsi="Times New Roman" w:cs="Times New Roman"/>
          <w:sz w:val="24"/>
          <w:szCs w:val="28"/>
          <w:lang w:val="uk-UA"/>
        </w:rPr>
        <w:t>КиївГрін</w:t>
      </w:r>
      <w:proofErr w:type="spellEnd"/>
      <w:r w:rsidR="00F508D3">
        <w:rPr>
          <w:rFonts w:ascii="Times New Roman" w:hAnsi="Times New Roman" w:cs="Times New Roman"/>
          <w:sz w:val="24"/>
          <w:szCs w:val="28"/>
          <w:lang w:val="uk-UA"/>
        </w:rPr>
        <w:t xml:space="preserve"> </w:t>
      </w:r>
      <w:proofErr w:type="spellStart"/>
      <w:r w:rsidR="00F508D3">
        <w:rPr>
          <w:rFonts w:ascii="Times New Roman" w:hAnsi="Times New Roman" w:cs="Times New Roman"/>
          <w:sz w:val="24"/>
          <w:szCs w:val="28"/>
          <w:lang w:val="uk-UA"/>
        </w:rPr>
        <w:t>Енерджі</w:t>
      </w:r>
      <w:proofErr w:type="spellEnd"/>
      <w:r w:rsidR="00F508D3">
        <w:rPr>
          <w:rFonts w:ascii="Times New Roman" w:hAnsi="Times New Roman" w:cs="Times New Roman"/>
          <w:sz w:val="24"/>
          <w:szCs w:val="28"/>
          <w:lang w:val="uk-UA"/>
        </w:rPr>
        <w:t>»</w:t>
      </w:r>
      <w:r w:rsidR="00800E08" w:rsidRPr="00A1580C">
        <w:rPr>
          <w:rFonts w:ascii="Times New Roman" w:hAnsi="Times New Roman" w:cs="Times New Roman"/>
          <w:sz w:val="24"/>
          <w:szCs w:val="28"/>
          <w:lang w:val="uk-UA"/>
        </w:rPr>
        <w:t xml:space="preserve"> збільшилася на </w:t>
      </w:r>
      <w:r w:rsidR="00F508D3" w:rsidRPr="00F508D3">
        <w:rPr>
          <w:rFonts w:ascii="Times New Roman" w:hAnsi="Times New Roman" w:cs="Times New Roman"/>
          <w:sz w:val="24"/>
          <w:szCs w:val="28"/>
          <w:lang w:val="uk-UA"/>
        </w:rPr>
        <w:t>10,33</w:t>
      </w:r>
      <w:r w:rsidR="00800E08" w:rsidRPr="00F508D3">
        <w:rPr>
          <w:rFonts w:ascii="Times New Roman" w:hAnsi="Times New Roman" w:cs="Times New Roman"/>
          <w:sz w:val="24"/>
          <w:szCs w:val="28"/>
          <w:lang w:val="uk-UA"/>
        </w:rPr>
        <w:t>%)</w:t>
      </w:r>
      <w:r w:rsidR="00A1580C" w:rsidRPr="00A1580C">
        <w:rPr>
          <w:rFonts w:ascii="Times New Roman" w:hAnsi="Times New Roman" w:cs="Times New Roman"/>
          <w:sz w:val="24"/>
          <w:szCs w:val="28"/>
          <w:lang w:val="uk-UA"/>
        </w:rPr>
        <w:t xml:space="preserve"> та зміною вартості послуг з централізованого водовідведення КП ВКГ «</w:t>
      </w:r>
      <w:proofErr w:type="spellStart"/>
      <w:r w:rsidR="00A1580C" w:rsidRPr="00A1580C">
        <w:rPr>
          <w:rFonts w:ascii="Times New Roman" w:hAnsi="Times New Roman" w:cs="Times New Roman"/>
          <w:sz w:val="24"/>
          <w:szCs w:val="28"/>
          <w:lang w:val="uk-UA"/>
        </w:rPr>
        <w:t>Бориспільводоканал</w:t>
      </w:r>
      <w:proofErr w:type="spellEnd"/>
      <w:r w:rsidR="00A1580C" w:rsidRPr="00A1580C">
        <w:rPr>
          <w:rFonts w:ascii="Times New Roman" w:hAnsi="Times New Roman" w:cs="Times New Roman"/>
          <w:sz w:val="24"/>
          <w:szCs w:val="28"/>
          <w:lang w:val="uk-UA"/>
        </w:rPr>
        <w:t xml:space="preserve">» (в порівнянні з чинними тарифами </w:t>
      </w:r>
      <w:r w:rsidR="00E1070A">
        <w:rPr>
          <w:rFonts w:ascii="Times New Roman" w:hAnsi="Times New Roman" w:cs="Times New Roman"/>
          <w:sz w:val="24"/>
          <w:szCs w:val="28"/>
          <w:lang w:val="uk-UA"/>
        </w:rPr>
        <w:t>середньозважена</w:t>
      </w:r>
      <w:r w:rsidR="00E1070A" w:rsidRPr="00A1580C">
        <w:rPr>
          <w:rFonts w:ascii="Times New Roman" w:hAnsi="Times New Roman" w:cs="Times New Roman"/>
          <w:sz w:val="24"/>
          <w:szCs w:val="28"/>
          <w:lang w:val="uk-UA"/>
        </w:rPr>
        <w:t xml:space="preserve"> </w:t>
      </w:r>
      <w:r w:rsidR="00A1580C" w:rsidRPr="00A1580C">
        <w:rPr>
          <w:rFonts w:ascii="Times New Roman" w:hAnsi="Times New Roman" w:cs="Times New Roman"/>
          <w:sz w:val="24"/>
          <w:szCs w:val="28"/>
          <w:lang w:val="uk-UA"/>
        </w:rPr>
        <w:t>вартість</w:t>
      </w:r>
      <w:r w:rsidR="00E1070A">
        <w:rPr>
          <w:rFonts w:ascii="Times New Roman" w:hAnsi="Times New Roman" w:cs="Times New Roman"/>
          <w:sz w:val="24"/>
          <w:szCs w:val="28"/>
          <w:lang w:val="uk-UA"/>
        </w:rPr>
        <w:t xml:space="preserve"> послуг</w:t>
      </w:r>
      <w:r w:rsidR="00A1580C" w:rsidRPr="00A1580C">
        <w:rPr>
          <w:rFonts w:ascii="Times New Roman" w:hAnsi="Times New Roman" w:cs="Times New Roman"/>
          <w:sz w:val="24"/>
          <w:szCs w:val="28"/>
          <w:lang w:val="uk-UA"/>
        </w:rPr>
        <w:t xml:space="preserve"> збільшилася на </w:t>
      </w:r>
      <w:r w:rsidR="00F508D3" w:rsidRPr="00F508D3">
        <w:rPr>
          <w:rFonts w:ascii="Times New Roman" w:hAnsi="Times New Roman" w:cs="Times New Roman"/>
          <w:sz w:val="24"/>
          <w:szCs w:val="28"/>
          <w:lang w:val="uk-UA"/>
        </w:rPr>
        <w:t>0,43</w:t>
      </w:r>
      <w:r w:rsidR="00A1580C" w:rsidRPr="00F508D3">
        <w:rPr>
          <w:rFonts w:ascii="Times New Roman" w:hAnsi="Times New Roman" w:cs="Times New Roman"/>
          <w:sz w:val="24"/>
          <w:szCs w:val="28"/>
          <w:lang w:val="uk-UA"/>
        </w:rPr>
        <w:t>%</w:t>
      </w:r>
      <w:r w:rsidR="00A1580C" w:rsidRPr="00A1580C">
        <w:rPr>
          <w:rFonts w:ascii="Times New Roman" w:hAnsi="Times New Roman" w:cs="Times New Roman"/>
          <w:sz w:val="24"/>
          <w:szCs w:val="28"/>
          <w:lang w:val="uk-UA"/>
        </w:rPr>
        <w:t>)</w:t>
      </w:r>
      <w:r w:rsidR="00800E08" w:rsidRPr="00A1580C">
        <w:rPr>
          <w:rFonts w:ascii="Times New Roman" w:hAnsi="Times New Roman" w:cs="Times New Roman"/>
          <w:sz w:val="24"/>
          <w:szCs w:val="28"/>
          <w:lang w:val="uk-UA"/>
        </w:rPr>
        <w:t>.</w:t>
      </w:r>
    </w:p>
    <w:p w:rsidR="00C23984" w:rsidRPr="00A1580C" w:rsidRDefault="00C23984" w:rsidP="00C23984">
      <w:pPr>
        <w:spacing w:line="240" w:lineRule="auto"/>
        <w:ind w:firstLine="709"/>
        <w:contextualSpacing/>
        <w:jc w:val="both"/>
        <w:rPr>
          <w:rFonts w:ascii="Times New Roman" w:hAnsi="Times New Roman" w:cs="Times New Roman"/>
          <w:sz w:val="24"/>
          <w:szCs w:val="28"/>
          <w:lang w:val="uk-UA"/>
        </w:rPr>
      </w:pPr>
    </w:p>
    <w:p w:rsidR="000F38D2" w:rsidRPr="00A1580C" w:rsidRDefault="000F38D2" w:rsidP="00686C81">
      <w:pPr>
        <w:spacing w:line="240" w:lineRule="auto"/>
        <w:ind w:firstLine="709"/>
        <w:contextualSpacing/>
        <w:jc w:val="both"/>
        <w:rPr>
          <w:rFonts w:ascii="Times New Roman" w:eastAsia="Times New Roman" w:hAnsi="Times New Roman" w:cs="Times New Roman"/>
          <w:sz w:val="24"/>
          <w:szCs w:val="28"/>
          <w:lang w:val="uk-UA" w:eastAsia="ru-RU"/>
        </w:rPr>
      </w:pPr>
      <w:r w:rsidRPr="00A1580C">
        <w:rPr>
          <w:rFonts w:ascii="Times New Roman" w:hAnsi="Times New Roman" w:cs="Times New Roman"/>
          <w:sz w:val="24"/>
          <w:szCs w:val="28"/>
          <w:lang w:val="uk-UA"/>
        </w:rPr>
        <w:t xml:space="preserve">Зауваження та пропозиції від </w:t>
      </w:r>
      <w:r w:rsidRPr="00A1580C">
        <w:rPr>
          <w:rFonts w:ascii="Times New Roman" w:eastAsia="Times New Roman" w:hAnsi="Times New Roman" w:cs="Times New Roman"/>
          <w:sz w:val="24"/>
          <w:szCs w:val="28"/>
          <w:lang w:val="uk-UA" w:eastAsia="ru-RU"/>
        </w:rPr>
        <w:t xml:space="preserve">юридичних осіб приймаються </w:t>
      </w:r>
      <w:r w:rsidR="009062EA" w:rsidRPr="00A1580C">
        <w:rPr>
          <w:rFonts w:ascii="Times New Roman" w:eastAsia="Times New Roman" w:hAnsi="Times New Roman" w:cs="Times New Roman"/>
          <w:sz w:val="24"/>
          <w:szCs w:val="28"/>
          <w:lang w:val="uk-UA" w:eastAsia="ru-RU"/>
        </w:rPr>
        <w:t xml:space="preserve">до </w:t>
      </w:r>
      <w:r w:rsidR="00C23984" w:rsidRPr="001B43A6">
        <w:rPr>
          <w:rFonts w:ascii="Times New Roman" w:eastAsia="Times New Roman" w:hAnsi="Times New Roman" w:cs="Times New Roman"/>
          <w:sz w:val="24"/>
          <w:szCs w:val="28"/>
          <w:lang w:val="uk-UA" w:eastAsia="ru-RU"/>
        </w:rPr>
        <w:t>16</w:t>
      </w:r>
      <w:r w:rsidR="00A642FB" w:rsidRPr="001B43A6">
        <w:rPr>
          <w:rFonts w:ascii="Times New Roman" w:eastAsia="Times New Roman" w:hAnsi="Times New Roman" w:cs="Times New Roman"/>
          <w:sz w:val="24"/>
          <w:szCs w:val="28"/>
          <w:lang w:val="uk-UA" w:eastAsia="ru-RU"/>
        </w:rPr>
        <w:t>.</w:t>
      </w:r>
      <w:r w:rsidR="00FC505B" w:rsidRPr="001B43A6">
        <w:rPr>
          <w:rFonts w:ascii="Times New Roman" w:eastAsia="Times New Roman" w:hAnsi="Times New Roman" w:cs="Times New Roman"/>
          <w:sz w:val="24"/>
          <w:szCs w:val="28"/>
          <w:lang w:val="uk-UA" w:eastAsia="ru-RU"/>
        </w:rPr>
        <w:t>0</w:t>
      </w:r>
      <w:r w:rsidR="00C23984" w:rsidRPr="001B43A6">
        <w:rPr>
          <w:rFonts w:ascii="Times New Roman" w:eastAsia="Times New Roman" w:hAnsi="Times New Roman" w:cs="Times New Roman"/>
          <w:sz w:val="24"/>
          <w:szCs w:val="28"/>
          <w:lang w:val="uk-UA" w:eastAsia="ru-RU"/>
        </w:rPr>
        <w:t>7</w:t>
      </w:r>
      <w:r w:rsidR="00A642FB" w:rsidRPr="001B43A6">
        <w:rPr>
          <w:rFonts w:ascii="Times New Roman" w:eastAsia="Times New Roman" w:hAnsi="Times New Roman" w:cs="Times New Roman"/>
          <w:sz w:val="24"/>
          <w:szCs w:val="28"/>
          <w:lang w:val="uk-UA" w:eastAsia="ru-RU"/>
        </w:rPr>
        <w:t>.202</w:t>
      </w:r>
      <w:r w:rsidR="00FC505B" w:rsidRPr="001B43A6">
        <w:rPr>
          <w:rFonts w:ascii="Times New Roman" w:eastAsia="Times New Roman" w:hAnsi="Times New Roman" w:cs="Times New Roman"/>
          <w:sz w:val="24"/>
          <w:szCs w:val="28"/>
          <w:lang w:val="uk-UA" w:eastAsia="ru-RU"/>
        </w:rPr>
        <w:t>6</w:t>
      </w:r>
      <w:r w:rsidR="009062EA" w:rsidRPr="00A1580C">
        <w:rPr>
          <w:rFonts w:ascii="Times New Roman" w:eastAsia="Times New Roman" w:hAnsi="Times New Roman" w:cs="Times New Roman"/>
          <w:sz w:val="24"/>
          <w:szCs w:val="28"/>
          <w:lang w:val="uk-UA" w:eastAsia="ru-RU"/>
        </w:rPr>
        <w:t xml:space="preserve"> року</w:t>
      </w:r>
      <w:r w:rsidR="001B43A6">
        <w:rPr>
          <w:rFonts w:ascii="Times New Roman" w:eastAsia="Times New Roman" w:hAnsi="Times New Roman" w:cs="Times New Roman"/>
          <w:sz w:val="24"/>
          <w:szCs w:val="28"/>
          <w:lang w:val="uk-UA" w:eastAsia="ru-RU"/>
        </w:rPr>
        <w:t xml:space="preserve"> протягом 14</w:t>
      </w:r>
      <w:r w:rsidR="001B43A6" w:rsidRPr="001B43A6">
        <w:rPr>
          <w:rFonts w:ascii="Times New Roman" w:eastAsia="Times New Roman" w:hAnsi="Times New Roman" w:cs="Times New Roman"/>
          <w:sz w:val="24"/>
          <w:szCs w:val="28"/>
          <w:lang w:val="uk-UA" w:eastAsia="ru-RU"/>
        </w:rPr>
        <w:t xml:space="preserve"> (</w:t>
      </w:r>
      <w:r w:rsidR="001B43A6">
        <w:rPr>
          <w:rFonts w:ascii="Times New Roman" w:eastAsia="Times New Roman" w:hAnsi="Times New Roman" w:cs="Times New Roman"/>
          <w:sz w:val="24"/>
          <w:szCs w:val="28"/>
          <w:lang w:val="uk-UA" w:eastAsia="ru-RU"/>
        </w:rPr>
        <w:t>чотирнадцять</w:t>
      </w:r>
      <w:r w:rsidR="001B43A6" w:rsidRPr="001B43A6">
        <w:rPr>
          <w:rFonts w:ascii="Times New Roman" w:eastAsia="Times New Roman" w:hAnsi="Times New Roman" w:cs="Times New Roman"/>
          <w:sz w:val="24"/>
          <w:szCs w:val="28"/>
          <w:lang w:val="uk-UA" w:eastAsia="ru-RU"/>
        </w:rPr>
        <w:t>) ка</w:t>
      </w:r>
      <w:r w:rsidR="001B43A6">
        <w:rPr>
          <w:rFonts w:ascii="Times New Roman" w:eastAsia="Times New Roman" w:hAnsi="Times New Roman" w:cs="Times New Roman"/>
          <w:sz w:val="24"/>
          <w:szCs w:val="28"/>
          <w:lang w:val="uk-UA" w:eastAsia="ru-RU"/>
        </w:rPr>
        <w:t xml:space="preserve">лендарних днів з дня публікації цього повідомлення </w:t>
      </w:r>
      <w:r w:rsidR="001B43A6" w:rsidRPr="001B43A6">
        <w:rPr>
          <w:rFonts w:ascii="Times New Roman" w:eastAsia="Times New Roman" w:hAnsi="Times New Roman" w:cs="Times New Roman"/>
          <w:sz w:val="24"/>
          <w:szCs w:val="28"/>
          <w:lang w:val="uk-UA" w:eastAsia="ru-RU"/>
        </w:rPr>
        <w:t>на офіційному веб-сайті</w:t>
      </w:r>
      <w:r w:rsidR="001B43A6">
        <w:rPr>
          <w:rFonts w:ascii="Times New Roman" w:eastAsia="Times New Roman" w:hAnsi="Times New Roman" w:cs="Times New Roman"/>
          <w:sz w:val="24"/>
          <w:szCs w:val="28"/>
          <w:lang w:val="uk-UA" w:eastAsia="ru-RU"/>
        </w:rPr>
        <w:t xml:space="preserve"> ДП МА «Бориспіль»</w:t>
      </w:r>
      <w:r w:rsidR="009062EA" w:rsidRPr="00A1580C">
        <w:rPr>
          <w:rFonts w:ascii="Times New Roman" w:eastAsia="Times New Roman" w:hAnsi="Times New Roman" w:cs="Times New Roman"/>
          <w:sz w:val="24"/>
          <w:szCs w:val="28"/>
          <w:lang w:val="uk-UA" w:eastAsia="ru-RU"/>
        </w:rPr>
        <w:t xml:space="preserve"> </w:t>
      </w:r>
      <w:r w:rsidR="00E0413F" w:rsidRPr="00A1580C">
        <w:rPr>
          <w:rFonts w:ascii="Times New Roman" w:eastAsia="Times New Roman" w:hAnsi="Times New Roman" w:cs="Times New Roman"/>
          <w:sz w:val="24"/>
          <w:szCs w:val="28"/>
          <w:lang w:val="uk-UA" w:eastAsia="ru-RU"/>
        </w:rPr>
        <w:t xml:space="preserve">за </w:t>
      </w:r>
      <w:proofErr w:type="spellStart"/>
      <w:r w:rsidR="008410D0" w:rsidRPr="00A1580C">
        <w:rPr>
          <w:rFonts w:ascii="Times New Roman" w:eastAsia="Times New Roman" w:hAnsi="Times New Roman" w:cs="Times New Roman"/>
          <w:sz w:val="24"/>
          <w:szCs w:val="28"/>
          <w:lang w:val="uk-UA" w:eastAsia="ru-RU"/>
        </w:rPr>
        <w:t>адресою</w:t>
      </w:r>
      <w:proofErr w:type="spellEnd"/>
      <w:r w:rsidR="00E0413F" w:rsidRPr="00A1580C">
        <w:rPr>
          <w:rFonts w:ascii="Times New Roman" w:eastAsia="Times New Roman" w:hAnsi="Times New Roman" w:cs="Times New Roman"/>
          <w:sz w:val="24"/>
          <w:szCs w:val="28"/>
          <w:lang w:val="uk-UA" w:eastAsia="ru-RU"/>
        </w:rPr>
        <w:t>:</w:t>
      </w:r>
      <w:r w:rsidR="00C23984" w:rsidRPr="00A1580C">
        <w:rPr>
          <w:rFonts w:ascii="Times New Roman" w:eastAsia="Times New Roman" w:hAnsi="Times New Roman" w:cs="Times New Roman"/>
          <w:sz w:val="24"/>
          <w:szCs w:val="28"/>
          <w:lang w:val="uk-UA" w:eastAsia="ru-RU"/>
        </w:rPr>
        <w:t xml:space="preserve"> </w:t>
      </w:r>
      <w:r w:rsidR="00767E52" w:rsidRPr="00767E52">
        <w:rPr>
          <w:rFonts w:ascii="Times New Roman" w:eastAsia="Times New Roman" w:hAnsi="Times New Roman" w:cs="Times New Roman"/>
          <w:sz w:val="24"/>
          <w:szCs w:val="28"/>
          <w:lang w:val="uk-UA" w:eastAsia="ru-RU"/>
        </w:rPr>
        <w:t xml:space="preserve">Україна, 08303, Київська область, Бориспільський район, місто Бориспіль, вулиця </w:t>
      </w:r>
      <w:proofErr w:type="spellStart"/>
      <w:r w:rsidR="00767E52" w:rsidRPr="00767E52">
        <w:rPr>
          <w:rFonts w:ascii="Times New Roman" w:eastAsia="Times New Roman" w:hAnsi="Times New Roman" w:cs="Times New Roman"/>
          <w:sz w:val="24"/>
          <w:szCs w:val="28"/>
          <w:lang w:val="uk-UA" w:eastAsia="ru-RU"/>
        </w:rPr>
        <w:t>Френкеля</w:t>
      </w:r>
      <w:proofErr w:type="spellEnd"/>
      <w:r w:rsidR="00767E52" w:rsidRPr="00767E52">
        <w:rPr>
          <w:rFonts w:ascii="Times New Roman" w:eastAsia="Times New Roman" w:hAnsi="Times New Roman" w:cs="Times New Roman"/>
          <w:sz w:val="24"/>
          <w:szCs w:val="28"/>
          <w:lang w:val="uk-UA" w:eastAsia="ru-RU"/>
        </w:rPr>
        <w:t xml:space="preserve"> Академіка, 3</w:t>
      </w:r>
      <w:r w:rsidR="006775D9" w:rsidRPr="00A1580C">
        <w:rPr>
          <w:rFonts w:ascii="Times New Roman" w:eastAsia="Times New Roman" w:hAnsi="Times New Roman" w:cs="Times New Roman"/>
          <w:sz w:val="24"/>
          <w:szCs w:val="28"/>
          <w:lang w:val="uk-UA" w:eastAsia="ru-RU"/>
        </w:rPr>
        <w:t>,</w:t>
      </w:r>
      <w:r w:rsidR="00686C81" w:rsidRPr="00A1580C">
        <w:rPr>
          <w:rFonts w:ascii="Times New Roman" w:eastAsia="Times New Roman" w:hAnsi="Times New Roman" w:cs="Times New Roman"/>
          <w:sz w:val="24"/>
          <w:szCs w:val="28"/>
          <w:lang w:val="uk-UA" w:eastAsia="ru-RU"/>
        </w:rPr>
        <w:t xml:space="preserve"> ДП МА «Бориспіль».</w:t>
      </w:r>
    </w:p>
    <w:p w:rsidR="00A1580C" w:rsidRDefault="00A1580C" w:rsidP="00C23984">
      <w:pPr>
        <w:spacing w:line="240" w:lineRule="auto"/>
        <w:ind w:firstLine="708"/>
        <w:jc w:val="both"/>
        <w:rPr>
          <w:rFonts w:ascii="Times New Roman" w:hAnsi="Times New Roman" w:cs="Times New Roman"/>
          <w:sz w:val="24"/>
          <w:szCs w:val="28"/>
          <w:lang w:val="uk-UA"/>
        </w:rPr>
      </w:pPr>
    </w:p>
    <w:p w:rsidR="00D02341" w:rsidRPr="00A1580C" w:rsidRDefault="00D02341" w:rsidP="009C193B">
      <w:pPr>
        <w:jc w:val="both"/>
        <w:rPr>
          <w:rFonts w:ascii="Times New Roman" w:hAnsi="Times New Roman" w:cs="Times New Roman"/>
          <w:sz w:val="24"/>
          <w:szCs w:val="28"/>
          <w:lang w:val="uk-UA"/>
        </w:rPr>
      </w:pPr>
      <w:r w:rsidRPr="001B43A6">
        <w:rPr>
          <w:rFonts w:ascii="Times New Roman" w:hAnsi="Times New Roman" w:cs="Times New Roman"/>
          <w:sz w:val="24"/>
          <w:szCs w:val="28"/>
          <w:lang w:val="uk-UA"/>
        </w:rPr>
        <w:t>«</w:t>
      </w:r>
      <w:r w:rsidR="00C23984" w:rsidRPr="001B43A6">
        <w:rPr>
          <w:rFonts w:ascii="Times New Roman" w:hAnsi="Times New Roman" w:cs="Times New Roman"/>
          <w:sz w:val="24"/>
          <w:szCs w:val="28"/>
          <w:lang w:val="uk-UA"/>
        </w:rPr>
        <w:t>03</w:t>
      </w:r>
      <w:r w:rsidR="00B918A1" w:rsidRPr="001B43A6">
        <w:rPr>
          <w:rFonts w:ascii="Times New Roman" w:hAnsi="Times New Roman" w:cs="Times New Roman"/>
          <w:sz w:val="24"/>
          <w:szCs w:val="28"/>
          <w:lang w:val="uk-UA"/>
        </w:rPr>
        <w:t>»</w:t>
      </w:r>
      <w:r w:rsidR="00A34DAE" w:rsidRPr="001B43A6">
        <w:rPr>
          <w:rFonts w:ascii="Times New Roman" w:hAnsi="Times New Roman" w:cs="Times New Roman"/>
          <w:sz w:val="24"/>
          <w:szCs w:val="28"/>
          <w:lang w:val="uk-UA"/>
        </w:rPr>
        <w:t xml:space="preserve"> </w:t>
      </w:r>
      <w:r w:rsidR="00C23984" w:rsidRPr="001B43A6">
        <w:rPr>
          <w:rFonts w:ascii="Times New Roman" w:hAnsi="Times New Roman" w:cs="Times New Roman"/>
          <w:sz w:val="24"/>
          <w:szCs w:val="28"/>
          <w:lang w:val="uk-UA"/>
        </w:rPr>
        <w:t>липня</w:t>
      </w:r>
      <w:r w:rsidR="009B032F" w:rsidRPr="001B43A6">
        <w:rPr>
          <w:rFonts w:ascii="Times New Roman" w:hAnsi="Times New Roman" w:cs="Times New Roman"/>
          <w:sz w:val="24"/>
          <w:szCs w:val="28"/>
          <w:lang w:val="uk-UA"/>
        </w:rPr>
        <w:t xml:space="preserve"> </w:t>
      </w:r>
      <w:r w:rsidRPr="001B43A6">
        <w:rPr>
          <w:rFonts w:ascii="Times New Roman" w:hAnsi="Times New Roman" w:cs="Times New Roman"/>
          <w:sz w:val="24"/>
          <w:szCs w:val="28"/>
          <w:lang w:val="uk-UA"/>
        </w:rPr>
        <w:t>202</w:t>
      </w:r>
      <w:r w:rsidR="00FC505B" w:rsidRPr="001B43A6">
        <w:rPr>
          <w:rFonts w:ascii="Times New Roman" w:hAnsi="Times New Roman" w:cs="Times New Roman"/>
          <w:sz w:val="24"/>
          <w:szCs w:val="28"/>
          <w:lang w:val="uk-UA"/>
        </w:rPr>
        <w:t>6</w:t>
      </w:r>
      <w:r w:rsidRPr="001B43A6">
        <w:rPr>
          <w:rFonts w:ascii="Times New Roman" w:hAnsi="Times New Roman" w:cs="Times New Roman"/>
          <w:sz w:val="24"/>
          <w:szCs w:val="28"/>
          <w:lang w:val="uk-UA"/>
        </w:rPr>
        <w:t xml:space="preserve"> року</w:t>
      </w:r>
      <w:r w:rsidR="001B43A6">
        <w:rPr>
          <w:rFonts w:ascii="Times New Roman" w:hAnsi="Times New Roman" w:cs="Times New Roman"/>
          <w:sz w:val="24"/>
          <w:szCs w:val="28"/>
          <w:lang w:val="uk-UA"/>
        </w:rPr>
        <w:tab/>
      </w:r>
      <w:r w:rsidR="001B43A6">
        <w:rPr>
          <w:rFonts w:ascii="Times New Roman" w:hAnsi="Times New Roman" w:cs="Times New Roman"/>
          <w:sz w:val="24"/>
          <w:szCs w:val="28"/>
          <w:lang w:val="uk-UA"/>
        </w:rPr>
        <w:tab/>
      </w:r>
      <w:r w:rsidR="001B43A6">
        <w:rPr>
          <w:rFonts w:ascii="Times New Roman" w:hAnsi="Times New Roman" w:cs="Times New Roman"/>
          <w:sz w:val="24"/>
          <w:szCs w:val="28"/>
          <w:lang w:val="uk-UA"/>
        </w:rPr>
        <w:tab/>
      </w:r>
      <w:r w:rsidR="001B43A6">
        <w:rPr>
          <w:rFonts w:ascii="Times New Roman" w:hAnsi="Times New Roman" w:cs="Times New Roman"/>
          <w:sz w:val="24"/>
          <w:szCs w:val="28"/>
          <w:lang w:val="uk-UA"/>
        </w:rPr>
        <w:tab/>
      </w:r>
      <w:r w:rsidR="001B43A6">
        <w:rPr>
          <w:rFonts w:ascii="Times New Roman" w:hAnsi="Times New Roman" w:cs="Times New Roman"/>
          <w:sz w:val="24"/>
          <w:szCs w:val="28"/>
          <w:lang w:val="uk-UA"/>
        </w:rPr>
        <w:tab/>
      </w:r>
      <w:r w:rsidR="001B43A6">
        <w:rPr>
          <w:rFonts w:ascii="Times New Roman" w:hAnsi="Times New Roman" w:cs="Times New Roman"/>
          <w:sz w:val="24"/>
          <w:szCs w:val="28"/>
          <w:lang w:val="uk-UA"/>
        </w:rPr>
        <w:tab/>
      </w:r>
      <w:r w:rsidR="001B43A6">
        <w:rPr>
          <w:rFonts w:ascii="Times New Roman" w:hAnsi="Times New Roman" w:cs="Times New Roman"/>
          <w:sz w:val="24"/>
          <w:szCs w:val="28"/>
          <w:lang w:val="uk-UA"/>
        </w:rPr>
        <w:tab/>
      </w:r>
      <w:r w:rsidR="001B43A6">
        <w:rPr>
          <w:rFonts w:ascii="Times New Roman" w:hAnsi="Times New Roman" w:cs="Times New Roman"/>
          <w:sz w:val="24"/>
          <w:szCs w:val="28"/>
          <w:lang w:val="uk-UA"/>
        </w:rPr>
        <w:tab/>
        <w:t xml:space="preserve">     </w:t>
      </w:r>
    </w:p>
    <w:sectPr w:rsidR="00D02341" w:rsidRPr="00A1580C" w:rsidSect="00B53370">
      <w:pgSz w:w="11906" w:h="16838"/>
      <w:pgMar w:top="567" w:right="850"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67F"/>
    <w:multiLevelType w:val="hybridMultilevel"/>
    <w:tmpl w:val="3828BBA2"/>
    <w:lvl w:ilvl="0" w:tplc="8A36DD58">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BCA6EDB"/>
    <w:multiLevelType w:val="hybridMultilevel"/>
    <w:tmpl w:val="0114CF3E"/>
    <w:lvl w:ilvl="0" w:tplc="D8BAF8BC">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0C1120E3"/>
    <w:multiLevelType w:val="hybridMultilevel"/>
    <w:tmpl w:val="1D105366"/>
    <w:lvl w:ilvl="0" w:tplc="DC263142">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6D0542"/>
    <w:multiLevelType w:val="hybridMultilevel"/>
    <w:tmpl w:val="20C8EEFC"/>
    <w:lvl w:ilvl="0" w:tplc="3B2EE00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DF4CB0"/>
    <w:multiLevelType w:val="hybridMultilevel"/>
    <w:tmpl w:val="A5E2691C"/>
    <w:lvl w:ilvl="0" w:tplc="FFF612C6">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85"/>
    <w:rsid w:val="00024A46"/>
    <w:rsid w:val="000B1D1F"/>
    <w:rsid w:val="000C52B3"/>
    <w:rsid w:val="000D038E"/>
    <w:rsid w:val="000F381B"/>
    <w:rsid w:val="000F38D2"/>
    <w:rsid w:val="00111830"/>
    <w:rsid w:val="00112975"/>
    <w:rsid w:val="001430DA"/>
    <w:rsid w:val="001434CE"/>
    <w:rsid w:val="00150F7A"/>
    <w:rsid w:val="001745D3"/>
    <w:rsid w:val="001805B3"/>
    <w:rsid w:val="00195A87"/>
    <w:rsid w:val="001B2D10"/>
    <w:rsid w:val="001B43A6"/>
    <w:rsid w:val="001D5165"/>
    <w:rsid w:val="00204337"/>
    <w:rsid w:val="00216D6D"/>
    <w:rsid w:val="00255617"/>
    <w:rsid w:val="0029499B"/>
    <w:rsid w:val="002C3EB1"/>
    <w:rsid w:val="002E110B"/>
    <w:rsid w:val="003008EE"/>
    <w:rsid w:val="00320B88"/>
    <w:rsid w:val="00326E1C"/>
    <w:rsid w:val="00426E05"/>
    <w:rsid w:val="00456F67"/>
    <w:rsid w:val="0046115F"/>
    <w:rsid w:val="00483DD1"/>
    <w:rsid w:val="004844F1"/>
    <w:rsid w:val="004C42E8"/>
    <w:rsid w:val="004D2CFF"/>
    <w:rsid w:val="00590165"/>
    <w:rsid w:val="005C3E1B"/>
    <w:rsid w:val="00654D89"/>
    <w:rsid w:val="006775D9"/>
    <w:rsid w:val="00686C81"/>
    <w:rsid w:val="006C1C64"/>
    <w:rsid w:val="006E144A"/>
    <w:rsid w:val="006E61D9"/>
    <w:rsid w:val="00716111"/>
    <w:rsid w:val="00746B7C"/>
    <w:rsid w:val="00767E52"/>
    <w:rsid w:val="00770BE5"/>
    <w:rsid w:val="007A1561"/>
    <w:rsid w:val="007D54C8"/>
    <w:rsid w:val="00800E08"/>
    <w:rsid w:val="00805433"/>
    <w:rsid w:val="008128B5"/>
    <w:rsid w:val="008410D0"/>
    <w:rsid w:val="00893F85"/>
    <w:rsid w:val="008B5E01"/>
    <w:rsid w:val="008C25C2"/>
    <w:rsid w:val="009062EA"/>
    <w:rsid w:val="0093242F"/>
    <w:rsid w:val="00944CDC"/>
    <w:rsid w:val="009B032F"/>
    <w:rsid w:val="009C193B"/>
    <w:rsid w:val="009C3BE8"/>
    <w:rsid w:val="009E21F7"/>
    <w:rsid w:val="00A013C4"/>
    <w:rsid w:val="00A028DC"/>
    <w:rsid w:val="00A1580C"/>
    <w:rsid w:val="00A34DAE"/>
    <w:rsid w:val="00A642FB"/>
    <w:rsid w:val="00A930BC"/>
    <w:rsid w:val="00AE26DC"/>
    <w:rsid w:val="00B16903"/>
    <w:rsid w:val="00B21134"/>
    <w:rsid w:val="00B241A9"/>
    <w:rsid w:val="00B379D0"/>
    <w:rsid w:val="00B404F4"/>
    <w:rsid w:val="00B47938"/>
    <w:rsid w:val="00B53370"/>
    <w:rsid w:val="00B73426"/>
    <w:rsid w:val="00B73DA4"/>
    <w:rsid w:val="00B85418"/>
    <w:rsid w:val="00B918A1"/>
    <w:rsid w:val="00B96520"/>
    <w:rsid w:val="00BB3AAF"/>
    <w:rsid w:val="00BD20BF"/>
    <w:rsid w:val="00BE3E37"/>
    <w:rsid w:val="00C114B8"/>
    <w:rsid w:val="00C118E4"/>
    <w:rsid w:val="00C23984"/>
    <w:rsid w:val="00C35E35"/>
    <w:rsid w:val="00C45923"/>
    <w:rsid w:val="00C511AE"/>
    <w:rsid w:val="00C56967"/>
    <w:rsid w:val="00C614C6"/>
    <w:rsid w:val="00C704E5"/>
    <w:rsid w:val="00C70787"/>
    <w:rsid w:val="00C773FE"/>
    <w:rsid w:val="00CA58EE"/>
    <w:rsid w:val="00CE5F52"/>
    <w:rsid w:val="00D02341"/>
    <w:rsid w:val="00D07A25"/>
    <w:rsid w:val="00D23432"/>
    <w:rsid w:val="00D703D0"/>
    <w:rsid w:val="00DB05E9"/>
    <w:rsid w:val="00E0413F"/>
    <w:rsid w:val="00E1070A"/>
    <w:rsid w:val="00E706BB"/>
    <w:rsid w:val="00E72329"/>
    <w:rsid w:val="00ED7342"/>
    <w:rsid w:val="00F40C04"/>
    <w:rsid w:val="00F452BF"/>
    <w:rsid w:val="00F508D3"/>
    <w:rsid w:val="00F56665"/>
    <w:rsid w:val="00F66B47"/>
    <w:rsid w:val="00F92C1B"/>
    <w:rsid w:val="00FA1C49"/>
    <w:rsid w:val="00FA4941"/>
    <w:rsid w:val="00FA7C85"/>
    <w:rsid w:val="00FC5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4804"/>
  <w15:chartTrackingRefBased/>
  <w15:docId w15:val="{9AD86980-454F-4742-863C-DC6DE74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4844F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styleId="a4">
    <w:name w:val="List Paragraph"/>
    <w:basedOn w:val="a"/>
    <w:uiPriority w:val="34"/>
    <w:qFormat/>
    <w:rsid w:val="006E144A"/>
    <w:pPr>
      <w:ind w:left="720"/>
      <w:contextualSpacing/>
    </w:pPr>
  </w:style>
  <w:style w:type="paragraph" w:styleId="a5">
    <w:name w:val="Balloon Text"/>
    <w:basedOn w:val="a"/>
    <w:link w:val="a6"/>
    <w:uiPriority w:val="99"/>
    <w:semiHidden/>
    <w:unhideWhenUsed/>
    <w:rsid w:val="00C114B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11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A9A7-8589-4933-AE2A-6E78AED4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2480</Words>
  <Characters>1414</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Кривець Сергій Леонідович</dc:creator>
  <cp:keywords/>
  <dc:description/>
  <cp:lastModifiedBy>Косенко Інна Олександрівна</cp:lastModifiedBy>
  <cp:revision>20</cp:revision>
  <cp:lastPrinted>2026-01-29T13:25:00Z</cp:lastPrinted>
  <dcterms:created xsi:type="dcterms:W3CDTF">2025-01-30T08:47:00Z</dcterms:created>
  <dcterms:modified xsi:type="dcterms:W3CDTF">2026-07-03T11:47:00Z</dcterms:modified>
</cp:coreProperties>
</file>